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Summary Paper</w:t>
      </w:r>
    </w:p>
    <w:p w:rsidR="00000000" w:rsidDel="00000000" w:rsidP="00000000" w:rsidRDefault="00000000" w:rsidRPr="00000000" w14:paraId="00000002">
      <w:pPr>
        <w:spacing w:line="276"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discrepancies in average returns between stocks can be explained by the size and book-to-market characteristics. Term-structure variables also 'explain' average bond returns, although their average premiums are close to zero. The stochastic linkages between the bond and stock markets appear to be primarily caused by term-structural variables. Table 1 demonstrates that the number of stocks and the share of total value accounted for by a portfolio drop from lower- to higher-BE/ME portfolios in all size quintiles save the lowest. This pattern is affected by two factors:</w:t>
      </w:r>
      <w:r w:rsidDel="00000000" w:rsidR="00000000" w:rsidRPr="00000000">
        <w:rPr>
          <w:rtl w:val="0"/>
        </w:rPr>
      </w:r>
    </w:p>
    <w:p w:rsidR="00000000" w:rsidDel="00000000" w:rsidP="00000000" w:rsidRDefault="00000000" w:rsidRPr="00000000" w14:paraId="00000003">
      <w:pPr>
        <w:spacing w:line="276"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Amex and NASDAQ equities typically have lower Book-to-Market Equity (BOE) ratios than bigger NYSE or FTSE stocks; The little group accounts for significantly less than half (approximately 8% in 1991) of the total value of the two size groupings. Bonds are an excellent choice for rejecting asset-pricing theories that forecast patterns in the cross-section of average returns. There is minimal evidence that government bond returns rise with maturity or that long-term corporate bonds outperform short-term government bonds in terms of average returns. Variables of term structure</w:t>
      </w:r>
    </w:p>
    <w:p w:rsidR="00000000" w:rsidDel="00000000" w:rsidP="00000000" w:rsidRDefault="00000000" w:rsidRPr="00000000" w14:paraId="00000004">
      <w:pPr>
        <w:spacing w:line="276"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TERM and DEF capture typical variance in stock and bond returns, but there is still plenty of variation remaining to explain by stock-market dynamics for equities and low-grade bonds. There are similarities between the TER and Lf slopes reported here and previous evidence that yield spreads predict bond and stock returns. Fama and French (1959) discovered that the spread of long-term bond yields minus short-term bond yields predicts stock and bond returns. In the case of equities, the market provides just two (of 25) R' values larger than 0.9; however, adding SMB and HML to the regressions resulted in significant gains in R2. Table 7 appears to illustrate that the only common difference in bond and stock returns is due to low-grade bonds.</w:t>
      </w:r>
    </w:p>
    <w:p w:rsidR="00000000" w:rsidDel="00000000" w:rsidP="00000000" w:rsidRDefault="00000000" w:rsidRPr="00000000" w14:paraId="00000005">
      <w:pPr>
        <w:spacing w:line="276"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Tables 3 and 6, on the other hand, show that when bond and stock market components are examined separately, there is significant shared variance. According to Table 8a, stocks rely heavily on RMO, TERCI, and DEF, yet there is minimal cross-sectional variance in these variables.</w:t>
      </w:r>
    </w:p>
    <w:p w:rsidR="00000000" w:rsidDel="00000000" w:rsidP="00000000" w:rsidRDefault="00000000" w:rsidRPr="00000000" w14:paraId="00000006">
      <w:pPr>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Tables 3–8 show that the regression slopes and R' values show that the stock market recovers. Risk factors are proxied by SMB, HhJL, and R.&amp;RF' (or R.MO). When SicIB and HAlL are the only explanatory variables, large positive intercepts for stocks provide an F-statistic that rejects the zero-intercepts hypothesis at the 0.98 level. Table 9a demonstrates that including the term-structure components TER.11 and DEF. in the stock-market tim2-series regressions has essentially little influence on the intercepts produced by the three stock-market determinants.</w:t>
      </w:r>
    </w:p>
    <w:p w:rsidR="00000000" w:rsidDel="00000000" w:rsidP="00000000" w:rsidRDefault="00000000" w:rsidRPr="00000000" w14:paraId="00000007">
      <w:pPr>
        <w:spacing w:line="276"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Regressions on time series are predicted. Book-to-market equities returns are similarly tied to January seasonals. The slopes on the January dummy tend to rise as BE '!Cf E rises. The additional January return for the two highest-BE.JE portfolios in a size quintile is always at least 2.38 percent each month, with a standard error of 2.85 percent from 0.86'5b.</w:t>
      </w:r>
    </w:p>
    <w:p w:rsidR="00000000" w:rsidDel="00000000" w:rsidP="00000000" w:rsidRDefault="00000000" w:rsidRPr="00000000" w14:paraId="00000008">
      <w:pPr>
        <w:spacing w:line="276"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Table 9 demonstrates that the January seasonals in our risk factors absorb the majority of the January returns in stock and bond returns. In January, the average S,LIB and H,tfL returns are 2.73 percent and 2.29 percent higher than in prior months. Summary data for one-factor and three-factor regressions for portfolios based on earnings price (EP) and dividend/price (D.'P) ratios are shown in Table 11.</w:t>
      </w:r>
    </w:p>
    <w:p w:rsidR="00000000" w:rsidDel="00000000" w:rsidP="00000000" w:rsidRDefault="00000000" w:rsidRPr="00000000" w14:paraId="00000009">
      <w:pPr>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A">
      <w:pPr>
        <w:spacing w:line="276" w:lineRule="auto"/>
        <w:rPr/>
      </w:pPr>
      <w:r w:rsidDel="00000000" w:rsidR="00000000" w:rsidRPr="00000000">
        <w:rPr>
          <w:rtl w:val="0"/>
        </w:rPr>
        <w:tab/>
        <w:tab/>
        <w:tab/>
        <w:tab/>
        <w:tab/>
        <w:tab/>
        <w:tab/>
        <w:tab/>
        <w:tab/>
      </w:r>
    </w:p>
    <w:p w:rsidR="00000000" w:rsidDel="00000000" w:rsidP="00000000" w:rsidRDefault="00000000" w:rsidRPr="00000000" w14:paraId="0000000B">
      <w:pPr>
        <w:spacing w:line="276" w:lineRule="auto"/>
        <w:rPr/>
      </w:pPr>
      <w:r w:rsidDel="00000000" w:rsidR="00000000" w:rsidRPr="00000000">
        <w:rPr>
          <w:rtl w:val="0"/>
        </w:rPr>
        <w:tab/>
      </w:r>
    </w:p>
    <w:p w:rsidR="00000000" w:rsidDel="00000000" w:rsidP="00000000" w:rsidRDefault="00000000" w:rsidRPr="00000000" w14:paraId="0000000C">
      <w:pPr>
        <w:spacing w:line="276" w:lineRule="auto"/>
        <w:rPr/>
      </w:pPr>
      <w:r w:rsidDel="00000000" w:rsidR="00000000" w:rsidRPr="00000000">
        <w:rPr>
          <w:rtl w:val="0"/>
        </w:rPr>
      </w:r>
    </w:p>
    <w:p w:rsidR="00000000" w:rsidDel="00000000" w:rsidP="00000000" w:rsidRDefault="00000000" w:rsidRPr="00000000" w14:paraId="0000000D">
      <w:pPr>
        <w:spacing w:line="276" w:lineRule="auto"/>
        <w:rPr/>
      </w:pPr>
      <w:r w:rsidDel="00000000" w:rsidR="00000000" w:rsidRPr="00000000">
        <w:rPr>
          <w:rtl w:val="0"/>
        </w:rPr>
        <w:tab/>
        <w:tab/>
        <w:tab/>
        <w:tab/>
        <w:tab/>
        <w:tab/>
        <w:tab/>
        <w:t xml:space="preserve">Tanaphat Chantweerawongs 6104641110</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