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164" w:rsidRDefault="0068339A" w:rsidP="001E4164">
      <w:pPr>
        <w:pStyle w:val="Title"/>
        <w:pBdr>
          <w:bottom w:val="single" w:sz="6" w:space="1" w:color="auto"/>
        </w:pBdr>
        <w:jc w:val="left"/>
        <w:rPr>
          <w:b w:val="0"/>
          <w:bCs w:val="0"/>
        </w:rPr>
      </w:pPr>
      <w:r>
        <w:rPr>
          <w:b w:val="0"/>
          <w:bCs w:val="0"/>
        </w:rPr>
        <w:t>Answer Key to Homework 2</w:t>
      </w:r>
      <w:r w:rsidR="001E4164">
        <w:rPr>
          <w:b w:val="0"/>
          <w:bCs w:val="0"/>
        </w:rPr>
        <w:tab/>
      </w:r>
      <w:r w:rsidR="001E4164">
        <w:rPr>
          <w:b w:val="0"/>
          <w:bCs w:val="0"/>
        </w:rPr>
        <w:tab/>
      </w:r>
      <w:r w:rsidR="001E4164">
        <w:rPr>
          <w:b w:val="0"/>
          <w:bCs w:val="0"/>
        </w:rPr>
        <w:tab/>
      </w:r>
      <w:r w:rsidR="001E4164">
        <w:rPr>
          <w:b w:val="0"/>
          <w:bCs w:val="0"/>
        </w:rPr>
        <w:tab/>
      </w:r>
      <w:r w:rsidR="001E4164">
        <w:rPr>
          <w:b w:val="0"/>
          <w:bCs w:val="0"/>
        </w:rPr>
        <w:tab/>
      </w:r>
      <w:r w:rsidR="001E4164">
        <w:rPr>
          <w:b w:val="0"/>
          <w:bCs w:val="0"/>
        </w:rPr>
        <w:tab/>
        <w:t>EE 462 Semester 1/2011</w:t>
      </w:r>
    </w:p>
    <w:p w:rsidR="0068339A" w:rsidRDefault="0068339A" w:rsidP="0068339A">
      <w:pPr>
        <w:pStyle w:val="MCQList1"/>
        <w:numPr>
          <w:ilvl w:val="0"/>
          <w:numId w:val="3"/>
        </w:numPr>
        <w:spacing w:before="0"/>
      </w:pPr>
      <w:r>
        <w:t>Denoting each variable by the appropriate country subscript, we write Equation (3.3) from page 63 in ratio form. That is,</w:t>
      </w:r>
    </w:p>
    <w:p w:rsidR="0068339A" w:rsidRDefault="0068339A" w:rsidP="0068339A">
      <w:pPr>
        <w:pStyle w:val="equation-1"/>
      </w:pPr>
      <w:r w:rsidRPr="003E2886">
        <w:rPr>
          <w:position w:val="-80"/>
        </w:rPr>
        <w:object w:dxaOrig="1960" w:dyaOrig="1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25pt;height:83.25pt" o:ole="">
            <v:imagedata r:id="rId5" o:title=""/>
          </v:shape>
          <o:OLEObject Type="Embed" ProgID="Equation.DSMT4" ShapeID="_x0000_i1025" DrawAspect="Content" ObjectID="_1378216066" r:id="rId6"/>
        </w:object>
      </w:r>
    </w:p>
    <w:p w:rsidR="0068339A" w:rsidRDefault="0068339A" w:rsidP="002C6069">
      <w:pPr>
        <w:pStyle w:val="MCQList1"/>
        <w:spacing w:line="240" w:lineRule="exact"/>
        <w:ind w:left="720"/>
      </w:pPr>
      <w:r>
        <w:tab/>
      </w:r>
      <w:r w:rsidR="002C6069">
        <w:tab/>
      </w:r>
      <w:r>
        <w:t xml:space="preserve">Since productivity, </w:t>
      </w:r>
      <w:r>
        <w:rPr>
          <w:i/>
        </w:rPr>
        <w:t>A</w:t>
      </w:r>
      <w:r>
        <w:t>, and depreciation</w:t>
      </w:r>
      <w:proofErr w:type="gramStart"/>
      <w:r>
        <w:t xml:space="preserve">, </w:t>
      </w:r>
      <w:proofErr w:type="gramEnd"/>
      <w:r>
        <w:rPr>
          <w:rFonts w:ascii="Symbol" w:hAnsi="Symbol"/>
          <w:i/>
          <w:iCs/>
        </w:rPr>
        <w:sym w:font="Symbol" w:char="F064"/>
      </w:r>
      <w:r>
        <w:t>, are the same, we can cancel them and rewrite the previous ratio with the appropriate values:</w:t>
      </w:r>
      <w:r>
        <w:rPr>
          <w:spacing w:val="-40"/>
        </w:rPr>
        <w:t xml:space="preserve"> </w:t>
      </w:r>
      <w:r w:rsidRPr="003E2886">
        <w:rPr>
          <w:position w:val="-10"/>
        </w:rPr>
        <w:object w:dxaOrig="1700" w:dyaOrig="320">
          <v:shape id="_x0000_i1026" type="#_x0000_t75" style="width:84.75pt;height:15.75pt" o:ole="">
            <v:imagedata r:id="rId7" o:title=""/>
          </v:shape>
          <o:OLEObject Type="Embed" ProgID="Equation.DSMT4" ShapeID="_x0000_i1026" DrawAspect="Content" ObjectID="_1378216067" r:id="rId8"/>
        </w:object>
      </w:r>
      <w:r>
        <w:t>and setting</w:t>
      </w:r>
      <w:r w:rsidRPr="003E2886">
        <w:rPr>
          <w:position w:val="-6"/>
        </w:rPr>
        <w:object w:dxaOrig="800" w:dyaOrig="260">
          <v:shape id="_x0000_i1027" type="#_x0000_t75" style="width:39.75pt;height:12.75pt" o:ole="">
            <v:imagedata r:id="rId9" o:title=""/>
          </v:shape>
          <o:OLEObject Type="Embed" ProgID="Equation.DSMT4" ShapeID="_x0000_i1027" DrawAspect="Content" ObjectID="_1378216068" r:id="rId10"/>
        </w:object>
      </w:r>
    </w:p>
    <w:p w:rsidR="0068339A" w:rsidRDefault="0068339A" w:rsidP="0068339A">
      <w:pPr>
        <w:pStyle w:val="equation-1"/>
      </w:pPr>
      <w:r w:rsidRPr="003E2886">
        <w:rPr>
          <w:position w:val="-30"/>
        </w:rPr>
        <w:object w:dxaOrig="4480" w:dyaOrig="840">
          <v:shape id="_x0000_i1028" type="#_x0000_t75" style="width:224.25pt;height:42pt" o:ole="">
            <v:imagedata r:id="rId11" o:title=""/>
          </v:shape>
          <o:OLEObject Type="Embed" ProgID="Equation.DSMT4" ShapeID="_x0000_i1028" DrawAspect="Content" ObjectID="_1378216069" r:id="rId12"/>
        </w:object>
      </w:r>
    </w:p>
    <w:p w:rsidR="0068339A" w:rsidRDefault="0068339A" w:rsidP="0068339A">
      <w:pPr>
        <w:pStyle w:val="MCQList1"/>
      </w:pPr>
      <w:r>
        <w:tab/>
      </w:r>
      <w:r w:rsidR="002C6069">
        <w:tab/>
      </w:r>
      <w:r w:rsidR="002C6069">
        <w:tab/>
      </w:r>
      <w:r>
        <w:t>For</w:t>
      </w:r>
      <m:oMath>
        <m:r>
          <w:rPr>
            <w:rFonts w:ascii="Cambria Math" w:hAnsi="Cambria Math"/>
          </w:rPr>
          <m:t xml:space="preserve"> ∝=2/3</m:t>
        </m:r>
      </m:oMath>
      <w:r w:rsidR="00C71E3C">
        <w:t xml:space="preserve"> </w:t>
      </w:r>
      <w:r>
        <w:t>we get,</w:t>
      </w:r>
    </w:p>
    <w:p w:rsidR="0068339A" w:rsidRDefault="0068339A" w:rsidP="0068339A">
      <w:pPr>
        <w:pStyle w:val="equation-1"/>
      </w:pPr>
      <w:r w:rsidRPr="003E2886">
        <w:rPr>
          <w:position w:val="-10"/>
        </w:rPr>
        <w:object w:dxaOrig="180" w:dyaOrig="340">
          <v:shape id="_x0000_i1029" type="#_x0000_t75" style="width:9pt;height:17.25pt" o:ole="">
            <v:imagedata r:id="rId13" o:title=""/>
          </v:shape>
          <o:OLEObject Type="Embed" ProgID="Equation.3" ShapeID="_x0000_i1029" DrawAspect="Content" ObjectID="_1378216070" r:id="rId14"/>
        </w:object>
      </w:r>
      <m:oMath>
        <m:f>
          <m:fPr>
            <m:ctrlPr>
              <w:rPr>
                <w:rFonts w:ascii="Cambria Math" w:hAnsi="Cambria Math"/>
                <w:i/>
              </w:rPr>
            </m:ctrlPr>
          </m:fPr>
          <m:num>
            <m:sSub>
              <m:sSubPr>
                <m:ctrlPr>
                  <w:rPr>
                    <w:rFonts w:ascii="Cambria Math" w:hAnsi="Cambria Math"/>
                    <w:i/>
                  </w:rPr>
                </m:ctrlPr>
              </m:sSubPr>
              <m:e>
                <m:r>
                  <w:rPr>
                    <w:rFonts w:ascii="Cambria Math" w:hAnsi="Cambria Math"/>
                  </w:rPr>
                  <m:t>y</m:t>
                </m:r>
              </m:e>
              <m:sub>
                <m:r>
                  <w:rPr>
                    <w:rFonts w:ascii="Cambria Math" w:hAnsi="Cambria Math"/>
                  </w:rPr>
                  <m:t>1,ss</m:t>
                </m:r>
              </m:sub>
            </m:sSub>
          </m:num>
          <m:den>
            <m:sSub>
              <m:sSubPr>
                <m:ctrlPr>
                  <w:rPr>
                    <w:rFonts w:ascii="Cambria Math" w:hAnsi="Cambria Math"/>
                    <w:i/>
                  </w:rPr>
                </m:ctrlPr>
              </m:sSubPr>
              <m:e>
                <m:r>
                  <w:rPr>
                    <w:rFonts w:ascii="Cambria Math" w:hAnsi="Cambria Math"/>
                  </w:rPr>
                  <m:t>y</m:t>
                </m:r>
              </m:e>
              <m:sub>
                <m:r>
                  <w:rPr>
                    <w:rFonts w:ascii="Cambria Math" w:hAnsi="Cambria Math"/>
                  </w:rPr>
                  <m:t>2,ss</m:t>
                </m:r>
              </m:sub>
            </m:sSub>
          </m:den>
        </m:f>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γ</m:t>
                        </m:r>
                      </m:e>
                      <m:sub>
                        <m:r>
                          <w:rPr>
                            <w:rFonts w:ascii="Cambria Math" w:hAnsi="Cambria Math"/>
                          </w:rPr>
                          <m:t>1</m:t>
                        </m:r>
                      </m:sub>
                    </m:sSub>
                  </m:num>
                  <m:den>
                    <m:sSub>
                      <m:sSubPr>
                        <m:ctrlPr>
                          <w:rPr>
                            <w:rFonts w:ascii="Cambria Math" w:hAnsi="Cambria Math"/>
                            <w:i/>
                          </w:rPr>
                        </m:ctrlPr>
                      </m:sSubPr>
                      <m:e>
                        <m:r>
                          <w:rPr>
                            <w:rFonts w:ascii="Cambria Math" w:hAnsi="Cambria Math"/>
                          </w:rPr>
                          <m:t>γ</m:t>
                        </m:r>
                      </m:e>
                      <m:sub>
                        <m:r>
                          <w:rPr>
                            <w:rFonts w:ascii="Cambria Math" w:hAnsi="Cambria Math"/>
                          </w:rPr>
                          <m:t>2</m:t>
                        </m:r>
                      </m:sub>
                    </m:sSub>
                  </m:den>
                </m:f>
              </m:e>
            </m:d>
          </m:e>
          <m:sup>
            <m:f>
              <m:fPr>
                <m:ctrlPr>
                  <w:rPr>
                    <w:rFonts w:ascii="Cambria Math" w:hAnsi="Cambria Math"/>
                    <w:i/>
                  </w:rPr>
                </m:ctrlPr>
              </m:fPr>
              <m:num>
                <m:r>
                  <w:rPr>
                    <w:rFonts w:ascii="Cambria Math" w:hAnsi="Cambria Math"/>
                  </w:rPr>
                  <m:t>∝</m:t>
                </m:r>
              </m:num>
              <m:den>
                <m:r>
                  <w:rPr>
                    <w:rFonts w:ascii="Cambria Math" w:hAnsi="Cambria Math"/>
                  </w:rPr>
                  <m:t>1-∝</m:t>
                </m:r>
              </m:den>
            </m:f>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0.05</m:t>
                </m:r>
              </m:num>
              <m:den>
                <m:r>
                  <w:rPr>
                    <w:rFonts w:ascii="Cambria Math" w:hAnsi="Cambria Math"/>
                  </w:rPr>
                  <m:t>0.2</m:t>
                </m:r>
              </m:den>
            </m:f>
            <m:r>
              <w:rPr>
                <w:rFonts w:ascii="Cambria Math" w:hAnsi="Cambria Math"/>
              </w:rPr>
              <m:t>)</m:t>
            </m:r>
          </m:e>
          <m:sup>
            <m:r>
              <w:rPr>
                <w:rFonts w:ascii="Cambria Math" w:hAnsi="Cambria Math"/>
              </w:rPr>
              <m:t>{</m:t>
            </m:r>
            <m:f>
              <m:fPr>
                <m:type m:val="skw"/>
                <m:ctrlPr>
                  <w:rPr>
                    <w:rFonts w:ascii="Cambria Math" w:hAnsi="Cambria Math"/>
                    <w:i/>
                  </w:rPr>
                </m:ctrlPr>
              </m:fPr>
              <m:num>
                <m:r>
                  <w:rPr>
                    <w:rFonts w:ascii="Cambria Math" w:hAnsi="Cambria Math"/>
                  </w:rPr>
                  <m:t>2/3</m:t>
                </m:r>
              </m:num>
              <m:den>
                <m:r>
                  <w:rPr>
                    <w:rFonts w:ascii="Cambria Math" w:hAnsi="Cambria Math"/>
                  </w:rPr>
                  <m:t>1-</m:t>
                </m:r>
                <m:f>
                  <m:fPr>
                    <m:ctrlPr>
                      <w:rPr>
                        <w:rFonts w:ascii="Cambria Math" w:hAnsi="Cambria Math"/>
                        <w:i/>
                      </w:rPr>
                    </m:ctrlPr>
                  </m:fPr>
                  <m:num>
                    <m:r>
                      <w:rPr>
                        <w:rFonts w:ascii="Cambria Math" w:hAnsi="Cambria Math"/>
                      </w:rPr>
                      <m:t>2</m:t>
                    </m:r>
                  </m:num>
                  <m:den>
                    <m:r>
                      <w:rPr>
                        <w:rFonts w:ascii="Cambria Math" w:hAnsi="Cambria Math"/>
                      </w:rPr>
                      <m:t>3</m:t>
                    </m:r>
                  </m:den>
                </m:f>
              </m:den>
            </m:f>
            <m:r>
              <w:rPr>
                <w:rFonts w:ascii="Cambria Math" w:hAnsi="Cambria Math"/>
              </w:rPr>
              <m:t>}</m:t>
            </m:r>
          </m:sup>
        </m:sSup>
        <m:r>
          <w:rPr>
            <w:rFonts w:ascii="Cambria Math" w:hAnsi="Cambria Math"/>
          </w:rPr>
          <m:t>=</m:t>
        </m:r>
        <m:sSup>
          <m:sSupPr>
            <m:ctrlPr>
              <w:rPr>
                <w:rFonts w:ascii="Cambria Math" w:hAnsi="Cambria Math"/>
                <w:i/>
              </w:rPr>
            </m:ctrlPr>
          </m:sSupPr>
          <m:e>
            <m:r>
              <w:rPr>
                <w:rFonts w:ascii="Cambria Math" w:hAnsi="Cambria Math"/>
              </w:rPr>
              <m:t>(0.25)</m:t>
            </m:r>
          </m:e>
          <m:sup>
            <m:r>
              <w:rPr>
                <w:rFonts w:ascii="Cambria Math" w:hAnsi="Cambria Math"/>
              </w:rPr>
              <m:t>2</m:t>
            </m:r>
          </m:sup>
        </m:sSup>
        <m:r>
          <w:rPr>
            <w:rFonts w:ascii="Cambria Math" w:hAnsi="Cambria Math"/>
          </w:rPr>
          <m:t>=0.0625</m:t>
        </m:r>
      </m:oMath>
    </w:p>
    <w:p w:rsidR="0068339A" w:rsidRDefault="0068339A" w:rsidP="0068339A">
      <w:pPr>
        <w:pStyle w:val="MCQList1"/>
      </w:pPr>
      <w:r>
        <w:tab/>
      </w:r>
      <w:r w:rsidR="002C6069">
        <w:tab/>
      </w:r>
      <w:r w:rsidR="002C6069">
        <w:tab/>
      </w:r>
      <w:r>
        <w:t xml:space="preserve">Therefore, when </w:t>
      </w:r>
      <w:r w:rsidRPr="003E2886">
        <w:rPr>
          <w:position w:val="-8"/>
        </w:rPr>
        <w:object w:dxaOrig="780" w:dyaOrig="279">
          <v:shape id="_x0000_i1030" type="#_x0000_t75" style="width:39pt;height:14.25pt" o:ole="">
            <v:imagedata r:id="rId15" o:title=""/>
          </v:shape>
          <o:OLEObject Type="Embed" ProgID="Equation.DSMT4" ShapeID="_x0000_i1030" DrawAspect="Content" ObjectID="_1378216071" r:id="rId16"/>
        </w:object>
      </w:r>
      <w:r>
        <w:t xml:space="preserve"> the ratio is 0.5 or 1 to 2 and when </w:t>
      </w:r>
      <m:oMath>
        <m:r>
          <w:rPr>
            <w:rFonts w:ascii="Cambria Math" w:hAnsi="Cambria Math"/>
          </w:rPr>
          <m:t>∝=2/3</m:t>
        </m:r>
      </m:oMath>
      <w:r w:rsidR="002C37B7">
        <w:t xml:space="preserve"> </w:t>
      </w:r>
      <w:r>
        <w:t xml:space="preserve"> the ratio is 0.</w:t>
      </w:r>
      <w:r w:rsidR="002C37B7">
        <w:t>0625</w:t>
      </w:r>
      <w:r>
        <w:t>.</w:t>
      </w:r>
    </w:p>
    <w:p w:rsidR="00DA60A7" w:rsidRDefault="00DA60A7" w:rsidP="00DA60A7">
      <w:pPr>
        <w:pStyle w:val="MCQList1a"/>
        <w:numPr>
          <w:ilvl w:val="0"/>
          <w:numId w:val="3"/>
        </w:numPr>
        <w:tabs>
          <w:tab w:val="clear" w:pos="274"/>
        </w:tabs>
      </w:pPr>
      <w:r>
        <w:t>a.</w:t>
      </w:r>
      <w:r>
        <w:tab/>
        <w:t>We begin from Point A, where the population size is stabl</w:t>
      </w:r>
      <w:r w:rsidR="002C6069">
        <w:t xml:space="preserve">e with no growth. With the </w:t>
      </w:r>
      <w:r>
        <w:t xml:space="preserve">discovery of a new strain of wheat that is twice as productive, the curve relating population size and income </w:t>
      </w:r>
      <w:r>
        <w:rPr>
          <w:spacing w:val="-2"/>
        </w:rPr>
        <w:t>per capita shifts outward. At this point, we are at Point B. Here, population growth will be positive</w:t>
      </w:r>
      <w:r>
        <w:t xml:space="preserve"> because of the high level of income per capita. As population grows and income per capita falls, we move along both curves as shown by the arrows and approach the long run steady-state level, Point C. At Point C, we are at a higher population but with no growth in population.</w:t>
      </w:r>
    </w:p>
    <w:p w:rsidR="00DA60A7" w:rsidRDefault="00DA60A7" w:rsidP="00DA60A7">
      <w:pPr>
        <w:pStyle w:val="awTBfig"/>
        <w:keepNext w:val="0"/>
        <w:ind w:left="852"/>
      </w:pPr>
      <w:r>
        <w:rPr>
          <w:noProof/>
          <w:snapToGrid/>
          <w:lang w:bidi="th-TH"/>
        </w:rPr>
        <w:drawing>
          <wp:inline distT="0" distB="0" distL="0" distR="0">
            <wp:extent cx="4191000" cy="1885950"/>
            <wp:effectExtent l="19050" t="0" r="0" b="0"/>
            <wp:docPr id="45" name="Picture 45" descr="04xQ0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04xQ02a"/>
                    <pic:cNvPicPr>
                      <a:picLocks noChangeAspect="1" noChangeArrowheads="1"/>
                    </pic:cNvPicPr>
                  </pic:nvPicPr>
                  <pic:blipFill>
                    <a:blip r:embed="rId17" cstate="print"/>
                    <a:srcRect/>
                    <a:stretch>
                      <a:fillRect/>
                    </a:stretch>
                  </pic:blipFill>
                  <pic:spPr bwMode="auto">
                    <a:xfrm>
                      <a:off x="0" y="0"/>
                      <a:ext cx="4191000" cy="1885950"/>
                    </a:xfrm>
                    <a:prstGeom prst="rect">
                      <a:avLst/>
                    </a:prstGeom>
                    <a:noFill/>
                    <a:ln w="9525">
                      <a:noFill/>
                      <a:miter lim="800000"/>
                      <a:headEnd/>
                      <a:tailEnd/>
                    </a:ln>
                  </pic:spPr>
                </pic:pic>
              </a:graphicData>
            </a:graphic>
          </wp:inline>
        </w:drawing>
      </w:r>
    </w:p>
    <w:p w:rsidR="00DA60A7" w:rsidRDefault="00DA60A7" w:rsidP="00DA60A7">
      <w:pPr>
        <w:pStyle w:val="MCQList2"/>
      </w:pPr>
      <w:r>
        <w:br w:type="page"/>
      </w:r>
      <w:r>
        <w:lastRenderedPageBreak/>
        <w:t>b.</w:t>
      </w:r>
      <w:r>
        <w:tab/>
        <w:t>We begin from Point A, where the population size is stable with no growth. With war killing half the population, no curve is shifted. Instead, we jump to Point B along the original curve. At this point, we have half the population with a higher income per capita level allowing population growth. As the population grows and income per capita falls, we move along both curves to reach the long run equilibrium Point A. That is, the death of half the population results in temporary gains and temporary population growth with no long-lasting impact on the ultimate steady-state population.</w:t>
      </w:r>
    </w:p>
    <w:p w:rsidR="00DA60A7" w:rsidRDefault="00DA60A7" w:rsidP="00DA60A7">
      <w:pPr>
        <w:pStyle w:val="awTBfig"/>
        <w:ind w:left="840"/>
      </w:pPr>
      <w:r>
        <w:rPr>
          <w:noProof/>
          <w:snapToGrid/>
          <w:lang w:bidi="th-TH"/>
        </w:rPr>
        <w:drawing>
          <wp:inline distT="0" distB="0" distL="0" distR="0">
            <wp:extent cx="4619625" cy="1971675"/>
            <wp:effectExtent l="19050" t="0" r="9525" b="0"/>
            <wp:docPr id="46" name="Picture 46" descr="04xQ0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04xQ02b"/>
                    <pic:cNvPicPr>
                      <a:picLocks noChangeAspect="1" noChangeArrowheads="1"/>
                    </pic:cNvPicPr>
                  </pic:nvPicPr>
                  <pic:blipFill>
                    <a:blip r:embed="rId18" cstate="print"/>
                    <a:srcRect/>
                    <a:stretch>
                      <a:fillRect/>
                    </a:stretch>
                  </pic:blipFill>
                  <pic:spPr bwMode="auto">
                    <a:xfrm>
                      <a:off x="0" y="0"/>
                      <a:ext cx="4619625" cy="1971675"/>
                    </a:xfrm>
                    <a:prstGeom prst="rect">
                      <a:avLst/>
                    </a:prstGeom>
                    <a:noFill/>
                    <a:ln w="9525">
                      <a:noFill/>
                      <a:miter lim="800000"/>
                      <a:headEnd/>
                      <a:tailEnd/>
                    </a:ln>
                  </pic:spPr>
                </pic:pic>
              </a:graphicData>
            </a:graphic>
          </wp:inline>
        </w:drawing>
      </w:r>
    </w:p>
    <w:p w:rsidR="00DA60A7" w:rsidRDefault="00DA60A7" w:rsidP="00DA60A7">
      <w:pPr>
        <w:pStyle w:val="MCQList2"/>
        <w:spacing w:before="200"/>
      </w:pPr>
      <w:r>
        <w:t>c.</w:t>
      </w:r>
      <w:r>
        <w:tab/>
        <w:t xml:space="preserve">We begin from Point A, where the population size is stable with no growth. With a volcanic eruption that kills half the people, we are faced with the same scenario as in Part (b). However, the volcanic eruption destroys half the land, shifting the curve relating population size and income per capita inward. The magnitude of the shift is such that, at the new population size </w:t>
      </w:r>
      <w:r>
        <w:br/>
        <w:t>and income per capita, growth in the population is zero. This is illustrated to be Point B. The short-run equilibrium and the long-run equilibrium are identical in this scenario.</w:t>
      </w:r>
    </w:p>
    <w:p w:rsidR="00DA60A7" w:rsidRDefault="00DA60A7" w:rsidP="00DA60A7">
      <w:pPr>
        <w:pStyle w:val="MCQList1"/>
      </w:pPr>
      <w:r>
        <w:rPr>
          <w:noProof/>
          <w:snapToGrid/>
          <w:lang w:bidi="th-TH"/>
        </w:rPr>
        <w:drawing>
          <wp:inline distT="0" distB="0" distL="0" distR="0">
            <wp:extent cx="4438650" cy="1971675"/>
            <wp:effectExtent l="19050" t="0" r="0" b="0"/>
            <wp:docPr id="47" name="Picture 47" descr="04xQ0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04xQ02c"/>
                    <pic:cNvPicPr>
                      <a:picLocks noChangeAspect="1" noChangeArrowheads="1"/>
                    </pic:cNvPicPr>
                  </pic:nvPicPr>
                  <pic:blipFill>
                    <a:blip r:embed="rId19" cstate="print"/>
                    <a:srcRect/>
                    <a:stretch>
                      <a:fillRect/>
                    </a:stretch>
                  </pic:blipFill>
                  <pic:spPr bwMode="auto">
                    <a:xfrm>
                      <a:off x="0" y="0"/>
                      <a:ext cx="4438650" cy="1971675"/>
                    </a:xfrm>
                    <a:prstGeom prst="rect">
                      <a:avLst/>
                    </a:prstGeom>
                    <a:noFill/>
                    <a:ln w="9525">
                      <a:noFill/>
                      <a:miter lim="800000"/>
                      <a:headEnd/>
                      <a:tailEnd/>
                    </a:ln>
                  </pic:spPr>
                </pic:pic>
              </a:graphicData>
            </a:graphic>
          </wp:inline>
        </w:drawing>
      </w:r>
    </w:p>
    <w:p w:rsidR="00DA60A7" w:rsidRDefault="00DA60A7" w:rsidP="00DA60A7">
      <w:pPr>
        <w:pStyle w:val="MCQList1Sub"/>
        <w:numPr>
          <w:ilvl w:val="0"/>
          <w:numId w:val="3"/>
        </w:numPr>
        <w:spacing w:after="0"/>
      </w:pPr>
      <w:r>
        <w:t>a.</w:t>
      </w:r>
      <w:r>
        <w:tab/>
        <w:t xml:space="preserve">TFR </w:t>
      </w:r>
      <w:r>
        <w:rPr>
          <w:rFonts w:ascii="Symbol" w:hAnsi="Symbol"/>
        </w:rPr>
        <w:t></w:t>
      </w:r>
      <w:r>
        <w:rPr>
          <w:rFonts w:ascii="Symbol" w:hAnsi="Symbol"/>
        </w:rPr>
        <w:t></w:t>
      </w:r>
      <w:r>
        <w:t xml:space="preserve">4. </w:t>
      </w:r>
    </w:p>
    <w:p w:rsidR="00DA60A7" w:rsidRDefault="00DA60A7" w:rsidP="004E2728">
      <w:pPr>
        <w:pStyle w:val="MCQList2"/>
        <w:tabs>
          <w:tab w:val="left" w:pos="1524"/>
        </w:tabs>
        <w:spacing w:before="60"/>
      </w:pPr>
      <w:r>
        <w:tab/>
        <w:t xml:space="preserve">NRR </w:t>
      </w:r>
      <w:r>
        <w:rPr>
          <w:rFonts w:ascii="Symbol" w:hAnsi="Symbol"/>
        </w:rPr>
        <w:t></w:t>
      </w:r>
      <w:r>
        <w:t xml:space="preserve"> (1/2) </w:t>
      </w:r>
      <w:r>
        <w:rPr>
          <w:rFonts w:ascii="Symbol" w:hAnsi="Symbol"/>
        </w:rPr>
        <w:sym w:font="Symbol" w:char="F0B4"/>
      </w:r>
      <w:r>
        <w:t xml:space="preserve"> [(1 child) </w:t>
      </w:r>
      <w:r>
        <w:rPr>
          <w:rFonts w:ascii="Symbol" w:hAnsi="Symbol"/>
        </w:rPr>
        <w:sym w:font="Symbol" w:char="F0B4"/>
      </w:r>
      <w:r>
        <w:t xml:space="preserve"> (Probability of reaching age 25) </w:t>
      </w:r>
      <w:r>
        <w:rPr>
          <w:rFonts w:ascii="Symbol" w:hAnsi="Symbol"/>
        </w:rPr>
        <w:t></w:t>
      </w:r>
      <w:r>
        <w:t xml:space="preserve"> (1 child) </w:t>
      </w:r>
      <w:r>
        <w:rPr>
          <w:rFonts w:ascii="Symbol" w:hAnsi="Symbol"/>
        </w:rPr>
        <w:sym w:font="Symbol" w:char="F0B4"/>
      </w:r>
      <w:r>
        <w:t xml:space="preserve"> (Probability of reaching age 28) </w:t>
      </w:r>
      <w:r>
        <w:rPr>
          <w:rFonts w:ascii="Symbol" w:hAnsi="Symbol"/>
        </w:rPr>
        <w:t></w:t>
      </w:r>
      <w:proofErr w:type="gramStart"/>
      <w:r>
        <w:rPr>
          <w:rFonts w:ascii="Symbol" w:hAnsi="Symbol"/>
        </w:rPr>
        <w:t></w:t>
      </w:r>
      <w:r>
        <w:t>(</w:t>
      </w:r>
      <w:proofErr w:type="gramEnd"/>
      <w:r>
        <w:t xml:space="preserve">1 child) </w:t>
      </w:r>
      <w:r>
        <w:rPr>
          <w:rFonts w:ascii="Symbol" w:hAnsi="Symbol"/>
        </w:rPr>
        <w:sym w:font="Symbol" w:char="F0B4"/>
      </w:r>
      <w:r>
        <w:t xml:space="preserve"> (Probability of reaching age 32) </w:t>
      </w:r>
      <w:r>
        <w:rPr>
          <w:rFonts w:ascii="Symbol" w:hAnsi="Symbol"/>
        </w:rPr>
        <w:t></w:t>
      </w:r>
      <w:r>
        <w:rPr>
          <w:rFonts w:ascii="Symbol" w:hAnsi="Symbol"/>
        </w:rPr>
        <w:t></w:t>
      </w:r>
      <w:r>
        <w:t xml:space="preserve">(1 child) </w:t>
      </w:r>
      <w:r>
        <w:rPr>
          <w:rFonts w:ascii="Symbol" w:hAnsi="Symbol"/>
        </w:rPr>
        <w:sym w:font="Symbol" w:char="F0B4"/>
      </w:r>
      <w:r>
        <w:t xml:space="preserve"> (Probability of reaching </w:t>
      </w:r>
      <w:r>
        <w:br/>
        <w:t>age 35)]</w:t>
      </w:r>
      <w:r w:rsidR="004E2728">
        <w:t xml:space="preserve"> </w:t>
      </w:r>
      <w:r>
        <w:t>Substituting in the given information, we get</w:t>
      </w:r>
      <w:r w:rsidR="00A30769">
        <w:t xml:space="preserve"> </w:t>
      </w:r>
      <w:r>
        <w:t>NRR</w:t>
      </w:r>
      <w:r>
        <w:rPr>
          <w:rFonts w:ascii="Symbol" w:hAnsi="Symbol"/>
        </w:rPr>
        <w:t></w:t>
      </w:r>
      <w:r>
        <w:t xml:space="preserve"> (1/2) </w:t>
      </w:r>
      <w:r>
        <w:rPr>
          <w:rFonts w:ascii="Symbol" w:hAnsi="Symbol"/>
        </w:rPr>
        <w:sym w:font="Symbol" w:char="F0B4"/>
      </w:r>
      <w:r>
        <w:t xml:space="preserve"> [(2/3) </w:t>
      </w:r>
      <w:r>
        <w:rPr>
          <w:rFonts w:ascii="Symbol" w:hAnsi="Symbol"/>
        </w:rPr>
        <w:t></w:t>
      </w:r>
      <w:r>
        <w:t xml:space="preserve"> (2/3) </w:t>
      </w:r>
      <w:r>
        <w:rPr>
          <w:rFonts w:ascii="Symbol" w:hAnsi="Symbol"/>
        </w:rPr>
        <w:t></w:t>
      </w:r>
      <w:r>
        <w:t xml:space="preserve"> (1/3) </w:t>
      </w:r>
      <w:r>
        <w:rPr>
          <w:rFonts w:ascii="Symbol" w:hAnsi="Symbol"/>
        </w:rPr>
        <w:t></w:t>
      </w:r>
      <w:r>
        <w:t xml:space="preserve"> (1/3)] </w:t>
      </w:r>
      <w:r>
        <w:rPr>
          <w:rFonts w:ascii="Symbol" w:hAnsi="Symbol"/>
        </w:rPr>
        <w:t></w:t>
      </w:r>
      <w:r>
        <w:t xml:space="preserve"> 1</w:t>
      </w:r>
    </w:p>
    <w:p w:rsidR="00DA60A7" w:rsidRDefault="00DA60A7" w:rsidP="00DA60A7">
      <w:pPr>
        <w:pStyle w:val="MCQList2"/>
        <w:spacing w:before="80"/>
        <w:rPr>
          <w:lang w:val="de-DE"/>
        </w:rPr>
      </w:pPr>
      <w:r>
        <w:rPr>
          <w:lang w:val="de-DE"/>
        </w:rPr>
        <w:tab/>
        <w:t>b.</w:t>
      </w:r>
      <w:r>
        <w:rPr>
          <w:lang w:val="de-DE"/>
        </w:rPr>
        <w:tab/>
        <w:t xml:space="preserve">NRR </w:t>
      </w:r>
      <w:r>
        <w:rPr>
          <w:rFonts w:ascii="Symbol" w:hAnsi="Symbol"/>
          <w:lang w:val="de-DE"/>
        </w:rPr>
        <w:t></w:t>
      </w:r>
      <w:r>
        <w:rPr>
          <w:lang w:val="de-DE"/>
        </w:rPr>
        <w:t xml:space="preserve"> (1/2) </w:t>
      </w:r>
      <w:r>
        <w:rPr>
          <w:rFonts w:ascii="Symbol" w:hAnsi="Symbol"/>
        </w:rPr>
        <w:sym w:font="Symbol" w:char="F0B4"/>
      </w:r>
      <w:r>
        <w:rPr>
          <w:lang w:val="de-DE"/>
        </w:rPr>
        <w:t xml:space="preserve"> [(1) </w:t>
      </w:r>
      <w:r>
        <w:rPr>
          <w:rFonts w:ascii="Symbol" w:hAnsi="Symbol"/>
          <w:lang w:val="de-DE"/>
        </w:rPr>
        <w:t></w:t>
      </w:r>
      <w:r>
        <w:rPr>
          <w:rFonts w:ascii="Symbol" w:hAnsi="Symbol"/>
          <w:lang w:val="de-DE"/>
        </w:rPr>
        <w:t></w:t>
      </w:r>
      <w:r>
        <w:rPr>
          <w:lang w:val="de-DE"/>
        </w:rPr>
        <w:t xml:space="preserve">(1) </w:t>
      </w:r>
      <w:r>
        <w:rPr>
          <w:rFonts w:ascii="Symbol" w:hAnsi="Symbol"/>
          <w:lang w:val="de-DE"/>
        </w:rPr>
        <w:t></w:t>
      </w:r>
      <w:r>
        <w:rPr>
          <w:rFonts w:ascii="Symbol" w:hAnsi="Symbol"/>
          <w:lang w:val="de-DE"/>
        </w:rPr>
        <w:t></w:t>
      </w:r>
      <w:r>
        <w:rPr>
          <w:lang w:val="de-DE"/>
        </w:rPr>
        <w:t xml:space="preserve">(1/2) </w:t>
      </w:r>
      <w:r>
        <w:rPr>
          <w:rFonts w:ascii="Symbol" w:hAnsi="Symbol"/>
          <w:lang w:val="de-DE"/>
        </w:rPr>
        <w:t></w:t>
      </w:r>
      <w:r>
        <w:rPr>
          <w:rFonts w:ascii="Symbol" w:hAnsi="Symbol"/>
          <w:lang w:val="de-DE"/>
        </w:rPr>
        <w:t></w:t>
      </w:r>
      <w:r>
        <w:rPr>
          <w:lang w:val="de-DE"/>
        </w:rPr>
        <w:t xml:space="preserve">(1/2)] </w:t>
      </w:r>
      <w:r>
        <w:rPr>
          <w:rFonts w:ascii="Symbol" w:hAnsi="Symbol"/>
          <w:lang w:val="de-DE"/>
        </w:rPr>
        <w:t></w:t>
      </w:r>
      <w:r>
        <w:rPr>
          <w:lang w:val="de-DE"/>
        </w:rPr>
        <w:t xml:space="preserve"> 1.5 </w:t>
      </w:r>
    </w:p>
    <w:p w:rsidR="00DA60A7" w:rsidRDefault="00DA60A7" w:rsidP="00DA60A7">
      <w:pPr>
        <w:pStyle w:val="MCQList2"/>
        <w:spacing w:before="80"/>
        <w:rPr>
          <w:lang w:val="de-DE"/>
        </w:rPr>
      </w:pPr>
      <w:r>
        <w:rPr>
          <w:lang w:val="de-DE"/>
        </w:rPr>
        <w:tab/>
        <w:t>c.</w:t>
      </w:r>
      <w:r>
        <w:rPr>
          <w:lang w:val="de-DE"/>
        </w:rPr>
        <w:tab/>
        <w:t xml:space="preserve">TFR </w:t>
      </w:r>
      <w:r>
        <w:rPr>
          <w:rFonts w:ascii="Symbol" w:hAnsi="Symbol"/>
          <w:lang w:val="de-DE"/>
        </w:rPr>
        <w:t></w:t>
      </w:r>
      <w:r>
        <w:rPr>
          <w:lang w:val="de-DE"/>
        </w:rPr>
        <w:t xml:space="preserve"> 2 </w:t>
      </w:r>
    </w:p>
    <w:p w:rsidR="00DA60A7" w:rsidRDefault="00DA60A7" w:rsidP="00DA60A7">
      <w:pPr>
        <w:pStyle w:val="MCQList2sub"/>
        <w:spacing w:before="60" w:after="0"/>
        <w:rPr>
          <w:lang w:val="de-DE"/>
        </w:rPr>
      </w:pPr>
      <w:r>
        <w:rPr>
          <w:lang w:val="de-DE"/>
        </w:rPr>
        <w:tab/>
        <w:t xml:space="preserve">NRR </w:t>
      </w:r>
      <w:r>
        <w:rPr>
          <w:rFonts w:ascii="Symbol" w:hAnsi="Symbol"/>
          <w:lang w:val="de-DE"/>
        </w:rPr>
        <w:t></w:t>
      </w:r>
      <w:r>
        <w:rPr>
          <w:lang w:val="de-DE"/>
        </w:rPr>
        <w:t xml:space="preserve"> (1/2) </w:t>
      </w:r>
      <w:r>
        <w:rPr>
          <w:rFonts w:ascii="Symbol" w:hAnsi="Symbol"/>
        </w:rPr>
        <w:sym w:font="Symbol" w:char="F0B4"/>
      </w:r>
      <w:r>
        <w:rPr>
          <w:lang w:val="de-DE"/>
        </w:rPr>
        <w:t xml:space="preserve"> [(1/2) </w:t>
      </w:r>
      <w:r>
        <w:rPr>
          <w:rFonts w:ascii="Symbol" w:hAnsi="Symbol"/>
          <w:lang w:val="de-DE"/>
        </w:rPr>
        <w:t></w:t>
      </w:r>
      <w:r>
        <w:rPr>
          <w:rFonts w:ascii="Symbol" w:hAnsi="Symbol"/>
          <w:lang w:val="de-DE"/>
        </w:rPr>
        <w:t></w:t>
      </w:r>
      <w:r>
        <w:rPr>
          <w:lang w:val="de-DE"/>
        </w:rPr>
        <w:t xml:space="preserve">(1/2) </w:t>
      </w:r>
      <w:r>
        <w:rPr>
          <w:rFonts w:ascii="Symbol" w:hAnsi="Symbol"/>
          <w:lang w:val="de-DE"/>
        </w:rPr>
        <w:t></w:t>
      </w:r>
      <w:r>
        <w:rPr>
          <w:rFonts w:ascii="Symbol" w:hAnsi="Symbol"/>
          <w:lang w:val="de-DE"/>
        </w:rPr>
        <w:t></w:t>
      </w:r>
      <w:r>
        <w:rPr>
          <w:lang w:val="de-DE"/>
        </w:rPr>
        <w:t xml:space="preserve">(1/2) </w:t>
      </w:r>
      <w:r>
        <w:rPr>
          <w:rFonts w:ascii="Symbol" w:hAnsi="Symbol"/>
        </w:rPr>
        <w:sym w:font="Symbol" w:char="F0B4"/>
      </w:r>
      <w:r>
        <w:rPr>
          <w:lang w:val="de-DE"/>
        </w:rPr>
        <w:t xml:space="preserve"> (1/2) </w:t>
      </w:r>
      <w:r>
        <w:rPr>
          <w:rFonts w:ascii="Symbol" w:hAnsi="Symbol"/>
          <w:lang w:val="de-DE"/>
        </w:rPr>
        <w:t></w:t>
      </w:r>
      <w:r>
        <w:rPr>
          <w:rFonts w:ascii="Symbol" w:hAnsi="Symbol"/>
          <w:lang w:val="de-DE"/>
        </w:rPr>
        <w:t></w:t>
      </w:r>
      <w:r>
        <w:rPr>
          <w:lang w:val="de-DE"/>
        </w:rPr>
        <w:t xml:space="preserve">(1/2) </w:t>
      </w:r>
      <w:r>
        <w:rPr>
          <w:rFonts w:ascii="Symbol" w:hAnsi="Symbol"/>
        </w:rPr>
        <w:sym w:font="Symbol" w:char="F0B4"/>
      </w:r>
      <w:r>
        <w:rPr>
          <w:lang w:val="de-DE"/>
        </w:rPr>
        <w:t xml:space="preserve"> (1/2)] </w:t>
      </w:r>
      <w:r>
        <w:rPr>
          <w:rFonts w:ascii="Symbol" w:hAnsi="Symbol"/>
          <w:lang w:val="de-DE"/>
        </w:rPr>
        <w:t></w:t>
      </w:r>
      <w:r>
        <w:rPr>
          <w:lang w:val="de-DE"/>
        </w:rPr>
        <w:t xml:space="preserve"> .75</w:t>
      </w:r>
    </w:p>
    <w:p w:rsidR="00DA60A7" w:rsidRDefault="00DA60A7" w:rsidP="00DA60A7">
      <w:pPr>
        <w:pStyle w:val="MCQList1"/>
        <w:numPr>
          <w:ilvl w:val="0"/>
          <w:numId w:val="3"/>
        </w:numPr>
      </w:pPr>
      <w:r>
        <w:lastRenderedPageBreak/>
        <w:t xml:space="preserve">The statement is not necessarily true. Higher fertility will </w:t>
      </w:r>
      <w:r>
        <w:rPr>
          <w:i/>
        </w:rPr>
        <w:t>lower</w:t>
      </w:r>
      <w:r>
        <w:t xml:space="preserve"> the fraction of the population made up of working-age adults until the newly born children reach worki</w:t>
      </w:r>
      <w:r w:rsidR="00A30769">
        <w:t xml:space="preserve">ng age. Thus, in the short run </w:t>
      </w:r>
      <w:r>
        <w:t>the country’s dependency burden will be higher, and its standard of living lower. In the long run, a country with very low fertility may indeed be better off with an increase in fertility.</w:t>
      </w:r>
    </w:p>
    <w:p w:rsidR="00DA60A7" w:rsidRDefault="00DA60A7" w:rsidP="00DA60A7">
      <w:pPr>
        <w:pStyle w:val="MCQList1"/>
        <w:keepNext w:val="0"/>
        <w:keepLines w:val="0"/>
        <w:numPr>
          <w:ilvl w:val="0"/>
          <w:numId w:val="3"/>
        </w:numPr>
        <w:tabs>
          <w:tab w:val="left" w:pos="101"/>
        </w:tabs>
        <w:spacing w:line="240" w:lineRule="exact"/>
      </w:pPr>
      <w:r>
        <w:t>The relative return to 12 years of schooling is 3.16, and the relative re</w:t>
      </w:r>
      <w:r w:rsidR="00A30769">
        <w:t xml:space="preserve">turn to two years of schooling </w:t>
      </w:r>
      <w:r>
        <w:t>is (1.134)</w:t>
      </w:r>
      <w:r>
        <w:rPr>
          <w:vertAlign w:val="superscript"/>
        </w:rPr>
        <w:t>2</w:t>
      </w:r>
      <w:r>
        <w:t xml:space="preserve"> or 1.29. Writing the steady-state ratio for one country over time and denoting </w:t>
      </w:r>
      <w:r w:rsidRPr="003E2886">
        <w:rPr>
          <w:position w:val="-12"/>
        </w:rPr>
        <w:object w:dxaOrig="620" w:dyaOrig="340">
          <v:shape id="_x0000_i1031" type="#_x0000_t75" style="width:30.75pt;height:17.25pt" o:ole="">
            <v:imagedata r:id="rId20" o:title=""/>
          </v:shape>
          <o:OLEObject Type="Embed" ProgID="Equation.DSMT4" ShapeID="_x0000_i1031" DrawAspect="Content" ObjectID="_1378216072" r:id="rId21"/>
        </w:object>
      </w:r>
      <w:r>
        <w:t xml:space="preserve">1.29 and </w:t>
      </w:r>
      <w:r w:rsidRPr="003E2886">
        <w:rPr>
          <w:position w:val="-12"/>
        </w:rPr>
        <w:object w:dxaOrig="639" w:dyaOrig="340">
          <v:shape id="_x0000_i1032" type="#_x0000_t75" style="width:32.25pt;height:17.25pt" o:ole="">
            <v:imagedata r:id="rId22" o:title=""/>
          </v:shape>
          <o:OLEObject Type="Embed" ProgID="Equation.DSMT4" ShapeID="_x0000_i1032" DrawAspect="Content" ObjectID="_1378216073" r:id="rId23"/>
        </w:object>
      </w:r>
      <w:r>
        <w:t>3.16, we get:</w:t>
      </w:r>
    </w:p>
    <w:p w:rsidR="00DA60A7" w:rsidRDefault="00DA60A7" w:rsidP="00DA60A7">
      <w:pPr>
        <w:pStyle w:val="equation-1"/>
        <w:keepNext w:val="0"/>
        <w:ind w:left="720"/>
        <w:jc w:val="left"/>
      </w:pPr>
      <w:r w:rsidRPr="003E2886">
        <w:rPr>
          <w:position w:val="-30"/>
        </w:rPr>
        <w:object w:dxaOrig="2580" w:dyaOrig="680">
          <v:shape id="_x0000_i1033" type="#_x0000_t75" style="width:129pt;height:33.75pt" o:ole="">
            <v:imagedata r:id="rId24" o:title=""/>
          </v:shape>
          <o:OLEObject Type="Embed" ProgID="Equation.DSMT4" ShapeID="_x0000_i1033" DrawAspect="Content" ObjectID="_1378216074" r:id="rId25"/>
        </w:object>
      </w:r>
    </w:p>
    <w:p w:rsidR="00DA60A7" w:rsidRDefault="00DA60A7" w:rsidP="00DA60A7">
      <w:pPr>
        <w:pStyle w:val="MCQList1"/>
        <w:ind w:left="720" w:firstLine="0"/>
      </w:pPr>
      <w:r>
        <w:t xml:space="preserve">Thus, the ratio of steady-state output per worker for this country over time is 2.45. If over 100 years, the steady-state output has increased by a factor of 2.45, we can solve for the growth rate, </w:t>
      </w:r>
      <w:r>
        <w:rPr>
          <w:i/>
        </w:rPr>
        <w:t>g</w:t>
      </w:r>
      <w:r>
        <w:t>, by the following calculation.</w:t>
      </w:r>
    </w:p>
    <w:p w:rsidR="00DA60A7" w:rsidRDefault="00DA60A7" w:rsidP="00DA60A7">
      <w:pPr>
        <w:pStyle w:val="equation-1"/>
        <w:keepNext w:val="0"/>
        <w:ind w:left="720"/>
        <w:jc w:val="left"/>
      </w:pPr>
      <w:r w:rsidRPr="003E2886">
        <w:rPr>
          <w:position w:val="-10"/>
        </w:rPr>
        <w:object w:dxaOrig="2220" w:dyaOrig="480">
          <v:shape id="_x0000_i1034" type="#_x0000_t75" style="width:111pt;height:24pt" o:ole="">
            <v:imagedata r:id="rId26" o:title=""/>
          </v:shape>
          <o:OLEObject Type="Embed" ProgID="Equation.DSMT4" ShapeID="_x0000_i1034" DrawAspect="Content" ObjectID="_1378216075" r:id="rId27"/>
        </w:object>
      </w:r>
    </w:p>
    <w:p w:rsidR="00DA60A7" w:rsidRDefault="00DA60A7" w:rsidP="00DA60A7">
      <w:pPr>
        <w:pStyle w:val="MCQList1"/>
        <w:ind w:left="720" w:firstLine="0"/>
      </w:pPr>
      <w:r>
        <w:t>We conclude that the annual average growth rate of output per worker is 0.9 percent.</w:t>
      </w:r>
    </w:p>
    <w:p w:rsidR="0068339A" w:rsidRPr="00DA60A7" w:rsidRDefault="0068339A" w:rsidP="00A30769">
      <w:pPr>
        <w:pStyle w:val="ListParagraph"/>
        <w:spacing w:line="240" w:lineRule="auto"/>
        <w:rPr>
          <w:sz w:val="26"/>
          <w:szCs w:val="26"/>
        </w:rPr>
      </w:pPr>
    </w:p>
    <w:sectPr w:rsidR="0068339A" w:rsidRPr="00DA60A7" w:rsidSect="00DC464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w:panose1 w:val="02020603050405020304"/>
    <w:charset w:val="00"/>
    <w:family w:val="roman"/>
    <w:pitch w:val="variable"/>
    <w:sig w:usb0="20002A87" w:usb1="80000000" w:usb2="00000008" w:usb3="00000000" w:csb0="000001FF" w:csb1="00000000"/>
  </w:font>
  <w:font w:name="Angsana New">
    <w:panose1 w:val="02020603050405020304"/>
    <w:charset w:val="00"/>
    <w:family w:val="roman"/>
    <w:pitch w:val="variable"/>
    <w:sig w:usb0="0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845BA4"/>
    <w:multiLevelType w:val="hybridMultilevel"/>
    <w:tmpl w:val="D3E0D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EB1BC5"/>
    <w:multiLevelType w:val="hybridMultilevel"/>
    <w:tmpl w:val="B0845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BC4C5B"/>
    <w:multiLevelType w:val="hybridMultilevel"/>
    <w:tmpl w:val="1F16D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5912F3"/>
    <w:rsid w:val="00012820"/>
    <w:rsid w:val="001E4164"/>
    <w:rsid w:val="002C37B7"/>
    <w:rsid w:val="002C6069"/>
    <w:rsid w:val="00307F14"/>
    <w:rsid w:val="003E2886"/>
    <w:rsid w:val="004E2728"/>
    <w:rsid w:val="005912F3"/>
    <w:rsid w:val="0068339A"/>
    <w:rsid w:val="009C7ADD"/>
    <w:rsid w:val="00A30769"/>
    <w:rsid w:val="00B76F69"/>
    <w:rsid w:val="00C71E3C"/>
    <w:rsid w:val="00CD03B5"/>
    <w:rsid w:val="00DA60A7"/>
    <w:rsid w:val="00DC4642"/>
    <w:rsid w:val="00FE6DF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64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12F3"/>
    <w:pPr>
      <w:ind w:left="720"/>
      <w:contextualSpacing/>
    </w:pPr>
  </w:style>
  <w:style w:type="paragraph" w:customStyle="1" w:styleId="MCQList1">
    <w:name w:val="MCQ_List1"/>
    <w:basedOn w:val="Normal"/>
    <w:rsid w:val="005912F3"/>
    <w:pPr>
      <w:keepNext/>
      <w:keepLines/>
      <w:tabs>
        <w:tab w:val="right" w:pos="270"/>
        <w:tab w:val="left" w:pos="450"/>
      </w:tabs>
      <w:spacing w:before="200" w:after="60" w:line="240" w:lineRule="auto"/>
      <w:ind w:left="450" w:hanging="450"/>
      <w:outlineLvl w:val="2"/>
    </w:pPr>
    <w:rPr>
      <w:rFonts w:ascii="Times" w:eastAsia="Times New Roman" w:hAnsi="Times" w:cs="Times New Roman"/>
      <w:snapToGrid w:val="0"/>
      <w:szCs w:val="20"/>
      <w:lang w:bidi="ar-SA"/>
    </w:rPr>
  </w:style>
  <w:style w:type="paragraph" w:customStyle="1" w:styleId="equation-1">
    <w:name w:val="equation-1"/>
    <w:basedOn w:val="Normal"/>
    <w:rsid w:val="005912F3"/>
    <w:pPr>
      <w:keepNext/>
      <w:tabs>
        <w:tab w:val="left" w:pos="3600"/>
        <w:tab w:val="left" w:pos="9000"/>
      </w:tabs>
      <w:spacing w:before="140" w:after="0" w:line="240" w:lineRule="auto"/>
      <w:jc w:val="center"/>
    </w:pPr>
    <w:rPr>
      <w:rFonts w:ascii="Times" w:eastAsia="Times New Roman" w:hAnsi="Times" w:cs="Times New Roman"/>
      <w:szCs w:val="22"/>
      <w:lang w:bidi="ar-SA"/>
    </w:rPr>
  </w:style>
  <w:style w:type="paragraph" w:customStyle="1" w:styleId="MCQList2">
    <w:name w:val="MCQ_List2"/>
    <w:basedOn w:val="Normal"/>
    <w:rsid w:val="005912F3"/>
    <w:pPr>
      <w:keepLines/>
      <w:tabs>
        <w:tab w:val="left" w:pos="825"/>
      </w:tabs>
      <w:spacing w:after="40" w:line="240" w:lineRule="auto"/>
      <w:ind w:left="825" w:hanging="375"/>
      <w:outlineLvl w:val="2"/>
    </w:pPr>
    <w:rPr>
      <w:rFonts w:ascii="Times" w:eastAsia="Times New Roman" w:hAnsi="Times" w:cs="Times New Roman"/>
      <w:snapToGrid w:val="0"/>
      <w:szCs w:val="20"/>
      <w:lang w:bidi="ar-SA"/>
    </w:rPr>
  </w:style>
  <w:style w:type="paragraph" w:customStyle="1" w:styleId="MCQList1a">
    <w:name w:val="MCQ_List1a"/>
    <w:basedOn w:val="MCQList1"/>
    <w:rsid w:val="005912F3"/>
    <w:pPr>
      <w:tabs>
        <w:tab w:val="clear" w:pos="270"/>
        <w:tab w:val="right" w:pos="274"/>
        <w:tab w:val="left" w:pos="825"/>
      </w:tabs>
      <w:ind w:left="825" w:hanging="825"/>
    </w:pPr>
  </w:style>
  <w:style w:type="paragraph" w:customStyle="1" w:styleId="TableHead">
    <w:name w:val="Table Head"/>
    <w:basedOn w:val="Normal"/>
    <w:rsid w:val="005912F3"/>
    <w:pPr>
      <w:spacing w:before="60" w:after="60" w:line="240" w:lineRule="auto"/>
      <w:ind w:left="-101" w:right="-108"/>
    </w:pPr>
    <w:rPr>
      <w:rFonts w:ascii="Times" w:eastAsia="Times New Roman" w:hAnsi="Times" w:cs="Times New Roman"/>
      <w:b/>
      <w:bCs/>
      <w:szCs w:val="20"/>
      <w:lang w:bidi="ar-SA"/>
    </w:rPr>
  </w:style>
  <w:style w:type="paragraph" w:customStyle="1" w:styleId="TableBody">
    <w:name w:val="Table Body"/>
    <w:basedOn w:val="Normal"/>
    <w:rsid w:val="005912F3"/>
    <w:pPr>
      <w:spacing w:after="40" w:line="240" w:lineRule="auto"/>
      <w:ind w:left="-101"/>
    </w:pPr>
    <w:rPr>
      <w:rFonts w:ascii="Times" w:eastAsia="Times New Roman" w:hAnsi="Times" w:cs="Times New Roman"/>
      <w:szCs w:val="20"/>
      <w:lang w:bidi="ar-SA"/>
    </w:rPr>
  </w:style>
  <w:style w:type="paragraph" w:customStyle="1" w:styleId="equation">
    <w:name w:val="equation"/>
    <w:basedOn w:val="Normal"/>
    <w:rsid w:val="005912F3"/>
    <w:pPr>
      <w:keepNext/>
      <w:tabs>
        <w:tab w:val="left" w:pos="3600"/>
        <w:tab w:val="left" w:pos="9000"/>
      </w:tabs>
      <w:spacing w:before="200" w:line="240" w:lineRule="auto"/>
      <w:jc w:val="center"/>
    </w:pPr>
    <w:rPr>
      <w:rFonts w:ascii="Times" w:eastAsia="Times New Roman" w:hAnsi="Times" w:cs="Times New Roman"/>
      <w:szCs w:val="22"/>
      <w:lang w:bidi="ar-SA"/>
    </w:rPr>
  </w:style>
  <w:style w:type="paragraph" w:customStyle="1" w:styleId="MCQApp1Sub">
    <w:name w:val="MCQ_App.1(Sub)"/>
    <w:basedOn w:val="Normal"/>
    <w:rsid w:val="005912F3"/>
    <w:pPr>
      <w:keepNext/>
      <w:keepLines/>
      <w:tabs>
        <w:tab w:val="left" w:pos="605"/>
        <w:tab w:val="left" w:pos="922"/>
      </w:tabs>
      <w:spacing w:before="200" w:after="0" w:line="240" w:lineRule="auto"/>
      <w:ind w:left="922" w:hanging="922"/>
      <w:outlineLvl w:val="2"/>
    </w:pPr>
    <w:rPr>
      <w:rFonts w:ascii="Times" w:eastAsia="Times New Roman" w:hAnsi="Times" w:cs="Times New Roman"/>
      <w:snapToGrid w:val="0"/>
      <w:szCs w:val="20"/>
      <w:lang w:bidi="ar-SA"/>
    </w:rPr>
  </w:style>
  <w:style w:type="paragraph" w:customStyle="1" w:styleId="MCQApp1Sub1">
    <w:name w:val="MCQ_App.1(Sub1)"/>
    <w:basedOn w:val="MCQApp1Sub"/>
    <w:rsid w:val="005912F3"/>
    <w:pPr>
      <w:spacing w:before="0" w:after="60"/>
    </w:pPr>
  </w:style>
  <w:style w:type="paragraph" w:styleId="Title">
    <w:name w:val="Title"/>
    <w:basedOn w:val="Normal"/>
    <w:link w:val="TitleChar"/>
    <w:qFormat/>
    <w:rsid w:val="001E4164"/>
    <w:pPr>
      <w:spacing w:after="0" w:line="240" w:lineRule="auto"/>
      <w:jc w:val="center"/>
    </w:pPr>
    <w:rPr>
      <w:rFonts w:ascii="Times New Roman" w:eastAsia="Times New Roman" w:hAnsi="Times New Roman" w:cs="Angsana New"/>
      <w:b/>
      <w:bCs/>
      <w:sz w:val="24"/>
    </w:rPr>
  </w:style>
  <w:style w:type="character" w:customStyle="1" w:styleId="TitleChar">
    <w:name w:val="Title Char"/>
    <w:basedOn w:val="DefaultParagraphFont"/>
    <w:link w:val="Title"/>
    <w:rsid w:val="001E4164"/>
    <w:rPr>
      <w:rFonts w:ascii="Times New Roman" w:eastAsia="Times New Roman" w:hAnsi="Times New Roman" w:cs="Angsana New"/>
      <w:b/>
      <w:bCs/>
      <w:sz w:val="24"/>
    </w:rPr>
  </w:style>
  <w:style w:type="paragraph" w:customStyle="1" w:styleId="List2">
    <w:name w:val="List2"/>
    <w:basedOn w:val="Normal"/>
    <w:rsid w:val="00DA60A7"/>
    <w:pPr>
      <w:keepNext/>
      <w:tabs>
        <w:tab w:val="left" w:pos="907"/>
      </w:tabs>
      <w:spacing w:before="100" w:after="60" w:line="240" w:lineRule="auto"/>
      <w:ind w:left="907" w:hanging="403"/>
    </w:pPr>
    <w:rPr>
      <w:rFonts w:ascii="Times" w:eastAsia="Times New Roman" w:hAnsi="Times" w:cs="Times New Roman"/>
      <w:szCs w:val="20"/>
      <w:lang w:bidi="ar-SA"/>
    </w:rPr>
  </w:style>
  <w:style w:type="paragraph" w:customStyle="1" w:styleId="awTBfig">
    <w:name w:val="awTB_fig"/>
    <w:basedOn w:val="Normal"/>
    <w:next w:val="Normal"/>
    <w:rsid w:val="00DA60A7"/>
    <w:pPr>
      <w:keepNext/>
      <w:keepLines/>
      <w:spacing w:before="200" w:after="40" w:line="240" w:lineRule="auto"/>
      <w:ind w:left="456"/>
      <w:outlineLvl w:val="1"/>
    </w:pPr>
    <w:rPr>
      <w:rFonts w:ascii="Times" w:eastAsia="Times New Roman" w:hAnsi="Times" w:cs="Times New Roman"/>
      <w:snapToGrid w:val="0"/>
      <w:szCs w:val="20"/>
      <w:lang w:bidi="ar-SA"/>
    </w:rPr>
  </w:style>
  <w:style w:type="paragraph" w:styleId="BalloonText">
    <w:name w:val="Balloon Text"/>
    <w:basedOn w:val="Normal"/>
    <w:link w:val="BalloonTextChar"/>
    <w:uiPriority w:val="99"/>
    <w:semiHidden/>
    <w:unhideWhenUsed/>
    <w:rsid w:val="00DA60A7"/>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DA60A7"/>
    <w:rPr>
      <w:rFonts w:ascii="Tahoma" w:hAnsi="Tahoma" w:cs="Angsana New"/>
      <w:sz w:val="16"/>
      <w:szCs w:val="20"/>
    </w:rPr>
  </w:style>
  <w:style w:type="paragraph" w:customStyle="1" w:styleId="MCQList2sub">
    <w:name w:val="MCQ_List2_sub"/>
    <w:basedOn w:val="MCQList2"/>
    <w:rsid w:val="00DA60A7"/>
    <w:pPr>
      <w:tabs>
        <w:tab w:val="clear" w:pos="825"/>
        <w:tab w:val="left" w:pos="821"/>
        <w:tab w:val="left" w:pos="1200"/>
      </w:tabs>
      <w:ind w:left="1200" w:hanging="754"/>
    </w:pPr>
  </w:style>
  <w:style w:type="paragraph" w:customStyle="1" w:styleId="MCQList1Sub">
    <w:name w:val="MCQ_List1(Sub)"/>
    <w:basedOn w:val="MCQList1"/>
    <w:rsid w:val="00DA60A7"/>
    <w:pPr>
      <w:tabs>
        <w:tab w:val="clear" w:pos="270"/>
        <w:tab w:val="clear" w:pos="450"/>
        <w:tab w:val="left" w:pos="441"/>
      </w:tabs>
      <w:ind w:left="828" w:hanging="819"/>
    </w:pPr>
  </w:style>
  <w:style w:type="character" w:styleId="PlaceholderText">
    <w:name w:val="Placeholder Text"/>
    <w:basedOn w:val="DefaultParagraphFont"/>
    <w:uiPriority w:val="99"/>
    <w:semiHidden/>
    <w:rsid w:val="00C71E3C"/>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image" Target="media/image8.png"/><Relationship Id="rId26" Type="http://schemas.openxmlformats.org/officeDocument/2006/relationships/image" Target="media/image13.wmf"/><Relationship Id="rId3" Type="http://schemas.openxmlformats.org/officeDocument/2006/relationships/settings" Target="settings.xml"/><Relationship Id="rId21" Type="http://schemas.openxmlformats.org/officeDocument/2006/relationships/oleObject" Target="embeddings/oleObject7.bin"/><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png"/><Relationship Id="rId25" Type="http://schemas.openxmlformats.org/officeDocument/2006/relationships/oleObject" Target="embeddings/oleObject9.bin"/><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image" Target="media/image10.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image" Target="media/image12.wmf"/><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oleObject" Target="embeddings/oleObject8.bin"/><Relationship Id="rId28" Type="http://schemas.openxmlformats.org/officeDocument/2006/relationships/fontTable" Target="fontTable.xml"/><Relationship Id="rId10" Type="http://schemas.openxmlformats.org/officeDocument/2006/relationships/oleObject" Target="embeddings/oleObject3.bin"/><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image" Target="media/image11.wmf"/><Relationship Id="rId27" Type="http://schemas.openxmlformats.org/officeDocument/2006/relationships/oleObject" Target="embeddings/oleObject1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582</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Namkang</dc:creator>
  <cp:keywords/>
  <dc:description/>
  <cp:lastModifiedBy>Namkang</cp:lastModifiedBy>
  <cp:revision>8</cp:revision>
  <dcterms:created xsi:type="dcterms:W3CDTF">2011-09-20T02:11:00Z</dcterms:created>
  <dcterms:modified xsi:type="dcterms:W3CDTF">2011-09-22T10:01:00Z</dcterms:modified>
</cp:coreProperties>
</file>