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6D6E" w14:textId="2994BB9A" w:rsidR="00640826" w:rsidRPr="00A1144E" w:rsidRDefault="00640826" w:rsidP="00A1144E">
      <w:pPr>
        <w:pStyle w:val="Overskrift1"/>
        <w:jc w:val="center"/>
        <w:rPr>
          <w:lang w:val="en-US"/>
        </w:rPr>
      </w:pPr>
      <w:r w:rsidRPr="00640826">
        <w:rPr>
          <w:lang w:val="en-US"/>
        </w:rPr>
        <w:t>Assignment EE461</w:t>
      </w:r>
    </w:p>
    <w:p w14:paraId="193A1D0F" w14:textId="08244638" w:rsidR="00640826" w:rsidRPr="00640826" w:rsidRDefault="00640826" w:rsidP="00A1144E">
      <w:pPr>
        <w:pStyle w:val="Overskrift2"/>
      </w:pPr>
      <w:r w:rsidRPr="00640826">
        <w:t>Graph 1</w:t>
      </w:r>
    </w:p>
    <w:p w14:paraId="72A684B1" w14:textId="12812760" w:rsidR="00640826" w:rsidRDefault="001F748A">
      <w:r>
        <w:rPr>
          <w:noProof/>
        </w:rPr>
        <w:drawing>
          <wp:inline distT="0" distB="0" distL="0" distR="0" wp14:anchorId="2883343B" wp14:editId="0DB2049A">
            <wp:extent cx="5760720" cy="3713480"/>
            <wp:effectExtent l="0" t="0" r="0" b="0"/>
            <wp:docPr id="1" name="Diagram 1">
              <a:extLst xmlns:a="http://schemas.openxmlformats.org/drawingml/2006/main">
                <a:ext uri="{FF2B5EF4-FFF2-40B4-BE49-F238E27FC236}">
                  <a16:creationId xmlns:a16="http://schemas.microsoft.com/office/drawing/2014/main" id="{A3856947-4F92-4F6C-AF39-15D42B207D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738A569" w14:textId="35390645" w:rsidR="00640826" w:rsidRPr="00C623A3" w:rsidRDefault="001F748A">
      <w:pPr>
        <w:rPr>
          <w:lang w:val="en-GB"/>
        </w:rPr>
      </w:pPr>
      <w:r w:rsidRPr="001F748A">
        <w:rPr>
          <w:lang w:val="en-GB"/>
        </w:rPr>
        <w:t>The graph shows</w:t>
      </w:r>
      <w:r w:rsidR="00C61BE8">
        <w:rPr>
          <w:lang w:val="en-GB"/>
        </w:rPr>
        <w:t xml:space="preserve"> an overview of</w:t>
      </w:r>
      <w:r>
        <w:rPr>
          <w:lang w:val="en-GB"/>
        </w:rPr>
        <w:t xml:space="preserve"> </w:t>
      </w:r>
      <w:r w:rsidR="00C61BE8">
        <w:rPr>
          <w:lang w:val="en-GB"/>
        </w:rPr>
        <w:t>how many % of children that are not</w:t>
      </w:r>
      <w:r>
        <w:rPr>
          <w:lang w:val="en-GB"/>
        </w:rPr>
        <w:t xml:space="preserve"> in primary school, in several countries. </w:t>
      </w:r>
      <w:r w:rsidR="00A603DA" w:rsidRPr="00A603DA">
        <w:rPr>
          <w:lang w:val="en-GB"/>
        </w:rPr>
        <w:t>The GNI shows average income in the co</w:t>
      </w:r>
      <w:r w:rsidR="00A603DA">
        <w:rPr>
          <w:lang w:val="en-GB"/>
        </w:rPr>
        <w:t xml:space="preserve">untry, divided by the country’s inhabitants. Its lower the GNI is, the higher the percentage outside school. This means that if the GNI is high, more people go to primary school. </w:t>
      </w:r>
    </w:p>
    <w:p w14:paraId="24867EE1" w14:textId="2D48EC95" w:rsidR="00640826" w:rsidRPr="001F748A" w:rsidRDefault="00640826" w:rsidP="00A1144E">
      <w:pPr>
        <w:pStyle w:val="Overskrift2"/>
        <w:rPr>
          <w:lang w:val="en-GB"/>
        </w:rPr>
      </w:pPr>
      <w:r w:rsidRPr="001F748A">
        <w:rPr>
          <w:lang w:val="en-GB"/>
        </w:rPr>
        <w:t xml:space="preserve">Graph 2 </w:t>
      </w:r>
    </w:p>
    <w:p w14:paraId="61A8EE9D" w14:textId="49EDD97D" w:rsidR="00640826" w:rsidRDefault="00640826">
      <w:pPr>
        <w:rPr>
          <w:b/>
          <w:bCs/>
        </w:rPr>
      </w:pPr>
      <w:r>
        <w:rPr>
          <w:noProof/>
        </w:rPr>
        <w:drawing>
          <wp:inline distT="0" distB="0" distL="0" distR="0" wp14:anchorId="27B32123" wp14:editId="2EC50D83">
            <wp:extent cx="5760720" cy="2933065"/>
            <wp:effectExtent l="0" t="0" r="0" b="0"/>
            <wp:docPr id="2" name="Bilde 2" descr="Ingen beskrivelse er tilgjenge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gen beskrivelse er tilgjengeli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2933065"/>
                    </a:xfrm>
                    <a:prstGeom prst="rect">
                      <a:avLst/>
                    </a:prstGeom>
                    <a:noFill/>
                    <a:ln>
                      <a:noFill/>
                    </a:ln>
                  </pic:spPr>
                </pic:pic>
              </a:graphicData>
            </a:graphic>
          </wp:inline>
        </w:drawing>
      </w:r>
    </w:p>
    <w:p w14:paraId="37C288F2" w14:textId="77777777" w:rsidR="00A603DA" w:rsidRPr="00A603DA" w:rsidRDefault="00A1144E" w:rsidP="00A603DA">
      <w:pPr>
        <w:spacing w:line="360" w:lineRule="auto"/>
        <w:rPr>
          <w:sz w:val="24"/>
          <w:szCs w:val="24"/>
        </w:rPr>
      </w:pPr>
      <w:r w:rsidRPr="00E75BD4">
        <w:rPr>
          <w:sz w:val="24"/>
          <w:szCs w:val="24"/>
          <w:lang w:val="en-GB"/>
        </w:rPr>
        <w:lastRenderedPageBreak/>
        <w:t xml:space="preserve">This graph shows the population growth in three </w:t>
      </w:r>
      <w:r w:rsidR="001B7BC7" w:rsidRPr="00E75BD4">
        <w:rPr>
          <w:sz w:val="24"/>
          <w:szCs w:val="24"/>
          <w:lang w:val="en-GB"/>
        </w:rPr>
        <w:t>countries:</w:t>
      </w:r>
      <w:r w:rsidRPr="00E75BD4">
        <w:rPr>
          <w:sz w:val="24"/>
          <w:szCs w:val="24"/>
          <w:lang w:val="en-GB"/>
        </w:rPr>
        <w:t xml:space="preserve"> Thailand, </w:t>
      </w:r>
      <w:r w:rsidR="001B7BC7" w:rsidRPr="00E75BD4">
        <w:rPr>
          <w:sz w:val="24"/>
          <w:szCs w:val="24"/>
          <w:lang w:val="en-GB"/>
        </w:rPr>
        <w:t>Norway,</w:t>
      </w:r>
      <w:r w:rsidRPr="00E75BD4">
        <w:rPr>
          <w:sz w:val="24"/>
          <w:szCs w:val="24"/>
          <w:lang w:val="en-GB"/>
        </w:rPr>
        <w:t xml:space="preserve"> and Germany, within a </w:t>
      </w:r>
      <w:r w:rsidR="001B7BC7" w:rsidRPr="00E75BD4">
        <w:rPr>
          <w:sz w:val="24"/>
          <w:szCs w:val="24"/>
          <w:lang w:val="en-GB"/>
        </w:rPr>
        <w:t>25-year</w:t>
      </w:r>
      <w:r w:rsidRPr="00E75BD4">
        <w:rPr>
          <w:sz w:val="24"/>
          <w:szCs w:val="24"/>
          <w:lang w:val="en-GB"/>
        </w:rPr>
        <w:t xml:space="preserve"> perspective (1995-2020). </w:t>
      </w:r>
      <w:r w:rsidR="001B7BC7" w:rsidRPr="00E75BD4">
        <w:rPr>
          <w:sz w:val="24"/>
          <w:szCs w:val="24"/>
          <w:lang w:val="en-GB"/>
        </w:rPr>
        <w:t>From the data we can see that during 2005 the population growth in Thailand and Norway were about similar.</w:t>
      </w:r>
      <w:r w:rsidR="00651DA0" w:rsidRPr="00E75BD4">
        <w:rPr>
          <w:sz w:val="24"/>
          <w:szCs w:val="24"/>
          <w:lang w:val="en-GB"/>
        </w:rPr>
        <w:t xml:space="preserve"> Furthermore, the Norwegian population sinks, while the population in Thailand increase. It could be interesting to learn more about why this increase happened. On the other hand, Germany’s population growth has been much less compared to Norway and Thailand. This could be because of Germany have had a smoother population growth in past decades. </w:t>
      </w:r>
      <w:r w:rsidR="00A603DA" w:rsidRPr="00A603DA">
        <w:rPr>
          <w:sz w:val="24"/>
          <w:szCs w:val="24"/>
          <w:lang w:val="en"/>
        </w:rPr>
        <w:t>However, this is only a hypothesis, and further research must be done to give a conclusion.</w:t>
      </w:r>
    </w:p>
    <w:p w14:paraId="44BD6262" w14:textId="3D0C7472" w:rsidR="00A1144E" w:rsidRPr="00E75BD4" w:rsidRDefault="00A1144E" w:rsidP="00E75BD4">
      <w:pPr>
        <w:spacing w:line="360" w:lineRule="auto"/>
        <w:rPr>
          <w:sz w:val="24"/>
          <w:szCs w:val="24"/>
          <w:lang w:val="en-GB"/>
        </w:rPr>
      </w:pPr>
    </w:p>
    <w:sectPr w:rsidR="00A1144E" w:rsidRPr="00E75BD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A6B41" w14:textId="77777777" w:rsidR="0071314A" w:rsidRDefault="0071314A" w:rsidP="001F748A">
      <w:pPr>
        <w:spacing w:after="0" w:line="240" w:lineRule="auto"/>
      </w:pPr>
      <w:r>
        <w:separator/>
      </w:r>
    </w:p>
  </w:endnote>
  <w:endnote w:type="continuationSeparator" w:id="0">
    <w:p w14:paraId="67807F97" w14:textId="77777777" w:rsidR="0071314A" w:rsidRDefault="0071314A" w:rsidP="001F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84B39" w14:textId="77777777" w:rsidR="0071314A" w:rsidRDefault="0071314A" w:rsidP="001F748A">
      <w:pPr>
        <w:spacing w:after="0" w:line="240" w:lineRule="auto"/>
      </w:pPr>
      <w:r>
        <w:separator/>
      </w:r>
    </w:p>
  </w:footnote>
  <w:footnote w:type="continuationSeparator" w:id="0">
    <w:p w14:paraId="471B0379" w14:textId="77777777" w:rsidR="0071314A" w:rsidRDefault="0071314A" w:rsidP="001F7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58E3" w14:textId="1DE5BDE9" w:rsidR="001F748A" w:rsidRDefault="001F748A">
    <w:pPr>
      <w:pStyle w:val="Topptekst"/>
    </w:pPr>
    <w:r>
      <w:t xml:space="preserve">Maria Norland, </w:t>
    </w:r>
    <w:r w:rsidR="00166197" w:rsidRPr="00A603DA">
      <w:rPr>
        <w:lang w:val="en-GB"/>
      </w:rPr>
      <w:t>6404930122</w:t>
    </w:r>
    <w:r>
      <w:ptab w:relativeTo="margin" w:alignment="center" w:leader="none"/>
    </w:r>
    <w:r w:rsidR="00166197">
      <w:t>EE461</w:t>
    </w:r>
    <w:r>
      <w:ptab w:relativeTo="margin" w:alignment="right" w:leader="none"/>
    </w:r>
    <w:r w:rsidR="00A1144E">
      <w:t>3</w:t>
    </w:r>
    <w:r w:rsidR="00166197">
      <w:t>1.</w:t>
    </w:r>
    <w:r w:rsidR="00A1144E">
      <w:t>01.2022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0826"/>
    <w:rsid w:val="00156DD0"/>
    <w:rsid w:val="00166197"/>
    <w:rsid w:val="001B7BC7"/>
    <w:rsid w:val="001F748A"/>
    <w:rsid w:val="002F6287"/>
    <w:rsid w:val="00640826"/>
    <w:rsid w:val="00651DA0"/>
    <w:rsid w:val="0071314A"/>
    <w:rsid w:val="00861BC2"/>
    <w:rsid w:val="00940ABB"/>
    <w:rsid w:val="009644CC"/>
    <w:rsid w:val="00A1144E"/>
    <w:rsid w:val="00A603DA"/>
    <w:rsid w:val="00A91C6A"/>
    <w:rsid w:val="00BB6B73"/>
    <w:rsid w:val="00C61BE8"/>
    <w:rsid w:val="00C623A3"/>
    <w:rsid w:val="00E75BD4"/>
    <w:rsid w:val="00F75F53"/>
    <w:rsid w:val="00F857F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7294"/>
  <w15:chartTrackingRefBased/>
  <w15:docId w15:val="{FB2E0A04-9A82-41A4-9307-8739C778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A114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A11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1F748A"/>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1F748A"/>
  </w:style>
  <w:style w:type="paragraph" w:styleId="Bunntekst">
    <w:name w:val="footer"/>
    <w:basedOn w:val="Normal"/>
    <w:link w:val="BunntekstTegn"/>
    <w:uiPriority w:val="99"/>
    <w:unhideWhenUsed/>
    <w:rsid w:val="001F748A"/>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1F748A"/>
  </w:style>
  <w:style w:type="character" w:customStyle="1" w:styleId="Overskrift1Tegn">
    <w:name w:val="Overskrift 1 Tegn"/>
    <w:basedOn w:val="Standardskriftforavsnitt"/>
    <w:link w:val="Overskrift1"/>
    <w:uiPriority w:val="9"/>
    <w:rsid w:val="00A1144E"/>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A1144E"/>
    <w:rPr>
      <w:rFonts w:asciiTheme="majorHAnsi" w:eastAsiaTheme="majorEastAsia" w:hAnsiTheme="majorHAnsi" w:cstheme="majorBidi"/>
      <w:color w:val="2F5496" w:themeColor="accent1" w:themeShade="BF"/>
      <w:sz w:val="26"/>
      <w:szCs w:val="26"/>
    </w:rPr>
  </w:style>
  <w:style w:type="paragraph" w:styleId="HTML-forhndsformatert">
    <w:name w:val="HTML Preformatted"/>
    <w:basedOn w:val="Normal"/>
    <w:link w:val="HTML-forhndsformatertTegn"/>
    <w:uiPriority w:val="99"/>
    <w:semiHidden/>
    <w:unhideWhenUsed/>
    <w:rsid w:val="00A603DA"/>
    <w:pPr>
      <w:spacing w:after="0" w:line="240" w:lineRule="auto"/>
    </w:pPr>
    <w:rPr>
      <w:rFonts w:ascii="Consolas" w:hAnsi="Consolas"/>
      <w:sz w:val="20"/>
      <w:szCs w:val="20"/>
    </w:rPr>
  </w:style>
  <w:style w:type="character" w:customStyle="1" w:styleId="HTML-forhndsformatertTegn">
    <w:name w:val="HTML-forhåndsformatert Tegn"/>
    <w:basedOn w:val="Standardskriftforavsnitt"/>
    <w:link w:val="HTML-forhndsformatert"/>
    <w:uiPriority w:val="99"/>
    <w:semiHidden/>
    <w:rsid w:val="00A603D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756667">
      <w:bodyDiv w:val="1"/>
      <w:marLeft w:val="0"/>
      <w:marRight w:val="0"/>
      <w:marTop w:val="0"/>
      <w:marBottom w:val="0"/>
      <w:divBdr>
        <w:top w:val="none" w:sz="0" w:space="0" w:color="auto"/>
        <w:left w:val="none" w:sz="0" w:space="0" w:color="auto"/>
        <w:bottom w:val="none" w:sz="0" w:space="0" w:color="auto"/>
        <w:right w:val="none" w:sz="0" w:space="0" w:color="auto"/>
      </w:divBdr>
    </w:div>
    <w:div w:id="126117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ia\OneDrive\Documents\Thammasat\Development%20Microeconomics,%20EE461\Data_Extract_From_World_Development_Indicators%20(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b-N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nb-NO"/>
        </a:p>
      </c:txPr>
    </c:title>
    <c:autoTitleDeleted val="0"/>
    <c:plotArea>
      <c:layout/>
      <c:scatterChart>
        <c:scatterStyle val="lineMarker"/>
        <c:varyColors val="0"/>
        <c:ser>
          <c:idx val="0"/>
          <c:order val="0"/>
          <c:tx>
            <c:strRef>
              <c:f>Data!$F$1</c:f>
              <c:strCache>
                <c:ptCount val="1"/>
                <c:pt idx="0">
                  <c:v>Children out of school (% of primary school age) [SE.PRM.UNER.ZS]</c:v>
                </c:pt>
              </c:strCache>
            </c:strRef>
          </c:tx>
          <c:spPr>
            <a:ln w="28575" cap="rnd">
              <a:noFill/>
              <a:round/>
            </a:ln>
            <a:effectLst/>
          </c:spPr>
          <c:marker>
            <c:symbol val="circle"/>
            <c:size val="5"/>
            <c:spPr>
              <a:solidFill>
                <a:schemeClr val="accent1"/>
              </a:solidFill>
              <a:ln w="9525">
                <a:solidFill>
                  <a:schemeClr val="accent1"/>
                </a:solidFill>
              </a:ln>
              <a:effectLst/>
            </c:spPr>
          </c:marker>
          <c:xVal>
            <c:numRef>
              <c:f>Data!$E$2:$E$99</c:f>
              <c:numCache>
                <c:formatCode>General</c:formatCode>
                <c:ptCount val="98"/>
                <c:pt idx="0">
                  <c:v>13670</c:v>
                </c:pt>
                <c:pt idx="1">
                  <c:v>11090</c:v>
                </c:pt>
                <c:pt idx="2">
                  <c:v>13100</c:v>
                </c:pt>
                <c:pt idx="3">
                  <c:v>14390</c:v>
                </c:pt>
                <c:pt idx="4">
                  <c:v>12790</c:v>
                </c:pt>
                <c:pt idx="5">
                  <c:v>6220</c:v>
                </c:pt>
                <c:pt idx="6">
                  <c:v>3470</c:v>
                </c:pt>
                <c:pt idx="7">
                  <c:v>67560</c:v>
                </c:pt>
                <c:pt idx="8">
                  <c:v>2110</c:v>
                </c:pt>
                <c:pt idx="9">
                  <c:v>4250</c:v>
                </c:pt>
                <c:pt idx="10">
                  <c:v>54130</c:v>
                </c:pt>
                <c:pt idx="11">
                  <c:v>19930</c:v>
                </c:pt>
                <c:pt idx="12">
                  <c:v>5300</c:v>
                </c:pt>
                <c:pt idx="13">
                  <c:v>22200</c:v>
                </c:pt>
                <c:pt idx="14">
                  <c:v>5610</c:v>
                </c:pt>
                <c:pt idx="15">
                  <c:v>11150</c:v>
                </c:pt>
                <c:pt idx="16">
                  <c:v>17050</c:v>
                </c:pt>
                <c:pt idx="17">
                  <c:v>10580</c:v>
                </c:pt>
                <c:pt idx="18">
                  <c:v>2410</c:v>
                </c:pt>
                <c:pt idx="19">
                  <c:v>2240</c:v>
                </c:pt>
                <c:pt idx="20">
                  <c:v>14070</c:v>
                </c:pt>
                <c:pt idx="21">
                  <c:v>5930</c:v>
                </c:pt>
                <c:pt idx="22">
                  <c:v>8690</c:v>
                </c:pt>
                <c:pt idx="23">
                  <c:v>2580</c:v>
                </c:pt>
                <c:pt idx="24">
                  <c:v>5050</c:v>
                </c:pt>
                <c:pt idx="25">
                  <c:v>62480</c:v>
                </c:pt>
                <c:pt idx="26">
                  <c:v>6440</c:v>
                </c:pt>
                <c:pt idx="27">
                  <c:v>10320</c:v>
                </c:pt>
                <c:pt idx="28">
                  <c:v>24400</c:v>
                </c:pt>
                <c:pt idx="29">
                  <c:v>4260</c:v>
                </c:pt>
                <c:pt idx="30">
                  <c:v>4750</c:v>
                </c:pt>
                <c:pt idx="31">
                  <c:v>7800</c:v>
                </c:pt>
                <c:pt idx="32">
                  <c:v>5060</c:v>
                </c:pt>
                <c:pt idx="33">
                  <c:v>22370</c:v>
                </c:pt>
                <c:pt idx="34">
                  <c:v>3950</c:v>
                </c:pt>
                <c:pt idx="35">
                  <c:v>13510</c:v>
                </c:pt>
                <c:pt idx="36">
                  <c:v>20870</c:v>
                </c:pt>
                <c:pt idx="37">
                  <c:v>7190</c:v>
                </c:pt>
                <c:pt idx="38">
                  <c:v>1250</c:v>
                </c:pt>
                <c:pt idx="39">
                  <c:v>20450</c:v>
                </c:pt>
                <c:pt idx="40">
                  <c:v>16610</c:v>
                </c:pt>
                <c:pt idx="41">
                  <c:v>25940</c:v>
                </c:pt>
                <c:pt idx="42">
                  <c:v>12670</c:v>
                </c:pt>
                <c:pt idx="43">
                  <c:v>47770</c:v>
                </c:pt>
                <c:pt idx="44">
                  <c:v>3420</c:v>
                </c:pt>
                <c:pt idx="45">
                  <c:v>18780</c:v>
                </c:pt>
                <c:pt idx="46">
                  <c:v>24140</c:v>
                </c:pt>
                <c:pt idx="47">
                  <c:v>11960</c:v>
                </c:pt>
                <c:pt idx="48">
                  <c:v>2760</c:v>
                </c:pt>
                <c:pt idx="49">
                  <c:v>6430</c:v>
                </c:pt>
                <c:pt idx="50">
                  <c:v>66660</c:v>
                </c:pt>
                <c:pt idx="51">
                  <c:v>7710</c:v>
                </c:pt>
                <c:pt idx="52">
                  <c:v>3320</c:v>
                </c:pt>
                <c:pt idx="53">
                  <c:v>14030.495626053835</c:v>
                </c:pt>
                <c:pt idx="54">
                  <c:v>33004.353043750678</c:v>
                </c:pt>
                <c:pt idx="55">
                  <c:v>9152.6626819562061</c:v>
                </c:pt>
                <c:pt idx="56">
                  <c:v>18359.576325226</c:v>
                </c:pt>
                <c:pt idx="57">
                  <c:v>15022.642395400682</c:v>
                </c:pt>
                <c:pt idx="58">
                  <c:v>15189.226004998172</c:v>
                </c:pt>
                <c:pt idx="59">
                  <c:v>47227.300426168506</c:v>
                </c:pt>
                <c:pt idx="60">
                  <c:v>35366.833715484609</c:v>
                </c:pt>
                <c:pt idx="61">
                  <c:v>22227.161170969008</c:v>
                </c:pt>
                <c:pt idx="62">
                  <c:v>23186.325145146606</c:v>
                </c:pt>
                <c:pt idx="63">
                  <c:v>44770.514845519152</c:v>
                </c:pt>
                <c:pt idx="64">
                  <c:v>4216.618565717391</c:v>
                </c:pt>
                <c:pt idx="65">
                  <c:v>2611.1876884827279</c:v>
                </c:pt>
                <c:pt idx="66">
                  <c:v>51113.821220954371</c:v>
                </c:pt>
                <c:pt idx="67">
                  <c:v>13469.675501425219</c:v>
                </c:pt>
                <c:pt idx="68">
                  <c:v>10940.610075112729</c:v>
                </c:pt>
                <c:pt idx="69">
                  <c:v>4891.9032655717083</c:v>
                </c:pt>
                <c:pt idx="70">
                  <c:v>3189.8145800777493</c:v>
                </c:pt>
                <c:pt idx="71">
                  <c:v>3750.9443109594208</c:v>
                </c:pt>
                <c:pt idx="72">
                  <c:v>17898.992443914594</c:v>
                </c:pt>
                <c:pt idx="73">
                  <c:v>15181.547263892588</c:v>
                </c:pt>
                <c:pt idx="74">
                  <c:v>14693.558756400476</c:v>
                </c:pt>
                <c:pt idx="75">
                  <c:v>15156.348710932929</c:v>
                </c:pt>
                <c:pt idx="76">
                  <c:v>3090.2162670389766</c:v>
                </c:pt>
                <c:pt idx="77">
                  <c:v>10669.056643037171</c:v>
                </c:pt>
                <c:pt idx="78">
                  <c:v>1984.5345412964809</c:v>
                </c:pt>
                <c:pt idx="79">
                  <c:v>7051.2330552868461</c:v>
                </c:pt>
                <c:pt idx="80">
                  <c:v>16001.91353993857</c:v>
                </c:pt>
                <c:pt idx="81">
                  <c:v>10173.851430250246</c:v>
                </c:pt>
                <c:pt idx="82">
                  <c:v>10218.253851178009</c:v>
                </c:pt>
                <c:pt idx="83">
                  <c:v>11663.368682792256</c:v>
                </c:pt>
                <c:pt idx="84">
                  <c:v>62848.25224793618</c:v>
                </c:pt>
                <c:pt idx="85">
                  <c:v>45009.188826949634</c:v>
                </c:pt>
                <c:pt idx="86">
                  <c:v>21635.605229801582</c:v>
                </c:pt>
                <c:pt idx="87">
                  <c:v>6697.0546826701884</c:v>
                </c:pt>
                <c:pt idx="88">
                  <c:v>49909.617036632168</c:v>
                </c:pt>
                <c:pt idx="89">
                  <c:v>3411.2398157146063</c:v>
                </c:pt>
                <c:pt idx="90">
                  <c:v>19515.608707014359</c:v>
                </c:pt>
                <c:pt idx="91">
                  <c:v>6092.3639485478498</c:v>
                </c:pt>
                <c:pt idx="92">
                  <c:v>6092.3639485478498</c:v>
                </c:pt>
                <c:pt idx="93">
                  <c:v>3790.387503578916</c:v>
                </c:pt>
                <c:pt idx="94">
                  <c:v>3788.6251758018029</c:v>
                </c:pt>
                <c:pt idx="95">
                  <c:v>3790.3875035789165</c:v>
                </c:pt>
                <c:pt idx="96">
                  <c:v>17742.485271020927</c:v>
                </c:pt>
                <c:pt idx="97">
                  <c:v>17009.315592512256</c:v>
                </c:pt>
              </c:numCache>
            </c:numRef>
          </c:xVal>
          <c:yVal>
            <c:numRef>
              <c:f>Data!$F$2:$F$99</c:f>
              <c:numCache>
                <c:formatCode>General</c:formatCode>
                <c:ptCount val="98"/>
                <c:pt idx="0">
                  <c:v>3.84192991256714</c:v>
                </c:pt>
                <c:pt idx="1">
                  <c:v>0.17700000107288399</c:v>
                </c:pt>
                <c:pt idx="2">
                  <c:v>10.4773101806641</c:v>
                </c:pt>
                <c:pt idx="3">
                  <c:v>10.4628601074219</c:v>
                </c:pt>
                <c:pt idx="4">
                  <c:v>2.6516098976135298</c:v>
                </c:pt>
                <c:pt idx="5">
                  <c:v>0.151250004768372</c:v>
                </c:pt>
                <c:pt idx="6">
                  <c:v>6.72456979751587</c:v>
                </c:pt>
                <c:pt idx="7">
                  <c:v>1.68116998672485</c:v>
                </c:pt>
                <c:pt idx="8">
                  <c:v>24.504339218139599</c:v>
                </c:pt>
                <c:pt idx="9">
                  <c:v>10.846260070800801</c:v>
                </c:pt>
                <c:pt idx="10">
                  <c:v>8.2236795425415004</c:v>
                </c:pt>
                <c:pt idx="11">
                  <c:v>7.3770001530647306E-2</c:v>
                </c:pt>
                <c:pt idx="12">
                  <c:v>3.6333699226379399</c:v>
                </c:pt>
                <c:pt idx="13">
                  <c:v>7.2696599960327104</c:v>
                </c:pt>
                <c:pt idx="14">
                  <c:v>33.003971099853501</c:v>
                </c:pt>
                <c:pt idx="15">
                  <c:v>0.89314997196197499</c:v>
                </c:pt>
                <c:pt idx="16">
                  <c:v>4.1098799705505398</c:v>
                </c:pt>
                <c:pt idx="17">
                  <c:v>1.3798600435257</c:v>
                </c:pt>
                <c:pt idx="18">
                  <c:v>12.792030334472701</c:v>
                </c:pt>
                <c:pt idx="19">
                  <c:v>12.843290328979499</c:v>
                </c:pt>
                <c:pt idx="20">
                  <c:v>0.62309002876281705</c:v>
                </c:pt>
                <c:pt idx="21">
                  <c:v>5.9836997985839799</c:v>
                </c:pt>
                <c:pt idx="22">
                  <c:v>10.554539680481</c:v>
                </c:pt>
                <c:pt idx="23">
                  <c:v>14.4640197753906</c:v>
                </c:pt>
                <c:pt idx="24">
                  <c:v>15.979000091552701</c:v>
                </c:pt>
                <c:pt idx="25">
                  <c:v>2.46627998352051</c:v>
                </c:pt>
                <c:pt idx="26">
                  <c:v>5.37329006195068</c:v>
                </c:pt>
                <c:pt idx="27">
                  <c:v>20.084730148315401</c:v>
                </c:pt>
                <c:pt idx="28">
                  <c:v>9.6129598617553693</c:v>
                </c:pt>
                <c:pt idx="29">
                  <c:v>3.2543001174926798</c:v>
                </c:pt>
                <c:pt idx="30">
                  <c:v>0.116539999842644</c:v>
                </c:pt>
                <c:pt idx="31">
                  <c:v>8.2396602630615199</c:v>
                </c:pt>
                <c:pt idx="32">
                  <c:v>29.7718391418457</c:v>
                </c:pt>
                <c:pt idx="33">
                  <c:v>0.33243998885154702</c:v>
                </c:pt>
                <c:pt idx="34">
                  <c:v>16.678379058837901</c:v>
                </c:pt>
                <c:pt idx="35">
                  <c:v>0.79092997312545799</c:v>
                </c:pt>
                <c:pt idx="36">
                  <c:v>6.7939996719360393E-2</c:v>
                </c:pt>
                <c:pt idx="37">
                  <c:v>0.447120010852814</c:v>
                </c:pt>
                <c:pt idx="38">
                  <c:v>0.86715000867843595</c:v>
                </c:pt>
                <c:pt idx="39">
                  <c:v>4.34500980377197</c:v>
                </c:pt>
                <c:pt idx="40">
                  <c:v>3.9304900169372599</c:v>
                </c:pt>
                <c:pt idx="41">
                  <c:v>11.3048496246338</c:v>
                </c:pt>
                <c:pt idx="42">
                  <c:v>19.655740737915</c:v>
                </c:pt>
                <c:pt idx="43">
                  <c:v>5.1759200096130398</c:v>
                </c:pt>
                <c:pt idx="44">
                  <c:v>24.6449794769287</c:v>
                </c:pt>
                <c:pt idx="45">
                  <c:v>2.8929500579834002</c:v>
                </c:pt>
                <c:pt idx="46">
                  <c:v>1.4344500303268399</c:v>
                </c:pt>
                <c:pt idx="47">
                  <c:v>3.2460300922393799</c:v>
                </c:pt>
                <c:pt idx="48">
                  <c:v>16.078929901123001</c:v>
                </c:pt>
                <c:pt idx="49">
                  <c:v>17.421829223632798</c:v>
                </c:pt>
                <c:pt idx="50">
                  <c:v>0.23627999424934401</c:v>
                </c:pt>
                <c:pt idx="51">
                  <c:v>0.93532997369766202</c:v>
                </c:pt>
                <c:pt idx="52">
                  <c:v>3.4072699546814</c:v>
                </c:pt>
                <c:pt idx="53">
                  <c:v>13.9068698883057</c:v>
                </c:pt>
                <c:pt idx="54">
                  <c:v>4.3774700164794904</c:v>
                </c:pt>
                <c:pt idx="55">
                  <c:v>6.7049798965454102</c:v>
                </c:pt>
                <c:pt idx="56">
                  <c:v>3.2204298973083501</c:v>
                </c:pt>
                <c:pt idx="57">
                  <c:v>3.3587601184845002</c:v>
                </c:pt>
                <c:pt idx="58">
                  <c:v>3.2724199295043901</c:v>
                </c:pt>
                <c:pt idx="59">
                  <c:v>1.3750799894332899</c:v>
                </c:pt>
                <c:pt idx="60">
                  <c:v>2.3789401054382302</c:v>
                </c:pt>
                <c:pt idx="61">
                  <c:v>3.6719601154327401</c:v>
                </c:pt>
                <c:pt idx="62">
                  <c:v>3.4384500980377202</c:v>
                </c:pt>
                <c:pt idx="63">
                  <c:v>1.85769999027252</c:v>
                </c:pt>
                <c:pt idx="64">
                  <c:v>23.414390563964801</c:v>
                </c:pt>
                <c:pt idx="65">
                  <c:v>17.7116508483887</c:v>
                </c:pt>
                <c:pt idx="66">
                  <c:v>1.3976700305938701</c:v>
                </c:pt>
                <c:pt idx="67">
                  <c:v>4.2042498588562003</c:v>
                </c:pt>
                <c:pt idx="68">
                  <c:v>9.5644102096557599</c:v>
                </c:pt>
                <c:pt idx="69">
                  <c:v>24.207839965820298</c:v>
                </c:pt>
                <c:pt idx="70">
                  <c:v>16.074710845947301</c:v>
                </c:pt>
                <c:pt idx="71">
                  <c:v>18.702400207519499</c:v>
                </c:pt>
                <c:pt idx="72">
                  <c:v>2.6384699344635001</c:v>
                </c:pt>
                <c:pt idx="73">
                  <c:v>2.8847799301147501</c:v>
                </c:pt>
                <c:pt idx="74">
                  <c:v>2.5066099166870099</c:v>
                </c:pt>
                <c:pt idx="75">
                  <c:v>2.87152004241943</c:v>
                </c:pt>
                <c:pt idx="76">
                  <c:v>16.987499237060501</c:v>
                </c:pt>
                <c:pt idx="77">
                  <c:v>9.6161098480224592</c:v>
                </c:pt>
                <c:pt idx="78">
                  <c:v>20.6951808929443</c:v>
                </c:pt>
                <c:pt idx="79">
                  <c:v>9.7020702362060494</c:v>
                </c:pt>
                <c:pt idx="80">
                  <c:v>5.1583199501037598</c:v>
                </c:pt>
                <c:pt idx="81">
                  <c:v>5.2730898857116699</c:v>
                </c:pt>
                <c:pt idx="82">
                  <c:v>5.2794699668884304</c:v>
                </c:pt>
                <c:pt idx="83">
                  <c:v>7.4767899513244602</c:v>
                </c:pt>
                <c:pt idx="84">
                  <c:v>0.89647001028060902</c:v>
                </c:pt>
                <c:pt idx="85">
                  <c:v>1.2913500070571899</c:v>
                </c:pt>
                <c:pt idx="86">
                  <c:v>11.697899818420399</c:v>
                </c:pt>
                <c:pt idx="87">
                  <c:v>4.7152099609375</c:v>
                </c:pt>
                <c:pt idx="88">
                  <c:v>1.3961100578308101</c:v>
                </c:pt>
                <c:pt idx="89">
                  <c:v>22.417169570922901</c:v>
                </c:pt>
                <c:pt idx="90">
                  <c:v>10.4925699234009</c:v>
                </c:pt>
                <c:pt idx="91">
                  <c:v>8.8243103027343803</c:v>
                </c:pt>
                <c:pt idx="92">
                  <c:v>8.8243103027343803</c:v>
                </c:pt>
                <c:pt idx="93">
                  <c:v>20.017320632934599</c:v>
                </c:pt>
                <c:pt idx="94">
                  <c:v>20.0182590484619</c:v>
                </c:pt>
                <c:pt idx="95">
                  <c:v>20.017320632934599</c:v>
                </c:pt>
                <c:pt idx="96">
                  <c:v>3.4543199539184601</c:v>
                </c:pt>
                <c:pt idx="97">
                  <c:v>8.7594699859619105</c:v>
                </c:pt>
              </c:numCache>
            </c:numRef>
          </c:yVal>
          <c:smooth val="0"/>
          <c:extLst>
            <c:ext xmlns:c16="http://schemas.microsoft.com/office/drawing/2014/chart" uri="{C3380CC4-5D6E-409C-BE32-E72D297353CC}">
              <c16:uniqueId val="{00000000-5F10-4609-AC34-2806AE5FAF33}"/>
            </c:ext>
          </c:extLst>
        </c:ser>
        <c:dLbls>
          <c:showLegendKey val="0"/>
          <c:showVal val="0"/>
          <c:showCatName val="0"/>
          <c:showSerName val="0"/>
          <c:showPercent val="0"/>
          <c:showBubbleSize val="0"/>
        </c:dLbls>
        <c:axId val="19729983"/>
        <c:axId val="19730399"/>
      </c:scatterChart>
      <c:valAx>
        <c:axId val="197299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b-NO"/>
          </a:p>
        </c:txPr>
        <c:crossAx val="19730399"/>
        <c:crosses val="autoZero"/>
        <c:crossBetween val="midCat"/>
      </c:valAx>
      <c:valAx>
        <c:axId val="197303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b-NO"/>
          </a:p>
        </c:txPr>
        <c:crossAx val="1972998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b-N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165</Words>
  <Characters>878</Characters>
  <Application>Microsoft Office Word</Application>
  <DocSecurity>0</DocSecurity>
  <Lines>7</Lines>
  <Paragraphs>2</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Norland</dc:creator>
  <cp:keywords/>
  <dc:description/>
  <cp:lastModifiedBy>Maria Norland</cp:lastModifiedBy>
  <cp:revision>4</cp:revision>
  <dcterms:created xsi:type="dcterms:W3CDTF">2022-01-30T12:48:00Z</dcterms:created>
  <dcterms:modified xsi:type="dcterms:W3CDTF">2022-01-31T05:00:00Z</dcterms:modified>
</cp:coreProperties>
</file>