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C35" w:rsidRPr="00A25D88" w:rsidRDefault="006D3C35" w:rsidP="00A25D88">
      <w:pPr>
        <w:spacing w:line="480" w:lineRule="auto"/>
        <w:jc w:val="right"/>
        <w:rPr>
          <w:rFonts w:ascii="Times New Roman" w:hAnsi="Times New Roman" w:cs="Times New Roman"/>
        </w:rPr>
      </w:pPr>
      <w:proofErr w:type="spellStart"/>
      <w:r w:rsidRPr="00A25D88">
        <w:rPr>
          <w:rFonts w:ascii="Times New Roman" w:hAnsi="Times New Roman" w:cs="Times New Roman"/>
        </w:rPr>
        <w:t>Aphivich</w:t>
      </w:r>
      <w:proofErr w:type="spellEnd"/>
      <w:r w:rsidRPr="00A25D88">
        <w:rPr>
          <w:rFonts w:ascii="Times New Roman" w:hAnsi="Times New Roman" w:cs="Times New Roman"/>
        </w:rPr>
        <w:t xml:space="preserve"> </w:t>
      </w:r>
      <w:proofErr w:type="spellStart"/>
      <w:r w:rsidRPr="00A25D88">
        <w:rPr>
          <w:rFonts w:ascii="Times New Roman" w:hAnsi="Times New Roman" w:cs="Times New Roman"/>
        </w:rPr>
        <w:t>Tiyaboonchai</w:t>
      </w:r>
      <w:proofErr w:type="spellEnd"/>
    </w:p>
    <w:p w:rsidR="006D3C35" w:rsidRPr="00A25D88" w:rsidRDefault="006D3C35" w:rsidP="00A25D88">
      <w:pPr>
        <w:spacing w:line="480" w:lineRule="auto"/>
        <w:jc w:val="right"/>
        <w:rPr>
          <w:rFonts w:ascii="Times New Roman" w:hAnsi="Times New Roman" w:cs="Times New Roman"/>
        </w:rPr>
      </w:pPr>
      <w:r w:rsidRPr="00A25D88">
        <w:rPr>
          <w:rFonts w:ascii="Times New Roman" w:hAnsi="Times New Roman" w:cs="Times New Roman"/>
        </w:rPr>
        <w:t>5704640100</w:t>
      </w:r>
    </w:p>
    <w:p w:rsidR="002D43C1" w:rsidRPr="003E52A6" w:rsidRDefault="006D3C35" w:rsidP="00A25D88">
      <w:pPr>
        <w:spacing w:line="480" w:lineRule="auto"/>
        <w:jc w:val="center"/>
        <w:rPr>
          <w:rFonts w:ascii="Times New Roman" w:hAnsi="Times New Roman" w:cs="Times New Roman"/>
          <w:sz w:val="28"/>
          <w:szCs w:val="36"/>
        </w:rPr>
      </w:pPr>
      <w:r w:rsidRPr="003E52A6">
        <w:rPr>
          <w:rFonts w:ascii="Times New Roman" w:hAnsi="Times New Roman" w:cs="Times New Roman"/>
          <w:sz w:val="28"/>
          <w:szCs w:val="36"/>
        </w:rPr>
        <w:t>FN281: Individual work 1</w:t>
      </w:r>
    </w:p>
    <w:p w:rsidR="006D3C35" w:rsidRPr="003E52A6" w:rsidRDefault="006D3C35" w:rsidP="00A25D88">
      <w:pPr>
        <w:pStyle w:val="ListParagraph"/>
        <w:numPr>
          <w:ilvl w:val="0"/>
          <w:numId w:val="1"/>
        </w:numPr>
        <w:spacing w:line="480" w:lineRule="auto"/>
        <w:rPr>
          <w:rFonts w:ascii="Times New Roman" w:hAnsi="Times New Roman" w:cs="Times New Roman"/>
          <w:sz w:val="24"/>
          <w:szCs w:val="32"/>
        </w:rPr>
      </w:pPr>
      <w:r w:rsidRPr="003E52A6">
        <w:rPr>
          <w:rFonts w:ascii="Times New Roman" w:hAnsi="Times New Roman" w:cs="Times New Roman"/>
          <w:sz w:val="24"/>
          <w:szCs w:val="32"/>
        </w:rPr>
        <w:t>Discuss one insurance product and comment on its benefits</w:t>
      </w:r>
    </w:p>
    <w:p w:rsidR="006D3C35" w:rsidRPr="003E52A6" w:rsidRDefault="006D3C35" w:rsidP="00A25D88">
      <w:pPr>
        <w:spacing w:line="480" w:lineRule="auto"/>
        <w:rPr>
          <w:rFonts w:ascii="Times New Roman" w:hAnsi="Times New Roman" w:cs="Times New Roman"/>
          <w:sz w:val="24"/>
          <w:szCs w:val="32"/>
        </w:rPr>
      </w:pPr>
      <w:r w:rsidRPr="003E52A6">
        <w:rPr>
          <w:rFonts w:ascii="Times New Roman" w:hAnsi="Times New Roman" w:cs="Times New Roman"/>
          <w:sz w:val="24"/>
          <w:szCs w:val="32"/>
        </w:rPr>
        <w:t>Insurance product: AIA 15PAY30 life insurance</w:t>
      </w:r>
    </w:p>
    <w:p w:rsidR="006D3C35" w:rsidRPr="003E52A6" w:rsidRDefault="00A25D88" w:rsidP="006D3C35">
      <w:pPr>
        <w:rPr>
          <w:rFonts w:ascii="Times New Roman" w:hAnsi="Times New Roman" w:cs="Times New Roman"/>
          <w:sz w:val="24"/>
          <w:szCs w:val="32"/>
        </w:rPr>
      </w:pPr>
      <w:r w:rsidRPr="003E52A6">
        <w:rPr>
          <w:rFonts w:ascii="Times New Roman" w:hAnsi="Times New Roman" w:cs="Times New Roman"/>
          <w:noProof/>
          <w:sz w:val="24"/>
          <w:szCs w:val="32"/>
        </w:rPr>
        <w:drawing>
          <wp:anchor distT="0" distB="0" distL="114300" distR="114300" simplePos="0" relativeHeight="251659264" behindDoc="0" locked="0" layoutInCell="1" allowOverlap="1" wp14:anchorId="52047CDB" wp14:editId="1136C0EB">
            <wp:simplePos x="0" y="0"/>
            <wp:positionH relativeFrom="column">
              <wp:posOffset>-285750</wp:posOffset>
            </wp:positionH>
            <wp:positionV relativeFrom="paragraph">
              <wp:posOffset>387350</wp:posOffset>
            </wp:positionV>
            <wp:extent cx="6819900" cy="203581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eline.JPG"/>
                    <pic:cNvPicPr/>
                  </pic:nvPicPr>
                  <pic:blipFill rotWithShape="1">
                    <a:blip r:embed="rId6">
                      <a:extLst>
                        <a:ext uri="{28A0092B-C50C-407E-A947-70E740481C1C}">
                          <a14:useLocalDpi xmlns:a14="http://schemas.microsoft.com/office/drawing/2010/main" val="0"/>
                        </a:ext>
                      </a:extLst>
                    </a:blip>
                    <a:srcRect t="27881" b="90"/>
                    <a:stretch/>
                  </pic:blipFill>
                  <pic:spPr bwMode="auto">
                    <a:xfrm>
                      <a:off x="0" y="0"/>
                      <a:ext cx="6819900" cy="2035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D3C35" w:rsidRPr="003E52A6">
        <w:rPr>
          <w:rFonts w:ascii="Times New Roman" w:hAnsi="Times New Roman" w:cs="Times New Roman"/>
          <w:sz w:val="24"/>
          <w:szCs w:val="32"/>
        </w:rPr>
        <w:t>Cash flow timeline:</w:t>
      </w:r>
    </w:p>
    <w:p w:rsidR="006D3C35" w:rsidRPr="00A25D88" w:rsidRDefault="006D3C35" w:rsidP="006D3C35">
      <w:pPr>
        <w:rPr>
          <w:rFonts w:ascii="Times New Roman" w:hAnsi="Times New Roman" w:cs="Times New Roman"/>
        </w:rPr>
      </w:pPr>
    </w:p>
    <w:p w:rsidR="006D3C35" w:rsidRPr="003E52A6" w:rsidRDefault="006D3C35" w:rsidP="006D3C35">
      <w:pPr>
        <w:rPr>
          <w:rFonts w:ascii="Times New Roman" w:hAnsi="Times New Roman" w:cs="Times New Roman"/>
          <w:sz w:val="24"/>
          <w:szCs w:val="32"/>
        </w:rPr>
      </w:pPr>
      <w:r w:rsidRPr="003E52A6">
        <w:rPr>
          <w:rFonts w:ascii="Times New Roman" w:hAnsi="Times New Roman" w:cs="Times New Roman"/>
          <w:sz w:val="24"/>
          <w:szCs w:val="32"/>
        </w:rPr>
        <w:t>Payments</w:t>
      </w:r>
      <w:r w:rsidR="0013403A" w:rsidRPr="003E52A6">
        <w:rPr>
          <w:rFonts w:ascii="Times New Roman" w:hAnsi="Times New Roman" w:cs="Times New Roman"/>
          <w:sz w:val="24"/>
          <w:szCs w:val="32"/>
        </w:rPr>
        <w:t xml:space="preserve"> (per </w:t>
      </w:r>
      <w:r w:rsidR="0013403A" w:rsidRPr="003E52A6">
        <w:rPr>
          <w:rFonts w:ascii="Cambria Math" w:hAnsi="Cambria Math" w:cs="Cambria Math" w:hint="cs"/>
          <w:sz w:val="24"/>
          <w:szCs w:val="32"/>
          <w:cs/>
        </w:rPr>
        <w:t>฿</w:t>
      </w:r>
      <w:r w:rsidR="0013403A" w:rsidRPr="003E52A6">
        <w:rPr>
          <w:rFonts w:ascii="Times New Roman" w:hAnsi="Times New Roman" w:cs="Times New Roman"/>
          <w:sz w:val="24"/>
          <w:szCs w:val="32"/>
        </w:rPr>
        <w:t>1,000 sum insured)</w:t>
      </w:r>
      <w:r w:rsidRPr="003E52A6">
        <w:rPr>
          <w:rFonts w:ascii="Times New Roman" w:hAnsi="Times New Roman" w:cs="Times New Roman"/>
          <w:sz w:val="24"/>
          <w:szCs w:val="32"/>
        </w:rPr>
        <w:t>:</w:t>
      </w:r>
      <w:r w:rsidR="00255B66" w:rsidRPr="003E52A6">
        <w:rPr>
          <w:rFonts w:ascii="Times New Roman" w:hAnsi="Times New Roman" w:cs="Times New Roman"/>
          <w:noProof/>
          <w:sz w:val="24"/>
          <w:szCs w:val="32"/>
        </w:rPr>
        <w:t xml:space="preserve"> </w:t>
      </w:r>
    </w:p>
    <w:p w:rsidR="00255B66" w:rsidRPr="00A25D88" w:rsidRDefault="00A25D88" w:rsidP="006D3C35">
      <w:pPr>
        <w:rPr>
          <w:rFonts w:ascii="Times New Roman" w:hAnsi="Times New Roman" w:cs="Times New Roman"/>
        </w:rPr>
      </w:pPr>
      <w:r w:rsidRPr="00A25D88">
        <w:rPr>
          <w:rFonts w:ascii="Times New Roman" w:hAnsi="Times New Roman" w:cs="Times New Roman"/>
          <w:noProof/>
        </w:rPr>
        <w:drawing>
          <wp:anchor distT="0" distB="0" distL="114300" distR="114300" simplePos="0" relativeHeight="251658240" behindDoc="0" locked="0" layoutInCell="1" allowOverlap="1" wp14:anchorId="72C92D54" wp14:editId="2ADCED9F">
            <wp:simplePos x="0" y="0"/>
            <wp:positionH relativeFrom="column">
              <wp:posOffset>626745</wp:posOffset>
            </wp:positionH>
            <wp:positionV relativeFrom="paragraph">
              <wp:posOffset>113665</wp:posOffset>
            </wp:positionV>
            <wp:extent cx="5162550" cy="313753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7">
                      <a:extLst>
                        <a:ext uri="{28A0092B-C50C-407E-A947-70E740481C1C}">
                          <a14:useLocalDpi xmlns:a14="http://schemas.microsoft.com/office/drawing/2010/main" val="0"/>
                        </a:ext>
                      </a:extLst>
                    </a:blip>
                    <a:stretch>
                      <a:fillRect/>
                    </a:stretch>
                  </pic:blipFill>
                  <pic:spPr>
                    <a:xfrm>
                      <a:off x="0" y="0"/>
                      <a:ext cx="5162550" cy="3137535"/>
                    </a:xfrm>
                    <a:prstGeom prst="rect">
                      <a:avLst/>
                    </a:prstGeom>
                  </pic:spPr>
                </pic:pic>
              </a:graphicData>
            </a:graphic>
            <wp14:sizeRelH relativeFrom="page">
              <wp14:pctWidth>0</wp14:pctWidth>
            </wp14:sizeRelH>
            <wp14:sizeRelV relativeFrom="page">
              <wp14:pctHeight>0</wp14:pctHeight>
            </wp14:sizeRelV>
          </wp:anchor>
        </w:drawing>
      </w:r>
    </w:p>
    <w:p w:rsidR="00255B66" w:rsidRPr="00A25D88" w:rsidRDefault="00255B66" w:rsidP="006D3C35">
      <w:pPr>
        <w:rPr>
          <w:rFonts w:ascii="Times New Roman" w:hAnsi="Times New Roman" w:cs="Times New Roman"/>
        </w:rPr>
      </w:pPr>
    </w:p>
    <w:p w:rsidR="00255B66" w:rsidRPr="00A25D88" w:rsidRDefault="00255B66" w:rsidP="006D3C35">
      <w:pPr>
        <w:rPr>
          <w:rFonts w:ascii="Times New Roman" w:hAnsi="Times New Roman" w:cs="Times New Roman"/>
        </w:rPr>
      </w:pPr>
    </w:p>
    <w:p w:rsidR="00255B66" w:rsidRPr="00A25D88" w:rsidRDefault="00255B66" w:rsidP="006D3C35">
      <w:pPr>
        <w:rPr>
          <w:rFonts w:ascii="Times New Roman" w:hAnsi="Times New Roman" w:cs="Times New Roman"/>
        </w:rPr>
      </w:pPr>
    </w:p>
    <w:p w:rsidR="00255B66" w:rsidRPr="00A25D88" w:rsidRDefault="00255B66" w:rsidP="006D3C35">
      <w:pPr>
        <w:rPr>
          <w:rFonts w:ascii="Times New Roman" w:hAnsi="Times New Roman" w:cs="Times New Roman"/>
        </w:rPr>
      </w:pPr>
    </w:p>
    <w:p w:rsidR="00255B66" w:rsidRPr="00A25D88" w:rsidRDefault="00255B66" w:rsidP="006D3C35">
      <w:pPr>
        <w:rPr>
          <w:rFonts w:ascii="Times New Roman" w:hAnsi="Times New Roman" w:cs="Times New Roman"/>
        </w:rPr>
      </w:pPr>
    </w:p>
    <w:p w:rsidR="00255B66" w:rsidRPr="00A25D88" w:rsidRDefault="00255B66" w:rsidP="006D3C35">
      <w:pPr>
        <w:rPr>
          <w:rFonts w:ascii="Times New Roman" w:hAnsi="Times New Roman" w:cs="Times New Roman"/>
        </w:rPr>
      </w:pPr>
    </w:p>
    <w:p w:rsidR="00A25D88" w:rsidRDefault="00255B66" w:rsidP="006D3C35">
      <w:pPr>
        <w:rPr>
          <w:rFonts w:ascii="Times New Roman" w:hAnsi="Times New Roman" w:cs="Times New Roman"/>
        </w:rPr>
      </w:pPr>
      <w:r w:rsidRPr="00A25D88">
        <w:rPr>
          <w:rFonts w:ascii="Times New Roman" w:hAnsi="Times New Roman" w:cs="Times New Roman"/>
        </w:rPr>
        <w:tab/>
      </w:r>
    </w:p>
    <w:p w:rsidR="00255B66" w:rsidRPr="00A25D88" w:rsidRDefault="00255B66" w:rsidP="00A25D88">
      <w:pPr>
        <w:spacing w:line="480" w:lineRule="auto"/>
        <w:rPr>
          <w:rFonts w:ascii="Times New Roman" w:hAnsi="Times New Roman" w:cs="Times New Roman"/>
          <w:sz w:val="24"/>
          <w:szCs w:val="32"/>
        </w:rPr>
      </w:pPr>
      <w:r w:rsidRPr="00A25D88">
        <w:rPr>
          <w:rFonts w:ascii="Times New Roman" w:hAnsi="Times New Roman" w:cs="Times New Roman"/>
          <w:sz w:val="24"/>
          <w:szCs w:val="32"/>
        </w:rPr>
        <w:lastRenderedPageBreak/>
        <w:t>AIA 15PAY30 is a life insurance program proposed by AIA company Thailand. The program requires 15 years from year 1 to year 15. It payouts 1% of the total sum insured from year 2 to year 29 of the contract, and 150% of the total sum insured at the end of contract. Also, this program also offers</w:t>
      </w:r>
      <w:r w:rsidR="0013403A" w:rsidRPr="00A25D88">
        <w:rPr>
          <w:rFonts w:ascii="Times New Roman" w:hAnsi="Times New Roman" w:cs="Times New Roman"/>
          <w:sz w:val="24"/>
          <w:szCs w:val="32"/>
        </w:rPr>
        <w:t xml:space="preserve"> two dividend payouts from AIA investments. </w:t>
      </w:r>
    </w:p>
    <w:p w:rsidR="0013403A" w:rsidRPr="00A25D88" w:rsidRDefault="0013403A" w:rsidP="00A25D88">
      <w:pPr>
        <w:spacing w:line="480" w:lineRule="auto"/>
        <w:rPr>
          <w:rFonts w:ascii="Times New Roman" w:hAnsi="Times New Roman" w:cs="Times New Roman"/>
          <w:sz w:val="24"/>
          <w:szCs w:val="32"/>
        </w:rPr>
      </w:pPr>
      <w:r w:rsidRPr="00A25D88">
        <w:rPr>
          <w:rFonts w:ascii="Times New Roman" w:hAnsi="Times New Roman" w:cs="Times New Roman"/>
          <w:sz w:val="24"/>
          <w:szCs w:val="32"/>
        </w:rPr>
        <w:tab/>
        <w:t>Insurer can choose to pay the program either monthly or annually, and the payment per year is depended on insurer’s age and total sum insured as can be seen in the table above.</w:t>
      </w:r>
    </w:p>
    <w:p w:rsidR="00255B66" w:rsidRDefault="00255B66" w:rsidP="00A25D88">
      <w:pPr>
        <w:spacing w:line="480" w:lineRule="auto"/>
        <w:rPr>
          <w:rFonts w:ascii="Times New Roman" w:hAnsi="Times New Roman" w:cs="Times New Roman"/>
          <w:sz w:val="24"/>
          <w:szCs w:val="32"/>
        </w:rPr>
      </w:pPr>
      <w:r w:rsidRPr="00A25D88">
        <w:rPr>
          <w:rFonts w:ascii="Times New Roman" w:hAnsi="Times New Roman" w:cs="Times New Roman"/>
          <w:sz w:val="24"/>
          <w:szCs w:val="32"/>
        </w:rPr>
        <w:tab/>
        <w:t xml:space="preserve">There are a lot of benefits that the insurer will receive </w:t>
      </w:r>
      <w:r w:rsidR="0013403A" w:rsidRPr="00A25D88">
        <w:rPr>
          <w:rFonts w:ascii="Times New Roman" w:hAnsi="Times New Roman" w:cs="Times New Roman"/>
          <w:sz w:val="24"/>
          <w:szCs w:val="32"/>
        </w:rPr>
        <w:t>from this program. First is the life insurance that this program provides, in case of death, or fully disabled, inheritor will receive compensation from AIA accordingly to the sum insured. In which, the death compensation will grow overtime from 100% of sum insured during the first 10 years to 110%, 120%, 130%, and 140% of sum insured on the 11</w:t>
      </w:r>
      <w:r w:rsidR="0013403A" w:rsidRPr="00A25D88">
        <w:rPr>
          <w:rFonts w:ascii="Times New Roman" w:hAnsi="Times New Roman" w:cs="Times New Roman"/>
          <w:sz w:val="24"/>
          <w:szCs w:val="32"/>
          <w:vertAlign w:val="superscript"/>
        </w:rPr>
        <w:t>th</w:t>
      </w:r>
      <w:r w:rsidR="0013403A" w:rsidRPr="00A25D88">
        <w:rPr>
          <w:rFonts w:ascii="Times New Roman" w:hAnsi="Times New Roman" w:cs="Times New Roman"/>
          <w:sz w:val="24"/>
          <w:szCs w:val="32"/>
        </w:rPr>
        <w:t>, 12</w:t>
      </w:r>
      <w:r w:rsidR="0013403A" w:rsidRPr="00A25D88">
        <w:rPr>
          <w:rFonts w:ascii="Times New Roman" w:hAnsi="Times New Roman" w:cs="Times New Roman"/>
          <w:sz w:val="24"/>
          <w:szCs w:val="32"/>
          <w:vertAlign w:val="superscript"/>
        </w:rPr>
        <w:t>th</w:t>
      </w:r>
      <w:r w:rsidR="0013403A" w:rsidRPr="00A25D88">
        <w:rPr>
          <w:rFonts w:ascii="Times New Roman" w:hAnsi="Times New Roman" w:cs="Times New Roman"/>
          <w:sz w:val="24"/>
          <w:szCs w:val="32"/>
        </w:rPr>
        <w:t>, 13</w:t>
      </w:r>
      <w:r w:rsidR="0013403A" w:rsidRPr="00A25D88">
        <w:rPr>
          <w:rFonts w:ascii="Times New Roman" w:hAnsi="Times New Roman" w:cs="Times New Roman"/>
          <w:sz w:val="24"/>
          <w:szCs w:val="32"/>
          <w:vertAlign w:val="superscript"/>
        </w:rPr>
        <w:t>th</w:t>
      </w:r>
      <w:r w:rsidR="0013403A" w:rsidRPr="00A25D88">
        <w:rPr>
          <w:rFonts w:ascii="Times New Roman" w:hAnsi="Times New Roman" w:cs="Times New Roman"/>
          <w:sz w:val="24"/>
          <w:szCs w:val="32"/>
        </w:rPr>
        <w:t>, and 14</w:t>
      </w:r>
      <w:r w:rsidR="0013403A" w:rsidRPr="00A25D88">
        <w:rPr>
          <w:rFonts w:ascii="Times New Roman" w:hAnsi="Times New Roman" w:cs="Times New Roman"/>
          <w:sz w:val="24"/>
          <w:szCs w:val="32"/>
          <w:vertAlign w:val="superscript"/>
        </w:rPr>
        <w:t>th</w:t>
      </w:r>
      <w:r w:rsidR="0013403A" w:rsidRPr="00A25D88">
        <w:rPr>
          <w:rFonts w:ascii="Times New Roman" w:hAnsi="Times New Roman" w:cs="Times New Roman"/>
          <w:sz w:val="24"/>
          <w:szCs w:val="32"/>
        </w:rPr>
        <w:t xml:space="preserve"> year of the contract</w:t>
      </w:r>
      <w:r w:rsidR="00A25D88" w:rsidRPr="00A25D88">
        <w:rPr>
          <w:rFonts w:ascii="Times New Roman" w:hAnsi="Times New Roman" w:cs="Times New Roman"/>
          <w:sz w:val="24"/>
          <w:szCs w:val="32"/>
        </w:rPr>
        <w:t>. Eventually, the compensation will grow up to the maximum of 150% at year 15</w:t>
      </w:r>
      <w:r w:rsidR="00A25D88" w:rsidRPr="00A25D88">
        <w:rPr>
          <w:rFonts w:ascii="Times New Roman" w:hAnsi="Times New Roman" w:cs="Times New Roman"/>
          <w:sz w:val="24"/>
          <w:szCs w:val="32"/>
          <w:vertAlign w:val="superscript"/>
        </w:rPr>
        <w:t xml:space="preserve"> </w:t>
      </w:r>
      <w:r w:rsidR="00A25D88" w:rsidRPr="00A25D88">
        <w:rPr>
          <w:rFonts w:ascii="Times New Roman" w:hAnsi="Times New Roman" w:cs="Times New Roman"/>
          <w:sz w:val="24"/>
          <w:szCs w:val="32"/>
        </w:rPr>
        <w:t>until the end of contract.</w:t>
      </w:r>
    </w:p>
    <w:p w:rsidR="00A25D88" w:rsidRPr="00A25D88" w:rsidRDefault="00ED485B" w:rsidP="00A25D88">
      <w:pPr>
        <w:spacing w:line="480" w:lineRule="auto"/>
        <w:rPr>
          <w:rFonts w:ascii="Times New Roman" w:hAnsi="Times New Roman" w:cs="Times New Roman"/>
          <w:sz w:val="24"/>
          <w:szCs w:val="32"/>
        </w:rPr>
      </w:pPr>
      <w:r>
        <w:rPr>
          <w:rFonts w:ascii="Times New Roman" w:hAnsi="Times New Roman" w:cs="Times New Roman"/>
          <w:sz w:val="24"/>
          <w:szCs w:val="32"/>
        </w:rPr>
        <w:tab/>
      </w:r>
      <w:r w:rsidR="00A25D88" w:rsidRPr="00A25D88">
        <w:rPr>
          <w:rFonts w:ascii="Times New Roman" w:hAnsi="Times New Roman" w:cs="Times New Roman"/>
          <w:sz w:val="24"/>
          <w:szCs w:val="32"/>
        </w:rPr>
        <w:t>Other than the benefit of death compensation,</w:t>
      </w:r>
      <w:r>
        <w:rPr>
          <w:rFonts w:ascii="Times New Roman" w:hAnsi="Times New Roman" w:cs="Times New Roman"/>
          <w:sz w:val="24"/>
          <w:szCs w:val="32"/>
        </w:rPr>
        <w:t xml:space="preserve"> </w:t>
      </w:r>
      <w:r w:rsidR="00A25D88" w:rsidRPr="00A25D88">
        <w:rPr>
          <w:rFonts w:ascii="Times New Roman" w:hAnsi="Times New Roman" w:cs="Times New Roman"/>
          <w:sz w:val="24"/>
          <w:szCs w:val="32"/>
        </w:rPr>
        <w:t xml:space="preserve">the insurer will also receive the benefit of tax reduction, as mention in Thai law, at 10% of the annual insurance payment and maximum reduction of THB 100,000. </w:t>
      </w:r>
    </w:p>
    <w:p w:rsidR="00A25D88" w:rsidRPr="00A25D88" w:rsidRDefault="00A25D88" w:rsidP="00A25D88">
      <w:pPr>
        <w:spacing w:line="480" w:lineRule="auto"/>
        <w:rPr>
          <w:rFonts w:ascii="Times New Roman" w:hAnsi="Times New Roman" w:cs="Times New Roman"/>
          <w:sz w:val="24"/>
          <w:szCs w:val="32"/>
        </w:rPr>
      </w:pPr>
      <w:r w:rsidRPr="00A25D88">
        <w:rPr>
          <w:rFonts w:ascii="Times New Roman" w:hAnsi="Times New Roman" w:cs="Times New Roman"/>
          <w:sz w:val="24"/>
          <w:szCs w:val="32"/>
        </w:rPr>
        <w:tab/>
        <w:t xml:space="preserve">Here, I assume 3 levels of income to calculate the tax benefit as follow; </w:t>
      </w:r>
    </w:p>
    <w:tbl>
      <w:tblPr>
        <w:tblStyle w:val="MediumShading2-Accent2"/>
        <w:tblW w:w="11431" w:type="dxa"/>
        <w:tblInd w:w="-882" w:type="dxa"/>
        <w:tblLook w:val="04A0" w:firstRow="1" w:lastRow="0" w:firstColumn="1" w:lastColumn="0" w:noHBand="0" w:noVBand="1"/>
      </w:tblPr>
      <w:tblGrid>
        <w:gridCol w:w="3745"/>
        <w:gridCol w:w="2562"/>
        <w:gridCol w:w="2562"/>
        <w:gridCol w:w="2562"/>
      </w:tblGrid>
      <w:tr w:rsidR="00A25D88" w:rsidRPr="00A25D88" w:rsidTr="00CB51D5">
        <w:trPr>
          <w:cnfStyle w:val="100000000000" w:firstRow="1" w:lastRow="0" w:firstColumn="0" w:lastColumn="0" w:oddVBand="0" w:evenVBand="0" w:oddHBand="0" w:evenHBand="0" w:firstRowFirstColumn="0" w:firstRowLastColumn="0" w:lastRowFirstColumn="0" w:lastRowLastColumn="0"/>
          <w:trHeight w:val="587"/>
        </w:trPr>
        <w:tc>
          <w:tcPr>
            <w:cnfStyle w:val="001000000100" w:firstRow="0" w:lastRow="0" w:firstColumn="1" w:lastColumn="0" w:oddVBand="0" w:evenVBand="0" w:oddHBand="0" w:evenHBand="0" w:firstRowFirstColumn="1" w:firstRowLastColumn="0" w:lastRowFirstColumn="0" w:lastRowLastColumn="0"/>
            <w:tcW w:w="3745" w:type="dxa"/>
          </w:tcPr>
          <w:p w:rsidR="00A25D88" w:rsidRPr="00A25D88" w:rsidRDefault="00A25D88" w:rsidP="00CB51D5">
            <w:pPr>
              <w:jc w:val="center"/>
              <w:rPr>
                <w:rFonts w:ascii="Times New Roman" w:hAnsi="Times New Roman" w:cs="Times New Roman"/>
                <w:b w:val="0"/>
                <w:bCs w:val="0"/>
              </w:rPr>
            </w:pPr>
            <w:r w:rsidRPr="00A25D88">
              <w:rPr>
                <w:rFonts w:ascii="Times New Roman" w:hAnsi="Times New Roman" w:cs="Times New Roman"/>
                <w:b w:val="0"/>
                <w:bCs w:val="0"/>
              </w:rPr>
              <w:t>Income Tax without Life Insurance</w:t>
            </w:r>
          </w:p>
        </w:tc>
        <w:tc>
          <w:tcPr>
            <w:tcW w:w="2562" w:type="dxa"/>
          </w:tcPr>
          <w:p w:rsidR="00A25D88" w:rsidRPr="00A25D88" w:rsidRDefault="00A25D88" w:rsidP="00CB51D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Income: 15,000 Bath/month</w:t>
            </w:r>
          </w:p>
        </w:tc>
        <w:tc>
          <w:tcPr>
            <w:tcW w:w="2562" w:type="dxa"/>
          </w:tcPr>
          <w:p w:rsidR="00A25D88" w:rsidRPr="00A25D88" w:rsidRDefault="00A25D88" w:rsidP="00CB51D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Income: 30,000 Bath/month</w:t>
            </w:r>
          </w:p>
        </w:tc>
        <w:tc>
          <w:tcPr>
            <w:tcW w:w="2562" w:type="dxa"/>
          </w:tcPr>
          <w:p w:rsidR="00A25D88" w:rsidRPr="00A25D88" w:rsidRDefault="00A25D88" w:rsidP="00CB51D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Income: 45,000 Bath/month</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745"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Assessable Income</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180,000</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360,000</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540,000</w:t>
            </w:r>
          </w:p>
        </w:tc>
      </w:tr>
      <w:tr w:rsidR="00A25D88" w:rsidRPr="00A25D88" w:rsidTr="00CB51D5">
        <w:trPr>
          <w:trHeight w:val="302"/>
        </w:trPr>
        <w:tc>
          <w:tcPr>
            <w:cnfStyle w:val="001000000000" w:firstRow="0" w:lastRow="0" w:firstColumn="1" w:lastColumn="0" w:oddVBand="0" w:evenVBand="0" w:oddHBand="0" w:evenHBand="0" w:firstRowFirstColumn="0" w:firstRowLastColumn="0" w:lastRowFirstColumn="0" w:lastRowLastColumn="0"/>
            <w:tcW w:w="3745"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 xml:space="preserve">   Less: Personal Expense</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60,000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60,000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60,000</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745"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 xml:space="preserve">   Less: Allowance(s)</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A25D88" w:rsidRPr="00A25D88" w:rsidTr="00CB51D5">
        <w:trPr>
          <w:trHeight w:val="302"/>
        </w:trPr>
        <w:tc>
          <w:tcPr>
            <w:cnfStyle w:val="001000000000" w:firstRow="0" w:lastRow="0" w:firstColumn="1" w:lastColumn="0" w:oddVBand="0" w:evenVBand="0" w:oddHBand="0" w:evenHBand="0" w:firstRowFirstColumn="0" w:firstRowLastColumn="0" w:lastRowFirstColumn="0" w:lastRowLastColumn="0"/>
            <w:tcW w:w="3745" w:type="dxa"/>
          </w:tcPr>
          <w:p w:rsidR="00A25D88" w:rsidRPr="00A25D88" w:rsidRDefault="00A25D88" w:rsidP="00CB51D5">
            <w:pPr>
              <w:pStyle w:val="ListParagraph"/>
              <w:numPr>
                <w:ilvl w:val="0"/>
                <w:numId w:val="2"/>
              </w:numPr>
              <w:rPr>
                <w:rFonts w:ascii="Times New Roman" w:hAnsi="Times New Roman" w:cs="Times New Roman"/>
              </w:rPr>
            </w:pPr>
            <w:r w:rsidRPr="00A25D88">
              <w:rPr>
                <w:rFonts w:ascii="Times New Roman" w:hAnsi="Times New Roman" w:cs="Times New Roman"/>
              </w:rPr>
              <w:t>Personal</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30,000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30,000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30,000</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745" w:type="dxa"/>
          </w:tcPr>
          <w:p w:rsidR="00A25D88" w:rsidRPr="00A25D88" w:rsidRDefault="00A25D88" w:rsidP="00CB51D5">
            <w:pPr>
              <w:pStyle w:val="ListParagraph"/>
              <w:numPr>
                <w:ilvl w:val="0"/>
                <w:numId w:val="2"/>
              </w:numPr>
              <w:rPr>
                <w:rFonts w:ascii="Times New Roman" w:hAnsi="Times New Roman" w:cs="Times New Roman"/>
              </w:rPr>
            </w:pPr>
            <w:r w:rsidRPr="00A25D88">
              <w:rPr>
                <w:rFonts w:ascii="Times New Roman" w:hAnsi="Times New Roman" w:cs="Times New Roman"/>
              </w:rPr>
              <w:t>Life Insurance</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r>
      <w:tr w:rsidR="00A25D88" w:rsidRPr="00A25D88" w:rsidTr="00CB51D5">
        <w:trPr>
          <w:trHeight w:val="302"/>
        </w:trPr>
        <w:tc>
          <w:tcPr>
            <w:cnfStyle w:val="001000000000" w:firstRow="0" w:lastRow="0" w:firstColumn="1" w:lastColumn="0" w:oddVBand="0" w:evenVBand="0" w:oddHBand="0" w:evenHBand="0" w:firstRowFirstColumn="0" w:firstRowLastColumn="0" w:lastRowFirstColumn="0" w:lastRowLastColumn="0"/>
            <w:tcW w:w="3745"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Net Income before Tax</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90,000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270,000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450,000</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745" w:type="dxa"/>
            <w:shd w:val="clear" w:color="auto" w:fill="1F497D" w:themeFill="text2"/>
          </w:tcPr>
          <w:p w:rsidR="00A25D88" w:rsidRPr="00A25D88" w:rsidRDefault="00A25D88" w:rsidP="00CB51D5">
            <w:pPr>
              <w:rPr>
                <w:rFonts w:ascii="Times New Roman" w:hAnsi="Times New Roman" w:cs="Times New Roman"/>
              </w:rPr>
            </w:pPr>
            <w:r w:rsidRPr="00A25D88">
              <w:rPr>
                <w:rFonts w:ascii="Times New Roman" w:hAnsi="Times New Roman" w:cs="Times New Roman"/>
              </w:rPr>
              <w:t>Tax Calculation</w:t>
            </w:r>
          </w:p>
        </w:tc>
        <w:tc>
          <w:tcPr>
            <w:tcW w:w="2562" w:type="dxa"/>
            <w:shd w:val="clear" w:color="auto" w:fill="1F497D" w:themeFill="text2"/>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562" w:type="dxa"/>
            <w:shd w:val="clear" w:color="auto" w:fill="1F497D" w:themeFill="text2"/>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562" w:type="dxa"/>
            <w:shd w:val="clear" w:color="auto" w:fill="1F497D" w:themeFill="text2"/>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A25D88" w:rsidRPr="00A25D88" w:rsidTr="00CB51D5">
        <w:trPr>
          <w:trHeight w:val="302"/>
        </w:trPr>
        <w:tc>
          <w:tcPr>
            <w:cnfStyle w:val="001000000000" w:firstRow="0" w:lastRow="0" w:firstColumn="1" w:lastColumn="0" w:oddVBand="0" w:evenVBand="0" w:oddHBand="0" w:evenHBand="0" w:firstRowFirstColumn="0" w:firstRowLastColumn="0" w:lastRowFirstColumn="0" w:lastRowLastColumn="0"/>
            <w:tcW w:w="3745"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Bracket 1 (0-150,000)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745"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lastRenderedPageBreak/>
              <w:t>Bracket 2 (150,001-300,000)</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highlight w:val="yellow"/>
              </w:rPr>
              <w:t>6,000</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highlight w:val="yellow"/>
              </w:rPr>
            </w:pPr>
            <w:r w:rsidRPr="00A25D88">
              <w:rPr>
                <w:rFonts w:ascii="Times New Roman" w:hAnsi="Times New Roman" w:cs="Times New Roman"/>
                <w:highlight w:val="yellow"/>
              </w:rPr>
              <w:t>7,500</w:t>
            </w:r>
          </w:p>
        </w:tc>
      </w:tr>
      <w:tr w:rsidR="00A25D88" w:rsidRPr="00A25D88" w:rsidTr="00CB51D5">
        <w:trPr>
          <w:trHeight w:val="302"/>
        </w:trPr>
        <w:tc>
          <w:tcPr>
            <w:cnfStyle w:val="001000000000" w:firstRow="0" w:lastRow="0" w:firstColumn="1" w:lastColumn="0" w:oddVBand="0" w:evenVBand="0" w:oddHBand="0" w:evenHBand="0" w:firstRowFirstColumn="0" w:firstRowLastColumn="0" w:lastRowFirstColumn="0" w:lastRowLastColumn="0"/>
            <w:tcW w:w="3745"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Bracket 3 (300,001-500,000)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highlight w:val="yellow"/>
              </w:rPr>
            </w:pPr>
            <w:r w:rsidRPr="00A25D88">
              <w:rPr>
                <w:rFonts w:ascii="Times New Roman" w:hAnsi="Times New Roman" w:cs="Times New Roman"/>
                <w:highlight w:val="yellow"/>
              </w:rPr>
              <w:t>15,000</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745"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Bracket 4 (500,001-750,000)</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r>
      <w:tr w:rsidR="00A25D88" w:rsidRPr="00A25D88" w:rsidTr="00CB51D5">
        <w:trPr>
          <w:trHeight w:val="302"/>
        </w:trPr>
        <w:tc>
          <w:tcPr>
            <w:cnfStyle w:val="001000000000" w:firstRow="0" w:lastRow="0" w:firstColumn="1" w:lastColumn="0" w:oddVBand="0" w:evenVBand="0" w:oddHBand="0" w:evenHBand="0" w:firstRowFirstColumn="0" w:firstRowLastColumn="0" w:lastRowFirstColumn="0" w:lastRowLastColumn="0"/>
            <w:tcW w:w="3745"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Bracket 5 (750,001-1,000,000)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745"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Bracket 6 (1,000,001-2,000,000)</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r>
      <w:tr w:rsidR="00A25D88" w:rsidRPr="00A25D88" w:rsidTr="00CB51D5">
        <w:trPr>
          <w:trHeight w:val="302"/>
        </w:trPr>
        <w:tc>
          <w:tcPr>
            <w:cnfStyle w:val="001000000000" w:firstRow="0" w:lastRow="0" w:firstColumn="1" w:lastColumn="0" w:oddVBand="0" w:evenVBand="0" w:oddHBand="0" w:evenHBand="0" w:firstRowFirstColumn="0" w:firstRowLastColumn="0" w:lastRowFirstColumn="0" w:lastRowLastColumn="0"/>
            <w:tcW w:w="3745"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Bracket 7 (2,000,001-4,000,000)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62"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745"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Total Tax per year</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highlight w:val="yellow"/>
              </w:rPr>
              <w:t>0</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highlight w:val="yellow"/>
              </w:rPr>
            </w:pPr>
            <w:r w:rsidRPr="00A25D88">
              <w:rPr>
                <w:rFonts w:ascii="Times New Roman" w:hAnsi="Times New Roman" w:cs="Times New Roman"/>
                <w:highlight w:val="yellow"/>
              </w:rPr>
              <w:t>6,000</w:t>
            </w:r>
          </w:p>
        </w:tc>
        <w:tc>
          <w:tcPr>
            <w:tcW w:w="2562"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highlight w:val="yellow"/>
              </w:rPr>
            </w:pPr>
            <w:r w:rsidRPr="00A25D88">
              <w:rPr>
                <w:rFonts w:ascii="Times New Roman" w:hAnsi="Times New Roman" w:cs="Times New Roman"/>
                <w:highlight w:val="yellow"/>
              </w:rPr>
              <w:t>22,500</w:t>
            </w:r>
          </w:p>
        </w:tc>
      </w:tr>
    </w:tbl>
    <w:tbl>
      <w:tblPr>
        <w:tblStyle w:val="MediumShading2-Accent1"/>
        <w:tblpPr w:leftFromText="180" w:rightFromText="180" w:vertAnchor="text" w:horzAnchor="margin" w:tblpXSpec="center" w:tblpY="333"/>
        <w:tblW w:w="11321" w:type="dxa"/>
        <w:tblLook w:val="04A0" w:firstRow="1" w:lastRow="0" w:firstColumn="1" w:lastColumn="0" w:noHBand="0" w:noVBand="1"/>
      </w:tblPr>
      <w:tblGrid>
        <w:gridCol w:w="3710"/>
        <w:gridCol w:w="2537"/>
        <w:gridCol w:w="2537"/>
        <w:gridCol w:w="2537"/>
      </w:tblGrid>
      <w:tr w:rsidR="00A25D88" w:rsidRPr="00A25D88" w:rsidTr="00CB51D5">
        <w:trPr>
          <w:cnfStyle w:val="100000000000" w:firstRow="1" w:lastRow="0" w:firstColumn="0" w:lastColumn="0" w:oddVBand="0" w:evenVBand="0" w:oddHBand="0" w:evenHBand="0" w:firstRowFirstColumn="0" w:firstRowLastColumn="0" w:lastRowFirstColumn="0" w:lastRowLastColumn="0"/>
          <w:trHeight w:val="687"/>
        </w:trPr>
        <w:tc>
          <w:tcPr>
            <w:cnfStyle w:val="001000000100" w:firstRow="0" w:lastRow="0" w:firstColumn="1" w:lastColumn="0" w:oddVBand="0" w:evenVBand="0" w:oddHBand="0" w:evenHBand="0" w:firstRowFirstColumn="1" w:firstRowLastColumn="0" w:lastRowFirstColumn="0" w:lastRowLastColumn="0"/>
            <w:tcW w:w="3710" w:type="dxa"/>
          </w:tcPr>
          <w:p w:rsidR="00A25D88" w:rsidRPr="00A25D88" w:rsidRDefault="00A25D88" w:rsidP="00CB51D5">
            <w:pPr>
              <w:jc w:val="center"/>
              <w:rPr>
                <w:rFonts w:ascii="Times New Roman" w:hAnsi="Times New Roman" w:cs="Times New Roman"/>
                <w:b w:val="0"/>
                <w:bCs w:val="0"/>
              </w:rPr>
            </w:pPr>
            <w:r w:rsidRPr="00A25D88">
              <w:rPr>
                <w:rFonts w:ascii="Times New Roman" w:hAnsi="Times New Roman" w:cs="Times New Roman"/>
                <w:b w:val="0"/>
                <w:bCs w:val="0"/>
              </w:rPr>
              <w:t>Income Tax with Life Insurance</w:t>
            </w:r>
          </w:p>
        </w:tc>
        <w:tc>
          <w:tcPr>
            <w:tcW w:w="2537" w:type="dxa"/>
          </w:tcPr>
          <w:p w:rsidR="00A25D88" w:rsidRPr="00A25D88" w:rsidRDefault="00A25D88" w:rsidP="00CB51D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Income: 15,000 Bath/month</w:t>
            </w:r>
          </w:p>
        </w:tc>
        <w:tc>
          <w:tcPr>
            <w:tcW w:w="2537" w:type="dxa"/>
          </w:tcPr>
          <w:p w:rsidR="00A25D88" w:rsidRPr="00A25D88" w:rsidRDefault="00A25D88" w:rsidP="00CB51D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Income: 30,000 Bath/month</w:t>
            </w:r>
          </w:p>
        </w:tc>
        <w:tc>
          <w:tcPr>
            <w:tcW w:w="2537" w:type="dxa"/>
          </w:tcPr>
          <w:p w:rsidR="00A25D88" w:rsidRPr="00A25D88" w:rsidRDefault="00A25D88" w:rsidP="00CB51D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Income: 45,000 Bath/month</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3710"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Assessable Income</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180,000</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360,000</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540,000</w:t>
            </w:r>
          </w:p>
        </w:tc>
      </w:tr>
      <w:tr w:rsidR="00A25D88" w:rsidRPr="00A25D88" w:rsidTr="00CB51D5">
        <w:trPr>
          <w:trHeight w:val="354"/>
        </w:trPr>
        <w:tc>
          <w:tcPr>
            <w:cnfStyle w:val="001000000000" w:firstRow="0" w:lastRow="0" w:firstColumn="1" w:lastColumn="0" w:oddVBand="0" w:evenVBand="0" w:oddHBand="0" w:evenHBand="0" w:firstRowFirstColumn="0" w:firstRowLastColumn="0" w:lastRowFirstColumn="0" w:lastRowLastColumn="0"/>
            <w:tcW w:w="3710"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 xml:space="preserve">   Less: Personal Expense</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60,000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60,000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60,000</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3710"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 xml:space="preserve">   Less: Allowance(s)</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A25D88" w:rsidRPr="00A25D88" w:rsidTr="00CB51D5">
        <w:trPr>
          <w:trHeight w:val="354"/>
        </w:trPr>
        <w:tc>
          <w:tcPr>
            <w:cnfStyle w:val="001000000000" w:firstRow="0" w:lastRow="0" w:firstColumn="1" w:lastColumn="0" w:oddVBand="0" w:evenVBand="0" w:oddHBand="0" w:evenHBand="0" w:firstRowFirstColumn="0" w:firstRowLastColumn="0" w:lastRowFirstColumn="0" w:lastRowLastColumn="0"/>
            <w:tcW w:w="3710" w:type="dxa"/>
          </w:tcPr>
          <w:p w:rsidR="00A25D88" w:rsidRPr="00A25D88" w:rsidRDefault="00A25D88" w:rsidP="00A25D88">
            <w:pPr>
              <w:pStyle w:val="ListParagraph"/>
              <w:numPr>
                <w:ilvl w:val="0"/>
                <w:numId w:val="2"/>
              </w:numPr>
              <w:rPr>
                <w:rFonts w:ascii="Times New Roman" w:hAnsi="Times New Roman" w:cs="Times New Roman"/>
              </w:rPr>
            </w:pPr>
            <w:r w:rsidRPr="00A25D88">
              <w:rPr>
                <w:rFonts w:ascii="Times New Roman" w:hAnsi="Times New Roman" w:cs="Times New Roman"/>
              </w:rPr>
              <w:t>Personal</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30,000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30,000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30,000</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3710" w:type="dxa"/>
          </w:tcPr>
          <w:p w:rsidR="00A25D88" w:rsidRPr="00A25D88" w:rsidRDefault="00A25D88" w:rsidP="00A25D88">
            <w:pPr>
              <w:pStyle w:val="ListParagraph"/>
              <w:numPr>
                <w:ilvl w:val="0"/>
                <w:numId w:val="2"/>
              </w:numPr>
              <w:rPr>
                <w:rFonts w:ascii="Times New Roman" w:hAnsi="Times New Roman" w:cs="Times New Roman"/>
              </w:rPr>
            </w:pPr>
            <w:r w:rsidRPr="00A25D88">
              <w:rPr>
                <w:rFonts w:ascii="Times New Roman" w:hAnsi="Times New Roman" w:cs="Times New Roman"/>
              </w:rPr>
              <w:t>Life Insurance</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41,750</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41,750</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41,750</w:t>
            </w:r>
          </w:p>
        </w:tc>
      </w:tr>
      <w:tr w:rsidR="00A25D88" w:rsidRPr="00A25D88" w:rsidTr="00CB51D5">
        <w:trPr>
          <w:trHeight w:val="354"/>
        </w:trPr>
        <w:tc>
          <w:tcPr>
            <w:cnfStyle w:val="001000000000" w:firstRow="0" w:lastRow="0" w:firstColumn="1" w:lastColumn="0" w:oddVBand="0" w:evenVBand="0" w:oddHBand="0" w:evenHBand="0" w:firstRowFirstColumn="0" w:firstRowLastColumn="0" w:lastRowFirstColumn="0" w:lastRowLastColumn="0"/>
            <w:tcW w:w="3710"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Net Income before Tax</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48,250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228,250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408,250</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3710" w:type="dxa"/>
            <w:shd w:val="clear" w:color="auto" w:fill="C0504D" w:themeFill="accent2"/>
          </w:tcPr>
          <w:p w:rsidR="00A25D88" w:rsidRPr="00A25D88" w:rsidRDefault="00A25D88" w:rsidP="00CB51D5">
            <w:pPr>
              <w:rPr>
                <w:rFonts w:ascii="Times New Roman" w:hAnsi="Times New Roman" w:cs="Times New Roman"/>
              </w:rPr>
            </w:pPr>
            <w:r w:rsidRPr="00A25D88">
              <w:rPr>
                <w:rFonts w:ascii="Times New Roman" w:hAnsi="Times New Roman" w:cs="Times New Roman"/>
              </w:rPr>
              <w:t>Tax Calculation</w:t>
            </w:r>
          </w:p>
        </w:tc>
        <w:tc>
          <w:tcPr>
            <w:tcW w:w="2537" w:type="dxa"/>
            <w:shd w:val="clear" w:color="auto" w:fill="C0504D" w:themeFill="accent2"/>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537" w:type="dxa"/>
            <w:shd w:val="clear" w:color="auto" w:fill="C0504D" w:themeFill="accent2"/>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537" w:type="dxa"/>
            <w:shd w:val="clear" w:color="auto" w:fill="C0504D" w:themeFill="accent2"/>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A25D88" w:rsidRPr="00A25D88" w:rsidTr="00CB51D5">
        <w:trPr>
          <w:trHeight w:val="354"/>
        </w:trPr>
        <w:tc>
          <w:tcPr>
            <w:cnfStyle w:val="001000000000" w:firstRow="0" w:lastRow="0" w:firstColumn="1" w:lastColumn="0" w:oddVBand="0" w:evenVBand="0" w:oddHBand="0" w:evenHBand="0" w:firstRowFirstColumn="0" w:firstRowLastColumn="0" w:lastRowFirstColumn="0" w:lastRowLastColumn="0"/>
            <w:tcW w:w="3710"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Bracket 1 (0-150,000)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3710"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Bracket 2 (150,001-300,000)</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highlight w:val="yellow"/>
              </w:rPr>
              <w:t>3,912.5</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highlight w:val="yellow"/>
              </w:rPr>
            </w:pPr>
            <w:r w:rsidRPr="00A25D88">
              <w:rPr>
                <w:rFonts w:ascii="Times New Roman" w:hAnsi="Times New Roman" w:cs="Times New Roman"/>
                <w:highlight w:val="yellow"/>
              </w:rPr>
              <w:t>7,500</w:t>
            </w:r>
          </w:p>
        </w:tc>
      </w:tr>
      <w:tr w:rsidR="00A25D88" w:rsidRPr="00A25D88" w:rsidTr="00CB51D5">
        <w:trPr>
          <w:trHeight w:val="354"/>
        </w:trPr>
        <w:tc>
          <w:tcPr>
            <w:cnfStyle w:val="001000000000" w:firstRow="0" w:lastRow="0" w:firstColumn="1" w:lastColumn="0" w:oddVBand="0" w:evenVBand="0" w:oddHBand="0" w:evenHBand="0" w:firstRowFirstColumn="0" w:firstRowLastColumn="0" w:lastRowFirstColumn="0" w:lastRowLastColumn="0"/>
            <w:tcW w:w="3710"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Bracket 3 (300,001-500,000)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highlight w:val="yellow"/>
              </w:rPr>
            </w:pPr>
            <w:r w:rsidRPr="00A25D88">
              <w:rPr>
                <w:rFonts w:ascii="Times New Roman" w:hAnsi="Times New Roman" w:cs="Times New Roman"/>
                <w:highlight w:val="yellow"/>
              </w:rPr>
              <w:t>10,825</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3710"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Bracket 4 (500,001-750,000)</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r>
      <w:tr w:rsidR="00A25D88" w:rsidRPr="00A25D88" w:rsidTr="00CB51D5">
        <w:trPr>
          <w:trHeight w:val="354"/>
        </w:trPr>
        <w:tc>
          <w:tcPr>
            <w:cnfStyle w:val="001000000000" w:firstRow="0" w:lastRow="0" w:firstColumn="1" w:lastColumn="0" w:oddVBand="0" w:evenVBand="0" w:oddHBand="0" w:evenHBand="0" w:firstRowFirstColumn="0" w:firstRowLastColumn="0" w:lastRowFirstColumn="0" w:lastRowLastColumn="0"/>
            <w:tcW w:w="3710"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Bracket 5 (750,001-1,000,000)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3710"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Bracket 6 (1,000,001-2,000,000)</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r>
      <w:tr w:rsidR="00A25D88" w:rsidRPr="00A25D88" w:rsidTr="00CB51D5">
        <w:trPr>
          <w:trHeight w:val="354"/>
        </w:trPr>
        <w:tc>
          <w:tcPr>
            <w:cnfStyle w:val="001000000000" w:firstRow="0" w:lastRow="0" w:firstColumn="1" w:lastColumn="0" w:oddVBand="0" w:evenVBand="0" w:oddHBand="0" w:evenHBand="0" w:firstRowFirstColumn="0" w:firstRowLastColumn="0" w:lastRowFirstColumn="0" w:lastRowLastColumn="0"/>
            <w:tcW w:w="3710"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Bracket 7 (2,000,001-4,000,000)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37" w:type="dxa"/>
          </w:tcPr>
          <w:p w:rsidR="00A25D88" w:rsidRPr="00A25D88" w:rsidRDefault="00A25D88" w:rsidP="00CB51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r>
      <w:tr w:rsidR="00A25D88" w:rsidRPr="00A25D88" w:rsidTr="00CB51D5">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3710"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Total Tax per year</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0</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highlight w:val="yellow"/>
              </w:rPr>
            </w:pPr>
            <w:r w:rsidRPr="00A25D88">
              <w:rPr>
                <w:rFonts w:ascii="Times New Roman" w:hAnsi="Times New Roman" w:cs="Times New Roman"/>
                <w:highlight w:val="yellow"/>
              </w:rPr>
              <w:t>3,912.5</w:t>
            </w:r>
          </w:p>
        </w:tc>
        <w:tc>
          <w:tcPr>
            <w:tcW w:w="2537" w:type="dxa"/>
          </w:tcPr>
          <w:p w:rsidR="00A25D88" w:rsidRPr="00A25D88" w:rsidRDefault="00A25D88" w:rsidP="00CB51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highlight w:val="yellow"/>
              </w:rPr>
            </w:pPr>
            <w:r w:rsidRPr="00A25D88">
              <w:rPr>
                <w:rFonts w:ascii="Times New Roman" w:hAnsi="Times New Roman" w:cs="Times New Roman"/>
                <w:highlight w:val="yellow"/>
              </w:rPr>
              <w:t>18,325</w:t>
            </w:r>
          </w:p>
        </w:tc>
      </w:tr>
    </w:tbl>
    <w:p w:rsidR="00A25D88" w:rsidRPr="00A25D88" w:rsidRDefault="00A25D88" w:rsidP="00A25D88">
      <w:pPr>
        <w:rPr>
          <w:rFonts w:ascii="Times New Roman" w:hAnsi="Times New Roman" w:cs="Times New Roman"/>
        </w:rPr>
      </w:pPr>
    </w:p>
    <w:tbl>
      <w:tblPr>
        <w:tblStyle w:val="MediumShading2-Accent1"/>
        <w:tblpPr w:leftFromText="180" w:rightFromText="180" w:vertAnchor="text" w:horzAnchor="margin" w:tblpXSpec="center" w:tblpY="272"/>
        <w:tblW w:w="11456" w:type="dxa"/>
        <w:tblLook w:val="04A0" w:firstRow="1" w:lastRow="0" w:firstColumn="1" w:lastColumn="0" w:noHBand="0" w:noVBand="1"/>
      </w:tblPr>
      <w:tblGrid>
        <w:gridCol w:w="2864"/>
        <w:gridCol w:w="2864"/>
        <w:gridCol w:w="2864"/>
        <w:gridCol w:w="2864"/>
      </w:tblGrid>
      <w:tr w:rsidR="00A25D88" w:rsidRPr="00A25D88" w:rsidTr="00CB51D5">
        <w:trPr>
          <w:cnfStyle w:val="100000000000" w:firstRow="1" w:lastRow="0" w:firstColumn="0" w:lastColumn="0" w:oddVBand="0" w:evenVBand="0" w:oddHBand="0" w:evenHBand="0" w:firstRowFirstColumn="0" w:firstRowLastColumn="0" w:lastRowFirstColumn="0" w:lastRowLastColumn="0"/>
          <w:trHeight w:val="292"/>
        </w:trPr>
        <w:tc>
          <w:tcPr>
            <w:cnfStyle w:val="001000000100" w:firstRow="0" w:lastRow="0" w:firstColumn="1" w:lastColumn="0" w:oddVBand="0" w:evenVBand="0" w:oddHBand="0" w:evenHBand="0" w:firstRowFirstColumn="1" w:firstRowLastColumn="0" w:lastRowFirstColumn="0" w:lastRowLastColumn="0"/>
            <w:tcW w:w="2864" w:type="dxa"/>
          </w:tcPr>
          <w:p w:rsidR="00A25D88" w:rsidRPr="00A25D88" w:rsidRDefault="00A25D88" w:rsidP="00CB51D5">
            <w:pPr>
              <w:rPr>
                <w:rFonts w:ascii="Times New Roman" w:hAnsi="Times New Roman" w:cs="Times New Roman"/>
              </w:rPr>
            </w:pPr>
            <w:r w:rsidRPr="00A25D88">
              <w:rPr>
                <w:rFonts w:ascii="Times New Roman" w:hAnsi="Times New Roman" w:cs="Times New Roman"/>
              </w:rPr>
              <w:t>Tax Benefit</w:t>
            </w:r>
          </w:p>
        </w:tc>
        <w:tc>
          <w:tcPr>
            <w:tcW w:w="2864" w:type="dxa"/>
          </w:tcPr>
          <w:p w:rsidR="00A25D88" w:rsidRPr="00A25D88" w:rsidRDefault="00A25D88" w:rsidP="00CB51D5">
            <w:pPr>
              <w:ind w:left="736" w:right="-788" w:firstLine="9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25D88">
              <w:rPr>
                <w:rFonts w:ascii="Times New Roman" w:hAnsi="Times New Roman" w:cs="Times New Roman"/>
              </w:rPr>
              <w:t xml:space="preserve"> 0</w:t>
            </w:r>
          </w:p>
        </w:tc>
        <w:tc>
          <w:tcPr>
            <w:tcW w:w="2864" w:type="dxa"/>
          </w:tcPr>
          <w:p w:rsidR="00A25D88" w:rsidRPr="00A25D88" w:rsidRDefault="00A25D88" w:rsidP="00CB51D5">
            <w:pPr>
              <w:ind w:firstLine="572"/>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highlight w:val="red"/>
              </w:rPr>
            </w:pPr>
            <w:r w:rsidRPr="00A25D88">
              <w:rPr>
                <w:rFonts w:ascii="Times New Roman" w:hAnsi="Times New Roman" w:cs="Times New Roman"/>
                <w:highlight w:val="red"/>
              </w:rPr>
              <w:t>2,087.5</w:t>
            </w:r>
          </w:p>
        </w:tc>
        <w:tc>
          <w:tcPr>
            <w:tcW w:w="2864" w:type="dxa"/>
          </w:tcPr>
          <w:p w:rsidR="00A25D88" w:rsidRPr="00A25D88" w:rsidRDefault="00A25D88" w:rsidP="00CB51D5">
            <w:pPr>
              <w:ind w:firstLine="318"/>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highlight w:val="red"/>
              </w:rPr>
            </w:pPr>
            <w:r w:rsidRPr="00A25D88">
              <w:rPr>
                <w:rFonts w:ascii="Times New Roman" w:hAnsi="Times New Roman" w:cs="Times New Roman"/>
                <w:highlight w:val="red"/>
              </w:rPr>
              <w:t>4,175</w:t>
            </w:r>
          </w:p>
        </w:tc>
      </w:tr>
    </w:tbl>
    <w:p w:rsidR="00A25D88" w:rsidRDefault="00A25D88" w:rsidP="006D3C35">
      <w:pPr>
        <w:rPr>
          <w:rFonts w:ascii="Times New Roman" w:hAnsi="Times New Roman" w:cs="Times New Roman"/>
        </w:rPr>
      </w:pPr>
    </w:p>
    <w:p w:rsidR="00287062" w:rsidRDefault="00591F48" w:rsidP="00287062">
      <w:pPr>
        <w:spacing w:line="480" w:lineRule="auto"/>
        <w:ind w:firstLine="720"/>
        <w:rPr>
          <w:rFonts w:ascii="Times New Roman" w:hAnsi="Times New Roman" w:cs="Times New Roman"/>
        </w:rPr>
      </w:pPr>
      <w:r>
        <w:rPr>
          <w:rFonts w:ascii="Times New Roman" w:hAnsi="Times New Roman" w:cs="Times New Roman"/>
        </w:rPr>
        <w:t>Furthermore, we can calculate the IRR from this program which depends on the age of insurer and the sum insured.</w:t>
      </w:r>
      <w:r w:rsidR="00287062">
        <w:rPr>
          <w:rFonts w:ascii="Times New Roman" w:hAnsi="Times New Roman" w:cs="Times New Roman"/>
        </w:rPr>
        <w:t xml:space="preserve"> </w:t>
      </w:r>
      <w:r>
        <w:rPr>
          <w:rFonts w:ascii="Times New Roman" w:hAnsi="Times New Roman" w:cs="Times New Roman"/>
        </w:rPr>
        <w:t>For example, suppose the insurer is 30 years who earns THB 45,000 a month. The total sum insured is THB 500,000. By using financial calculator, the comp</w:t>
      </w:r>
      <w:r w:rsidR="00ED485B">
        <w:rPr>
          <w:rFonts w:ascii="Times New Roman" w:hAnsi="Times New Roman" w:cs="Times New Roman"/>
        </w:rPr>
        <w:t>uted IRR is 2.37972%.</w:t>
      </w:r>
    </w:p>
    <w:p w:rsidR="00ED485B" w:rsidRDefault="00ED485B" w:rsidP="00287062">
      <w:pPr>
        <w:spacing w:line="480" w:lineRule="auto"/>
        <w:ind w:firstLine="720"/>
        <w:rPr>
          <w:rFonts w:ascii="Times New Roman" w:hAnsi="Times New Roman" w:cs="Times New Roman"/>
        </w:rPr>
      </w:pPr>
      <w:r>
        <w:rPr>
          <w:rFonts w:ascii="Times New Roman" w:hAnsi="Times New Roman" w:cs="Times New Roman"/>
        </w:rPr>
        <w:t xml:space="preserve"> Lastly, the insurer can also reinvest the annual payout</w:t>
      </w:r>
      <w:r w:rsidR="00287062">
        <w:rPr>
          <w:rFonts w:ascii="Times New Roman" w:hAnsi="Times New Roman" w:cs="Times New Roman"/>
        </w:rPr>
        <w:t xml:space="preserve"> which AIA offers 2.75% interest rate. With this option, the insurer will enjoy a higher return rate from the program.</w:t>
      </w:r>
    </w:p>
    <w:p w:rsidR="00287062" w:rsidRDefault="00287062" w:rsidP="00287062">
      <w:pPr>
        <w:spacing w:line="480" w:lineRule="auto"/>
        <w:ind w:firstLine="720"/>
        <w:rPr>
          <w:rFonts w:ascii="Times New Roman" w:hAnsi="Times New Roman" w:cs="Times New Roman"/>
        </w:rPr>
      </w:pPr>
      <w:r>
        <w:rPr>
          <w:rFonts w:ascii="Times New Roman" w:hAnsi="Times New Roman" w:cs="Times New Roman"/>
        </w:rPr>
        <w:lastRenderedPageBreak/>
        <w:t>In my opinion, the IRR</w:t>
      </w:r>
      <w:r>
        <w:rPr>
          <w:rFonts w:ascii="Times New Roman" w:hAnsi="Times New Roman" w:cs="Times New Roman"/>
        </w:rPr>
        <w:t xml:space="preserve"> alone is not very attractive for long-term investment. But, considering the benefits of death compensation, tax reduction, and dividend payouts, this life insurance is a decent alternative of fixed savings which offer similar return rates.</w:t>
      </w:r>
      <w:r>
        <w:rPr>
          <w:rFonts w:ascii="Times New Roman" w:hAnsi="Times New Roman" w:cs="Times New Roman"/>
        </w:rPr>
        <w:t xml:space="preserve"> </w:t>
      </w:r>
    </w:p>
    <w:p w:rsidR="003E52A6" w:rsidRDefault="003E52A6" w:rsidP="00287062">
      <w:pPr>
        <w:spacing w:line="480" w:lineRule="auto"/>
        <w:ind w:firstLine="720"/>
        <w:rPr>
          <w:rFonts w:ascii="Times New Roman" w:hAnsi="Times New Roman" w:cs="Times New Roman"/>
        </w:rPr>
      </w:pPr>
    </w:p>
    <w:p w:rsidR="00E85E1C" w:rsidRDefault="00E85E1C" w:rsidP="00E85E1C">
      <w:pPr>
        <w:pStyle w:val="ListParagraph"/>
        <w:numPr>
          <w:ilvl w:val="0"/>
          <w:numId w:val="1"/>
        </w:numPr>
        <w:spacing w:line="480" w:lineRule="auto"/>
        <w:rPr>
          <w:rFonts w:ascii="Times New Roman" w:hAnsi="Times New Roman" w:cs="Times New Roman"/>
        </w:rPr>
      </w:pPr>
      <w:r>
        <w:rPr>
          <w:rFonts w:ascii="Times New Roman" w:hAnsi="Times New Roman" w:cs="Times New Roman"/>
        </w:rPr>
        <w:t>Which mortgage would result in higher total payments?</w:t>
      </w:r>
    </w:p>
    <w:p w:rsidR="00E85E1C" w:rsidRDefault="00E85E1C" w:rsidP="00E85E1C">
      <w:pPr>
        <w:pStyle w:val="ListParagraph"/>
        <w:spacing w:line="480" w:lineRule="auto"/>
        <w:rPr>
          <w:rFonts w:ascii="Times New Roman" w:hAnsi="Times New Roman" w:cs="Times New Roman"/>
        </w:rPr>
      </w:pPr>
      <w:r>
        <w:rPr>
          <w:rFonts w:ascii="Times New Roman" w:hAnsi="Times New Roman" w:cs="Times New Roman"/>
        </w:rPr>
        <w:t>Mortgage A: $970 a month for 30 years</w:t>
      </w:r>
    </w:p>
    <w:p w:rsidR="00E85E1C" w:rsidRDefault="00E85E1C" w:rsidP="00E85E1C">
      <w:pPr>
        <w:pStyle w:val="ListParagraph"/>
        <w:spacing w:line="480" w:lineRule="auto"/>
        <w:rPr>
          <w:rFonts w:ascii="Times New Roman" w:hAnsi="Times New Roman" w:cs="Times New Roman"/>
        </w:rPr>
      </w:pPr>
      <w:r>
        <w:rPr>
          <w:rFonts w:ascii="Times New Roman" w:hAnsi="Times New Roman" w:cs="Times New Roman"/>
        </w:rPr>
        <w:t>Mortgage B: $760 a month for 5 years and $ 1005 for 25 years</w:t>
      </w:r>
    </w:p>
    <w:p w:rsidR="00E85E1C" w:rsidRDefault="00E85E1C" w:rsidP="003E52A6">
      <w:pPr>
        <w:spacing w:line="480" w:lineRule="auto"/>
        <w:rPr>
          <w:rFonts w:ascii="Times New Roman" w:hAnsi="Times New Roman" w:cs="Times New Roman"/>
        </w:rPr>
      </w:pPr>
      <w:r>
        <w:rPr>
          <w:rFonts w:ascii="Times New Roman" w:hAnsi="Times New Roman" w:cs="Times New Roman"/>
        </w:rPr>
        <w:t>Answer: In order to compare the two payment alternatives, we have to compute the present value of these two payments</w:t>
      </w:r>
      <w:r w:rsidR="001B34E7">
        <w:rPr>
          <w:rFonts w:ascii="Times New Roman" w:hAnsi="Times New Roman" w:cs="Times New Roman"/>
        </w:rPr>
        <w:t xml:space="preserve"> using the same discount rate. Suppose the discount rate is 12% per year.</w:t>
      </w:r>
    </w:p>
    <w:p w:rsidR="001B34E7" w:rsidRDefault="001B34E7" w:rsidP="00E85E1C">
      <w:pPr>
        <w:spacing w:line="480" w:lineRule="auto"/>
        <w:rPr>
          <w:rFonts w:ascii="Times New Roman" w:hAnsi="Times New Roman" w:cs="Times New Roman"/>
        </w:rPr>
      </w:pPr>
      <w:r>
        <w:rPr>
          <w:rFonts w:ascii="Times New Roman" w:hAnsi="Times New Roman" w:cs="Times New Roman"/>
        </w:rPr>
        <w:t xml:space="preserve">PV of mortgage A:   PMT: -970    N: 360   I/Y: 1 CPT PV: </w:t>
      </w:r>
      <w:r w:rsidRPr="008D11C3">
        <w:rPr>
          <w:rFonts w:ascii="Times New Roman" w:hAnsi="Times New Roman" w:cs="Times New Roman"/>
          <w:highlight w:val="yellow"/>
        </w:rPr>
        <w:t>94,301.78</w:t>
      </w:r>
    </w:p>
    <w:p w:rsidR="001B34E7" w:rsidRDefault="001B34E7" w:rsidP="00E85E1C">
      <w:pPr>
        <w:spacing w:line="480" w:lineRule="auto"/>
        <w:rPr>
          <w:rFonts w:ascii="Times New Roman" w:hAnsi="Times New Roman" w:cs="Times New Roman"/>
        </w:rPr>
      </w:pPr>
      <w:r>
        <w:rPr>
          <w:rFonts w:ascii="Times New Roman" w:hAnsi="Times New Roman" w:cs="Times New Roman"/>
        </w:rPr>
        <w:t>PV of mortgage B:   CF0: 0 CF1: 760 F1: 60 CF2: 1</w:t>
      </w:r>
      <w:r w:rsidR="003E52A6">
        <w:rPr>
          <w:rFonts w:ascii="Times New Roman" w:hAnsi="Times New Roman" w:cs="Times New Roman"/>
        </w:rPr>
        <w:t>,</w:t>
      </w:r>
      <w:r>
        <w:rPr>
          <w:rFonts w:ascii="Times New Roman" w:hAnsi="Times New Roman" w:cs="Times New Roman"/>
        </w:rPr>
        <w:t>005 F2: 300 I: 1</w:t>
      </w:r>
      <w:r w:rsidR="008D11C3">
        <w:rPr>
          <w:rFonts w:ascii="Times New Roman" w:hAnsi="Times New Roman" w:cs="Times New Roman"/>
        </w:rPr>
        <w:t xml:space="preserve"> CPT NPV: </w:t>
      </w:r>
      <w:r w:rsidR="008D11C3" w:rsidRPr="008D11C3">
        <w:rPr>
          <w:rFonts w:ascii="Times New Roman" w:hAnsi="Times New Roman" w:cs="Times New Roman"/>
          <w:highlight w:val="yellow"/>
        </w:rPr>
        <w:t>86,690.44</w:t>
      </w:r>
    </w:p>
    <w:p w:rsidR="003E52A6" w:rsidRDefault="008D11C3" w:rsidP="003E52A6">
      <w:pPr>
        <w:pStyle w:val="ListParagraph"/>
        <w:numPr>
          <w:ilvl w:val="0"/>
          <w:numId w:val="2"/>
        </w:numPr>
        <w:spacing w:line="480" w:lineRule="auto"/>
        <w:rPr>
          <w:rFonts w:ascii="Times New Roman" w:hAnsi="Times New Roman" w:cs="Times New Roman"/>
        </w:rPr>
      </w:pPr>
      <w:r>
        <w:rPr>
          <w:rFonts w:ascii="Times New Roman" w:hAnsi="Times New Roman" w:cs="Times New Roman"/>
        </w:rPr>
        <w:t xml:space="preserve">Mortgage </w:t>
      </w:r>
      <w:proofErr w:type="gramStart"/>
      <w:r>
        <w:rPr>
          <w:rFonts w:ascii="Times New Roman" w:hAnsi="Times New Roman" w:cs="Times New Roman"/>
        </w:rPr>
        <w:t>A</w:t>
      </w:r>
      <w:proofErr w:type="gramEnd"/>
      <w:r>
        <w:rPr>
          <w:rFonts w:ascii="Times New Roman" w:hAnsi="Times New Roman" w:cs="Times New Roman"/>
        </w:rPr>
        <w:t xml:space="preserve"> results in higher total payment.</w:t>
      </w:r>
    </w:p>
    <w:p w:rsidR="003E52A6" w:rsidRPr="003E52A6" w:rsidRDefault="003E52A6" w:rsidP="003E52A6">
      <w:pPr>
        <w:spacing w:line="480" w:lineRule="auto"/>
        <w:rPr>
          <w:rFonts w:ascii="Times New Roman" w:hAnsi="Times New Roman" w:cs="Times New Roman"/>
        </w:rPr>
      </w:pPr>
    </w:p>
    <w:p w:rsidR="008D11C3" w:rsidRDefault="003E52A6" w:rsidP="008D11C3">
      <w:pPr>
        <w:pStyle w:val="ListParagraph"/>
        <w:numPr>
          <w:ilvl w:val="0"/>
          <w:numId w:val="1"/>
        </w:numPr>
        <w:spacing w:line="480" w:lineRule="auto"/>
        <w:rPr>
          <w:rFonts w:ascii="Times New Roman" w:hAnsi="Times New Roman" w:cs="Times New Roman"/>
        </w:rPr>
      </w:pPr>
      <w:r>
        <w:rPr>
          <w:rFonts w:ascii="Times New Roman" w:hAnsi="Times New Roman" w:cs="Times New Roman"/>
        </w:rPr>
        <w:t>What are two main types of consumer credits?</w:t>
      </w:r>
    </w:p>
    <w:p w:rsidR="003E52A6" w:rsidRDefault="003E52A6" w:rsidP="003E52A6">
      <w:pPr>
        <w:spacing w:line="480" w:lineRule="auto"/>
        <w:rPr>
          <w:rFonts w:ascii="Times New Roman" w:hAnsi="Times New Roman" w:cs="Times New Roman"/>
        </w:rPr>
      </w:pPr>
      <w:r>
        <w:rPr>
          <w:rFonts w:ascii="Times New Roman" w:hAnsi="Times New Roman" w:cs="Times New Roman"/>
        </w:rPr>
        <w:t>Answer: They are closed-end and open-end credit.</w:t>
      </w:r>
    </w:p>
    <w:p w:rsidR="003E52A6" w:rsidRDefault="003E52A6" w:rsidP="003E52A6">
      <w:pPr>
        <w:spacing w:line="480" w:lineRule="auto"/>
        <w:rPr>
          <w:rFonts w:ascii="Times New Roman" w:hAnsi="Times New Roman" w:cs="Times New Roman"/>
        </w:rPr>
      </w:pPr>
      <w:r>
        <w:rPr>
          <w:rFonts w:ascii="Times New Roman" w:hAnsi="Times New Roman" w:cs="Times New Roman"/>
        </w:rPr>
        <w:tab/>
        <w:t>Closed-end credit is used for specific purpose, amount, and period of time. For example, a mortgage which is used when a consumer wants to loan to buy a house and it has certain amount of loan and a certain period of time to be repaid.</w:t>
      </w:r>
    </w:p>
    <w:p w:rsidR="003E52A6" w:rsidRDefault="003E52A6" w:rsidP="003E52A6">
      <w:pPr>
        <w:spacing w:line="480" w:lineRule="auto"/>
        <w:rPr>
          <w:rFonts w:ascii="Times New Roman" w:hAnsi="Times New Roman" w:cs="Times New Roman"/>
        </w:rPr>
      </w:pPr>
      <w:r>
        <w:rPr>
          <w:rFonts w:ascii="Times New Roman" w:hAnsi="Times New Roman" w:cs="Times New Roman"/>
        </w:rPr>
        <w:tab/>
        <w:t xml:space="preserve">Open-end credit is given by the creditor </w:t>
      </w:r>
      <w:r w:rsidR="00EC7278">
        <w:rPr>
          <w:rFonts w:ascii="Times New Roman" w:hAnsi="Times New Roman" w:cs="Times New Roman"/>
        </w:rPr>
        <w:t xml:space="preserve">to the borrower that has the maximum limit the borrower can borrow from the creditor, but doesn’t specify the amount that the borrower will borrow. It has a specific due date at every period, for example, credit card. </w:t>
      </w:r>
    </w:p>
    <w:p w:rsidR="00EC7278" w:rsidRDefault="00EC7278" w:rsidP="00EC7278">
      <w:pPr>
        <w:pStyle w:val="ListParagraph"/>
        <w:numPr>
          <w:ilvl w:val="0"/>
          <w:numId w:val="1"/>
        </w:numPr>
        <w:spacing w:line="480" w:lineRule="auto"/>
        <w:rPr>
          <w:rFonts w:ascii="Times New Roman" w:hAnsi="Times New Roman" w:cs="Times New Roman"/>
        </w:rPr>
      </w:pPr>
      <w:r>
        <w:rPr>
          <w:rFonts w:ascii="Times New Roman" w:hAnsi="Times New Roman" w:cs="Times New Roman"/>
        </w:rPr>
        <w:lastRenderedPageBreak/>
        <w:t>What are general rules of measuring credit capacity?</w:t>
      </w:r>
    </w:p>
    <w:p w:rsidR="00210A7D" w:rsidRDefault="00EC7278" w:rsidP="00210A7D">
      <w:pPr>
        <w:spacing w:line="480" w:lineRule="auto"/>
        <w:rPr>
          <w:rFonts w:ascii="Times New Roman" w:hAnsi="Times New Roman" w:cs="Times New Roman"/>
        </w:rPr>
      </w:pPr>
      <w:r>
        <w:rPr>
          <w:rFonts w:ascii="Times New Roman" w:hAnsi="Times New Roman" w:cs="Times New Roman"/>
        </w:rPr>
        <w:t xml:space="preserve">Answer: First, </w:t>
      </w:r>
      <w:r w:rsidR="00210A7D">
        <w:rPr>
          <w:rFonts w:ascii="Times New Roman" w:hAnsi="Times New Roman" w:cs="Times New Roman"/>
        </w:rPr>
        <w:t>the creditor usually divides the monthly debt payment (excluding mortgage) by monthly income. The rate should be at around 15%, with maximum at 20%. Second rule is debt to equity. The debt to equity ratio will show the borrower’s current leverage level, which can be used to estimate the default risk of borrower. The debt to equity ratio should not be too high.</w:t>
      </w:r>
    </w:p>
    <w:p w:rsidR="00210A7D" w:rsidRPr="00210A7D" w:rsidRDefault="00210A7D" w:rsidP="00210A7D">
      <w:pPr>
        <w:pStyle w:val="ListParagraph"/>
        <w:numPr>
          <w:ilvl w:val="0"/>
          <w:numId w:val="1"/>
        </w:numPr>
        <w:spacing w:line="480" w:lineRule="auto"/>
        <w:rPr>
          <w:rFonts w:ascii="Times New Roman" w:hAnsi="Times New Roman" w:cs="Times New Roman"/>
          <w:sz w:val="24"/>
          <w:szCs w:val="32"/>
        </w:rPr>
      </w:pPr>
      <w:r w:rsidRPr="00210A7D">
        <w:rPr>
          <w:rFonts w:ascii="Times New Roman" w:hAnsi="Times New Roman" w:cs="Times New Roman"/>
          <w:color w:val="000000"/>
          <w:sz w:val="24"/>
          <w:szCs w:val="24"/>
          <w:lang w:val="en"/>
        </w:rPr>
        <w:t>A few years ago, Michael Tucker purchased a home for $100,000. Today, the home is worth $150,000. His remaining mortgage balance is $50,000. Assuming that Michael can borrow up to 80 percent of the market value, what is the maximum amount he can borrow?</w:t>
      </w:r>
    </w:p>
    <w:p w:rsidR="00210A7D" w:rsidRPr="00210A7D" w:rsidRDefault="00210A7D" w:rsidP="00210A7D">
      <w:pPr>
        <w:spacing w:line="480" w:lineRule="auto"/>
        <w:rPr>
          <w:rFonts w:ascii="Times New Roman" w:hAnsi="Times New Roman" w:cs="Times New Roman"/>
          <w:sz w:val="24"/>
          <w:szCs w:val="32"/>
        </w:rPr>
      </w:pPr>
      <w:r>
        <w:rPr>
          <w:rFonts w:ascii="Times New Roman" w:hAnsi="Times New Roman" w:cs="Times New Roman"/>
          <w:sz w:val="24"/>
          <w:szCs w:val="32"/>
        </w:rPr>
        <w:t xml:space="preserve">Answer: </w:t>
      </w:r>
      <w:r w:rsidR="00B145E8">
        <w:rPr>
          <w:rFonts w:ascii="Times New Roman" w:hAnsi="Times New Roman" w:cs="Times New Roman"/>
          <w:sz w:val="24"/>
          <w:szCs w:val="32"/>
        </w:rPr>
        <w:t>Market value = $150,000 Therefore, he can borrow up to 150,000*.8 = $120,000 But, he already has $50,000</w:t>
      </w:r>
      <w:r>
        <w:rPr>
          <w:rFonts w:ascii="Times New Roman" w:hAnsi="Times New Roman" w:cs="Times New Roman"/>
          <w:sz w:val="24"/>
          <w:szCs w:val="32"/>
        </w:rPr>
        <w:t xml:space="preserve"> </w:t>
      </w:r>
      <w:r w:rsidR="00B145E8">
        <w:rPr>
          <w:rFonts w:ascii="Times New Roman" w:hAnsi="Times New Roman" w:cs="Times New Roman"/>
          <w:sz w:val="24"/>
          <w:szCs w:val="32"/>
        </w:rPr>
        <w:t>outstanding mortgage balance, so he can only borrow $70,000 more.</w:t>
      </w:r>
      <w:bookmarkStart w:id="0" w:name="_GoBack"/>
      <w:bookmarkEnd w:id="0"/>
    </w:p>
    <w:p w:rsidR="00EC7278" w:rsidRPr="00EC7278" w:rsidRDefault="00210A7D" w:rsidP="00EC7278">
      <w:pPr>
        <w:spacing w:line="480" w:lineRule="auto"/>
        <w:rPr>
          <w:rFonts w:ascii="Times New Roman" w:hAnsi="Times New Roman" w:cs="Times New Roman"/>
        </w:rPr>
      </w:pPr>
      <w:r>
        <w:rPr>
          <w:rFonts w:ascii="Times New Roman" w:hAnsi="Times New Roman" w:cs="Times New Roman"/>
        </w:rPr>
        <w:t xml:space="preserve">  </w:t>
      </w:r>
    </w:p>
    <w:sectPr w:rsidR="00EC7278" w:rsidRPr="00EC72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F065E"/>
    <w:multiLevelType w:val="hybridMultilevel"/>
    <w:tmpl w:val="A98CE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9463E2"/>
    <w:multiLevelType w:val="hybridMultilevel"/>
    <w:tmpl w:val="0F6ADAF4"/>
    <w:lvl w:ilvl="0" w:tplc="C42C7C2C">
      <w:start w:val="1"/>
      <w:numFmt w:val="bullet"/>
      <w:lvlText w:val="-"/>
      <w:lvlJc w:val="left"/>
      <w:pPr>
        <w:ind w:left="660" w:hanging="360"/>
      </w:pPr>
      <w:rPr>
        <w:rFonts w:ascii="Calibri" w:eastAsiaTheme="minorHAnsi" w:hAnsi="Calibri" w:cstheme="minorBidi"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C35"/>
    <w:rsid w:val="0013403A"/>
    <w:rsid w:val="001B34E7"/>
    <w:rsid w:val="00210A7D"/>
    <w:rsid w:val="00255B66"/>
    <w:rsid w:val="00287062"/>
    <w:rsid w:val="002D43C1"/>
    <w:rsid w:val="003E52A6"/>
    <w:rsid w:val="00591F48"/>
    <w:rsid w:val="006D3C35"/>
    <w:rsid w:val="008D11C3"/>
    <w:rsid w:val="00A25D88"/>
    <w:rsid w:val="00B145E8"/>
    <w:rsid w:val="00E85E1C"/>
    <w:rsid w:val="00EC7278"/>
    <w:rsid w:val="00ED485B"/>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C35"/>
    <w:pPr>
      <w:ind w:left="720"/>
      <w:contextualSpacing/>
    </w:pPr>
  </w:style>
  <w:style w:type="paragraph" w:styleId="BalloonText">
    <w:name w:val="Balloon Text"/>
    <w:basedOn w:val="Normal"/>
    <w:link w:val="BalloonTextChar"/>
    <w:uiPriority w:val="99"/>
    <w:semiHidden/>
    <w:unhideWhenUsed/>
    <w:rsid w:val="006D3C35"/>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6D3C35"/>
    <w:rPr>
      <w:rFonts w:ascii="Tahoma" w:hAnsi="Tahoma" w:cs="Angsana New"/>
      <w:sz w:val="16"/>
      <w:szCs w:val="20"/>
    </w:rPr>
  </w:style>
  <w:style w:type="table" w:styleId="MediumShading2-Accent2">
    <w:name w:val="Medium Shading 2 Accent 2"/>
    <w:basedOn w:val="TableNormal"/>
    <w:uiPriority w:val="64"/>
    <w:rsid w:val="00A25D8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A25D8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rmalWeb">
    <w:name w:val="Normal (Web)"/>
    <w:basedOn w:val="Normal"/>
    <w:uiPriority w:val="99"/>
    <w:semiHidden/>
    <w:unhideWhenUsed/>
    <w:rsid w:val="00E85E1C"/>
    <w:pPr>
      <w:spacing w:after="240" w:line="240" w:lineRule="auto"/>
    </w:pPr>
    <w:rPr>
      <w:rFonts w:ascii="Trebuchet MS" w:eastAsia="Times New Roman" w:hAnsi="Trebuchet M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C35"/>
    <w:pPr>
      <w:ind w:left="720"/>
      <w:contextualSpacing/>
    </w:pPr>
  </w:style>
  <w:style w:type="paragraph" w:styleId="BalloonText">
    <w:name w:val="Balloon Text"/>
    <w:basedOn w:val="Normal"/>
    <w:link w:val="BalloonTextChar"/>
    <w:uiPriority w:val="99"/>
    <w:semiHidden/>
    <w:unhideWhenUsed/>
    <w:rsid w:val="006D3C35"/>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6D3C35"/>
    <w:rPr>
      <w:rFonts w:ascii="Tahoma" w:hAnsi="Tahoma" w:cs="Angsana New"/>
      <w:sz w:val="16"/>
      <w:szCs w:val="20"/>
    </w:rPr>
  </w:style>
  <w:style w:type="table" w:styleId="MediumShading2-Accent2">
    <w:name w:val="Medium Shading 2 Accent 2"/>
    <w:basedOn w:val="TableNormal"/>
    <w:uiPriority w:val="64"/>
    <w:rsid w:val="00A25D8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A25D8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rmalWeb">
    <w:name w:val="Normal (Web)"/>
    <w:basedOn w:val="Normal"/>
    <w:uiPriority w:val="99"/>
    <w:semiHidden/>
    <w:unhideWhenUsed/>
    <w:rsid w:val="00E85E1C"/>
    <w:pPr>
      <w:spacing w:after="240" w:line="240" w:lineRule="auto"/>
    </w:pPr>
    <w:rPr>
      <w:rFonts w:ascii="Trebuchet MS" w:eastAsia="Times New Roman" w:hAnsi="Trebuchet M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0115995">
      <w:bodyDiv w:val="1"/>
      <w:marLeft w:val="0"/>
      <w:marRight w:val="0"/>
      <w:marTop w:val="0"/>
      <w:marBottom w:val="0"/>
      <w:divBdr>
        <w:top w:val="none" w:sz="0" w:space="0" w:color="auto"/>
        <w:left w:val="none" w:sz="0" w:space="0" w:color="auto"/>
        <w:bottom w:val="none" w:sz="0" w:space="0" w:color="auto"/>
        <w:right w:val="none" w:sz="0" w:space="0" w:color="auto"/>
      </w:divBdr>
      <w:divsChild>
        <w:div w:id="1705515927">
          <w:marLeft w:val="0"/>
          <w:marRight w:val="0"/>
          <w:marTop w:val="0"/>
          <w:marBottom w:val="0"/>
          <w:divBdr>
            <w:top w:val="none" w:sz="0" w:space="0" w:color="auto"/>
            <w:left w:val="none" w:sz="0" w:space="0" w:color="auto"/>
            <w:bottom w:val="none" w:sz="0" w:space="0" w:color="auto"/>
            <w:right w:val="none" w:sz="0" w:space="0" w:color="auto"/>
          </w:divBdr>
          <w:divsChild>
            <w:div w:id="1061516622">
              <w:marLeft w:val="750"/>
              <w:marRight w:val="750"/>
              <w:marTop w:val="150"/>
              <w:marBottom w:val="150"/>
              <w:divBdr>
                <w:top w:val="none" w:sz="0" w:space="0" w:color="auto"/>
                <w:left w:val="none" w:sz="0" w:space="0" w:color="auto"/>
                <w:bottom w:val="none" w:sz="0" w:space="0" w:color="auto"/>
                <w:right w:val="none" w:sz="0" w:space="0" w:color="auto"/>
              </w:divBdr>
              <w:divsChild>
                <w:div w:id="2002542116">
                  <w:marLeft w:val="0"/>
                  <w:marRight w:val="0"/>
                  <w:marTop w:val="0"/>
                  <w:marBottom w:val="0"/>
                  <w:divBdr>
                    <w:top w:val="none" w:sz="0" w:space="0" w:color="auto"/>
                    <w:left w:val="none" w:sz="0" w:space="0" w:color="auto"/>
                    <w:bottom w:val="none" w:sz="0" w:space="0" w:color="auto"/>
                    <w:right w:val="none" w:sz="0" w:space="0" w:color="auto"/>
                  </w:divBdr>
                  <w:divsChild>
                    <w:div w:id="284848766">
                      <w:marLeft w:val="0"/>
                      <w:marRight w:val="0"/>
                      <w:marTop w:val="0"/>
                      <w:marBottom w:val="0"/>
                      <w:divBdr>
                        <w:top w:val="none" w:sz="0" w:space="0" w:color="auto"/>
                        <w:left w:val="none" w:sz="0" w:space="0" w:color="auto"/>
                        <w:bottom w:val="none" w:sz="0" w:space="0" w:color="auto"/>
                        <w:right w:val="none" w:sz="0" w:space="0" w:color="auto"/>
                      </w:divBdr>
                      <w:divsChild>
                        <w:div w:id="1462310427">
                          <w:marLeft w:val="-6300"/>
                          <w:marRight w:val="0"/>
                          <w:marTop w:val="0"/>
                          <w:marBottom w:val="0"/>
                          <w:divBdr>
                            <w:top w:val="none" w:sz="0" w:space="0" w:color="auto"/>
                            <w:left w:val="none" w:sz="0" w:space="0" w:color="auto"/>
                            <w:bottom w:val="none" w:sz="0" w:space="0" w:color="auto"/>
                            <w:right w:val="none" w:sz="0" w:space="0" w:color="auto"/>
                          </w:divBdr>
                          <w:divsChild>
                            <w:div w:id="2053647852">
                              <w:marLeft w:val="0"/>
                              <w:marRight w:val="0"/>
                              <w:marTop w:val="0"/>
                              <w:marBottom w:val="0"/>
                              <w:divBdr>
                                <w:top w:val="none" w:sz="0" w:space="0" w:color="auto"/>
                                <w:left w:val="none" w:sz="0" w:space="0" w:color="auto"/>
                                <w:bottom w:val="none" w:sz="0" w:space="0" w:color="auto"/>
                                <w:right w:val="none" w:sz="0" w:space="0" w:color="auto"/>
                              </w:divBdr>
                              <w:divsChild>
                                <w:div w:id="647052065">
                                  <w:marLeft w:val="6300"/>
                                  <w:marRight w:val="0"/>
                                  <w:marTop w:val="0"/>
                                  <w:marBottom w:val="0"/>
                                  <w:divBdr>
                                    <w:top w:val="none" w:sz="0" w:space="0" w:color="auto"/>
                                    <w:left w:val="none" w:sz="0" w:space="0" w:color="auto"/>
                                    <w:bottom w:val="none" w:sz="0" w:space="0" w:color="auto"/>
                                    <w:right w:val="none" w:sz="0" w:space="0" w:color="auto"/>
                                  </w:divBdr>
                                  <w:divsChild>
                                    <w:div w:id="508256364">
                                      <w:marLeft w:val="0"/>
                                      <w:marRight w:val="0"/>
                                      <w:marTop w:val="0"/>
                                      <w:marBottom w:val="0"/>
                                      <w:divBdr>
                                        <w:top w:val="none" w:sz="0" w:space="0" w:color="auto"/>
                                        <w:left w:val="none" w:sz="0" w:space="0" w:color="auto"/>
                                        <w:bottom w:val="none" w:sz="0" w:space="0" w:color="auto"/>
                                        <w:right w:val="none" w:sz="0" w:space="0" w:color="auto"/>
                                      </w:divBdr>
                                      <w:divsChild>
                                        <w:div w:id="1990137388">
                                          <w:marLeft w:val="10"/>
                                          <w:marRight w:val="10"/>
                                          <w:marTop w:val="2"/>
                                          <w:marBottom w:val="2"/>
                                          <w:divBdr>
                                            <w:top w:val="none" w:sz="0" w:space="8" w:color="DDDDDD"/>
                                            <w:left w:val="none" w:sz="0" w:space="8" w:color="DDDDDD"/>
                                            <w:bottom w:val="none" w:sz="0" w:space="8" w:color="DDDDDD"/>
                                            <w:right w:val="none" w:sz="0" w:space="8" w:color="DDDDDD"/>
                                          </w:divBdr>
                                          <w:divsChild>
                                            <w:div w:id="181240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5</Pages>
  <Words>844</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Aphivich Tiyaboonchai</dc:creator>
  <cp:lastModifiedBy>Aphivich Tiyaboonchai</cp:lastModifiedBy>
  <cp:revision>1</cp:revision>
  <dcterms:created xsi:type="dcterms:W3CDTF">2016-04-01T12:46:00Z</dcterms:created>
  <dcterms:modified xsi:type="dcterms:W3CDTF">2016-04-01T15:23:00Z</dcterms:modified>
</cp:coreProperties>
</file>