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23A701" w14:textId="77777777" w:rsidR="00215DCC" w:rsidRPr="00B55479" w:rsidRDefault="00215DCC" w:rsidP="00215DCC">
      <w:pPr>
        <w:pStyle w:val="Title"/>
        <w:contextualSpacing/>
        <w:jc w:val="left"/>
        <w:rPr>
          <w:rFonts w:asciiTheme="majorHAnsi" w:hAnsiTheme="majorHAnsi"/>
          <w:color w:val="auto"/>
          <w:sz w:val="24"/>
        </w:rPr>
      </w:pPr>
      <w:r w:rsidRPr="00B55479">
        <w:rPr>
          <w:rFonts w:asciiTheme="majorHAnsi" w:hAnsiTheme="majorHAnsi"/>
          <w:color w:val="auto"/>
          <w:sz w:val="24"/>
        </w:rPr>
        <w:t>CHAPTER 10: REPORTING AND INTERPRETING BONDS</w:t>
      </w:r>
    </w:p>
    <w:p w14:paraId="7FCAB7C9" w14:textId="77777777" w:rsidR="00215DCC" w:rsidRPr="00B55479" w:rsidRDefault="00215DCC" w:rsidP="00215DCC">
      <w:pPr>
        <w:pStyle w:val="Title"/>
        <w:contextualSpacing/>
        <w:jc w:val="left"/>
        <w:rPr>
          <w:rFonts w:asciiTheme="minorHAnsi" w:hAnsiTheme="minorHAnsi"/>
          <w:b w:val="0"/>
          <w:bCs w:val="0"/>
          <w:color w:val="auto"/>
          <w:sz w:val="20"/>
          <w:szCs w:val="20"/>
        </w:rPr>
      </w:pPr>
    </w:p>
    <w:p w14:paraId="1EF9A5EA" w14:textId="77777777" w:rsidR="00215DCC" w:rsidRPr="00B55479" w:rsidRDefault="00215DCC" w:rsidP="00215DCC">
      <w:pPr>
        <w:pStyle w:val="Title"/>
        <w:contextualSpacing/>
        <w:jc w:val="left"/>
        <w:outlineLvl w:val="0"/>
        <w:rPr>
          <w:rFonts w:asciiTheme="minorHAnsi" w:hAnsiTheme="minorHAnsi"/>
          <w:b w:val="0"/>
          <w:bCs w:val="0"/>
          <w:color w:val="auto"/>
          <w:sz w:val="20"/>
          <w:szCs w:val="20"/>
          <w:u w:val="single"/>
        </w:rPr>
      </w:pPr>
      <w:bookmarkStart w:id="0" w:name="_Toc200963257"/>
      <w:r w:rsidRPr="00B55479">
        <w:rPr>
          <w:rFonts w:asciiTheme="minorHAnsi" w:hAnsiTheme="minorHAnsi"/>
          <w:b w:val="0"/>
          <w:bCs w:val="0"/>
          <w:color w:val="auto"/>
          <w:sz w:val="20"/>
          <w:szCs w:val="20"/>
          <w:u w:val="single"/>
        </w:rPr>
        <w:t>CHAPTER SUMMARY</w:t>
      </w:r>
      <w:bookmarkEnd w:id="0"/>
    </w:p>
    <w:p w14:paraId="6A5EBA47" w14:textId="77777777" w:rsidR="00215DCC" w:rsidRPr="00B55479" w:rsidRDefault="00215DCC" w:rsidP="00215DCC">
      <w:pPr>
        <w:pStyle w:val="Title"/>
        <w:contextualSpacing/>
        <w:jc w:val="left"/>
        <w:rPr>
          <w:rFonts w:asciiTheme="minorHAnsi" w:hAnsiTheme="minorHAnsi"/>
          <w:b w:val="0"/>
          <w:bCs w:val="0"/>
          <w:color w:val="auto"/>
          <w:sz w:val="20"/>
          <w:szCs w:val="20"/>
        </w:rPr>
      </w:pPr>
    </w:p>
    <w:p w14:paraId="4F1D1F71" w14:textId="77777777" w:rsidR="00215DCC" w:rsidRPr="00B55479" w:rsidRDefault="00215DCC" w:rsidP="00215DCC">
      <w:pPr>
        <w:pStyle w:val="BodyText"/>
        <w:contextualSpacing/>
        <w:rPr>
          <w:rFonts w:asciiTheme="minorHAnsi" w:hAnsiTheme="minorHAnsi"/>
          <w:i w:val="0"/>
          <w:iCs w:val="0"/>
          <w:sz w:val="20"/>
          <w:szCs w:val="20"/>
        </w:rPr>
      </w:pPr>
      <w:r w:rsidRPr="00B55479">
        <w:rPr>
          <w:rFonts w:asciiTheme="minorHAnsi" w:hAnsiTheme="minorHAnsi"/>
          <w:i w:val="0"/>
          <w:iCs w:val="0"/>
          <w:sz w:val="20"/>
          <w:szCs w:val="20"/>
        </w:rPr>
        <w:t>This chapter discusses bonds payable, which represent a primary way for corporations to obtain funds to acquire long-term assets and to expand a business. An important advantage of bonds payable is that the cost of borrowing the funds – interest expense – is deductible on the income statement (and for income tax purposes), which reduces the interest cost to the business.</w:t>
      </w:r>
    </w:p>
    <w:p w14:paraId="2B4C103D" w14:textId="77777777" w:rsidR="00215DCC" w:rsidRPr="00B55479" w:rsidRDefault="00215DCC" w:rsidP="00215DCC">
      <w:pPr>
        <w:pStyle w:val="BodyText"/>
        <w:contextualSpacing/>
        <w:rPr>
          <w:rFonts w:asciiTheme="minorHAnsi" w:hAnsiTheme="minorHAnsi"/>
          <w:i w:val="0"/>
          <w:iCs w:val="0"/>
          <w:sz w:val="20"/>
          <w:szCs w:val="20"/>
        </w:rPr>
      </w:pPr>
    </w:p>
    <w:p w14:paraId="2017B400" w14:textId="77777777" w:rsidR="00215DCC" w:rsidRPr="00B55479" w:rsidRDefault="00215DCC" w:rsidP="00215DCC">
      <w:pPr>
        <w:pStyle w:val="BodyText"/>
        <w:contextualSpacing/>
        <w:rPr>
          <w:rFonts w:asciiTheme="minorHAnsi" w:hAnsiTheme="minorHAnsi"/>
          <w:i w:val="0"/>
          <w:iCs w:val="0"/>
          <w:sz w:val="20"/>
          <w:szCs w:val="20"/>
        </w:rPr>
      </w:pPr>
      <w:r w:rsidRPr="00B55479">
        <w:rPr>
          <w:rFonts w:asciiTheme="minorHAnsi" w:hAnsiTheme="minorHAnsi"/>
          <w:i w:val="0"/>
          <w:iCs w:val="0"/>
          <w:sz w:val="20"/>
          <w:szCs w:val="20"/>
        </w:rPr>
        <w:t>Bonds may be sold at par amount, a premium, or a discount, depending on the difference between the stated interest rate and the market interest rate. In each case, bonds are recorded at the present value of their future cash flows. The issue price of a bond varies based on the relationship between the market rate and stated rate of interest. If the stated rate is higher than the market rate, the bonds will sell at a premium. Conversely, if the stated rate is lower than the market rate, the bonds will sell at a discount. If the stated rate and the market rate are the same, the bonds will sell at par. Discounts and premiums on bonds payable are adjustments to interest expense for the issuing company during the term of the bonds. Therefore, the discount or premium on bonds payable is amortized over the period outstanding from issue date to maturity date.</w:t>
      </w:r>
    </w:p>
    <w:p w14:paraId="4861348C" w14:textId="77777777" w:rsidR="00215DCC" w:rsidRPr="00B55479" w:rsidRDefault="00215DCC" w:rsidP="00215DCC">
      <w:pPr>
        <w:pStyle w:val="Title"/>
        <w:contextualSpacing/>
        <w:jc w:val="left"/>
        <w:rPr>
          <w:rFonts w:asciiTheme="minorHAnsi" w:hAnsiTheme="minorHAnsi"/>
          <w:b w:val="0"/>
          <w:bCs w:val="0"/>
          <w:color w:val="auto"/>
          <w:sz w:val="20"/>
          <w:szCs w:val="20"/>
        </w:rPr>
      </w:pPr>
    </w:p>
    <w:p w14:paraId="5429C2D0" w14:textId="77777777" w:rsidR="00215DCC" w:rsidRPr="00B55479" w:rsidRDefault="00215DCC" w:rsidP="00215DCC">
      <w:pPr>
        <w:pStyle w:val="Title"/>
        <w:contextualSpacing/>
        <w:jc w:val="left"/>
        <w:rPr>
          <w:rFonts w:asciiTheme="minorHAnsi" w:hAnsiTheme="minorHAnsi"/>
          <w:b w:val="0"/>
          <w:bCs w:val="0"/>
          <w:color w:val="auto"/>
          <w:sz w:val="20"/>
          <w:szCs w:val="20"/>
        </w:rPr>
      </w:pPr>
    </w:p>
    <w:p w14:paraId="61238B3D" w14:textId="77777777" w:rsidR="00215DCC" w:rsidRPr="00B55479" w:rsidRDefault="00215DCC" w:rsidP="00215DCC">
      <w:pPr>
        <w:pStyle w:val="Title"/>
        <w:contextualSpacing/>
        <w:jc w:val="left"/>
        <w:outlineLvl w:val="0"/>
        <w:rPr>
          <w:rFonts w:asciiTheme="minorHAnsi" w:hAnsiTheme="minorHAnsi"/>
          <w:b w:val="0"/>
          <w:bCs w:val="0"/>
          <w:color w:val="auto"/>
          <w:sz w:val="20"/>
          <w:szCs w:val="20"/>
          <w:u w:val="single"/>
        </w:rPr>
      </w:pPr>
      <w:bookmarkStart w:id="1" w:name="_Toc200963258"/>
      <w:r w:rsidRPr="00B55479">
        <w:rPr>
          <w:rFonts w:asciiTheme="minorHAnsi" w:hAnsiTheme="minorHAnsi"/>
          <w:b w:val="0"/>
          <w:bCs w:val="0"/>
          <w:color w:val="auto"/>
          <w:sz w:val="20"/>
          <w:szCs w:val="20"/>
          <w:u w:val="single"/>
        </w:rPr>
        <w:t>CHAPTER OBJECTIVES</w:t>
      </w:r>
      <w:bookmarkEnd w:id="1"/>
    </w:p>
    <w:p w14:paraId="2BA18FA8" w14:textId="77777777" w:rsidR="00215DCC" w:rsidRPr="00B55479" w:rsidRDefault="00215DCC" w:rsidP="00215DCC">
      <w:pPr>
        <w:pStyle w:val="Title"/>
        <w:contextualSpacing/>
        <w:jc w:val="left"/>
        <w:rPr>
          <w:rFonts w:asciiTheme="minorHAnsi" w:hAnsiTheme="minorHAnsi"/>
          <w:b w:val="0"/>
          <w:bCs w:val="0"/>
          <w:color w:val="auto"/>
          <w:sz w:val="20"/>
          <w:szCs w:val="20"/>
        </w:rPr>
      </w:pPr>
    </w:p>
    <w:p w14:paraId="7010FA78" w14:textId="77777777" w:rsidR="00215DCC" w:rsidRPr="00B55479" w:rsidRDefault="00215DCC" w:rsidP="00215DCC">
      <w:pPr>
        <w:pStyle w:val="IRMLevel1"/>
        <w:numPr>
          <w:ilvl w:val="0"/>
          <w:numId w:val="0"/>
        </w:numPr>
        <w:spacing w:after="0"/>
        <w:ind w:left="540" w:hanging="540"/>
        <w:contextualSpacing/>
        <w:rPr>
          <w:rFonts w:asciiTheme="minorHAnsi" w:hAnsiTheme="minorHAnsi"/>
          <w:b w:val="0"/>
          <w:bCs w:val="0"/>
          <w:sz w:val="20"/>
          <w:szCs w:val="20"/>
        </w:rPr>
      </w:pPr>
      <w:r w:rsidRPr="00B55479">
        <w:rPr>
          <w:rFonts w:asciiTheme="minorHAnsi" w:hAnsiTheme="minorHAnsi"/>
          <w:b w:val="0"/>
          <w:bCs w:val="0"/>
          <w:sz w:val="20"/>
          <w:szCs w:val="20"/>
        </w:rPr>
        <w:t>LO1 Describe the characteristics of bonds.</w:t>
      </w:r>
    </w:p>
    <w:p w14:paraId="5665B0A6" w14:textId="77777777" w:rsidR="00215DCC" w:rsidRPr="00B55479" w:rsidRDefault="00215DCC" w:rsidP="00215DCC">
      <w:pPr>
        <w:pStyle w:val="IRMLevel1"/>
        <w:numPr>
          <w:ilvl w:val="0"/>
          <w:numId w:val="0"/>
        </w:numPr>
        <w:spacing w:after="0"/>
        <w:ind w:left="540" w:hanging="540"/>
        <w:contextualSpacing/>
        <w:rPr>
          <w:rFonts w:asciiTheme="minorHAnsi" w:hAnsiTheme="minorHAnsi"/>
          <w:b w:val="0"/>
          <w:bCs w:val="0"/>
          <w:sz w:val="20"/>
          <w:szCs w:val="20"/>
        </w:rPr>
      </w:pPr>
      <w:r w:rsidRPr="00B55479">
        <w:rPr>
          <w:rFonts w:asciiTheme="minorHAnsi" w:hAnsiTheme="minorHAnsi"/>
          <w:b w:val="0"/>
          <w:bCs w:val="0"/>
          <w:sz w:val="20"/>
          <w:szCs w:val="20"/>
        </w:rPr>
        <w:t>LO2 Report bonds payable and interest expense for bonds sold at par and analyze the times interest earned ratio.</w:t>
      </w:r>
    </w:p>
    <w:p w14:paraId="1636AF18" w14:textId="77777777" w:rsidR="00215DCC" w:rsidRPr="00B55479" w:rsidRDefault="00215DCC" w:rsidP="00215DCC">
      <w:pPr>
        <w:pStyle w:val="IRMLevel1"/>
        <w:numPr>
          <w:ilvl w:val="0"/>
          <w:numId w:val="0"/>
        </w:numPr>
        <w:spacing w:after="0"/>
        <w:ind w:left="540" w:hanging="540"/>
        <w:contextualSpacing/>
        <w:rPr>
          <w:rFonts w:asciiTheme="minorHAnsi" w:hAnsiTheme="minorHAnsi"/>
          <w:b w:val="0"/>
          <w:bCs w:val="0"/>
          <w:sz w:val="20"/>
          <w:szCs w:val="20"/>
        </w:rPr>
      </w:pPr>
      <w:r w:rsidRPr="00B55479">
        <w:rPr>
          <w:rFonts w:asciiTheme="minorHAnsi" w:hAnsiTheme="minorHAnsi"/>
          <w:b w:val="0"/>
          <w:bCs w:val="0"/>
          <w:sz w:val="20"/>
          <w:szCs w:val="20"/>
        </w:rPr>
        <w:t>LO3 Report bonds payable and interest expense for bonds sold at a discount.</w:t>
      </w:r>
    </w:p>
    <w:p w14:paraId="4AE7D694" w14:textId="77777777" w:rsidR="00215DCC" w:rsidRPr="00B55479" w:rsidRDefault="00215DCC" w:rsidP="00215DCC">
      <w:pPr>
        <w:pStyle w:val="IRMLevel1"/>
        <w:numPr>
          <w:ilvl w:val="0"/>
          <w:numId w:val="0"/>
        </w:numPr>
        <w:spacing w:after="0"/>
        <w:ind w:left="540" w:hanging="540"/>
        <w:contextualSpacing/>
        <w:rPr>
          <w:rFonts w:asciiTheme="minorHAnsi" w:hAnsiTheme="minorHAnsi"/>
          <w:b w:val="0"/>
          <w:bCs w:val="0"/>
          <w:sz w:val="20"/>
          <w:szCs w:val="20"/>
        </w:rPr>
      </w:pPr>
      <w:r w:rsidRPr="00B55479">
        <w:rPr>
          <w:rFonts w:asciiTheme="minorHAnsi" w:hAnsiTheme="minorHAnsi"/>
          <w:b w:val="0"/>
          <w:bCs w:val="0"/>
          <w:sz w:val="20"/>
          <w:szCs w:val="20"/>
        </w:rPr>
        <w:t>LO4 Report bonds payable and interest expense for bonds sold at a premium.</w:t>
      </w:r>
    </w:p>
    <w:p w14:paraId="3B1FC1B6" w14:textId="77777777" w:rsidR="00215DCC" w:rsidRPr="00B55479" w:rsidRDefault="00215DCC" w:rsidP="00215DCC">
      <w:pPr>
        <w:pStyle w:val="IRMLevel1"/>
        <w:numPr>
          <w:ilvl w:val="0"/>
          <w:numId w:val="0"/>
        </w:numPr>
        <w:spacing w:after="0"/>
        <w:ind w:left="540" w:hanging="540"/>
        <w:contextualSpacing/>
        <w:rPr>
          <w:rFonts w:asciiTheme="minorHAnsi" w:hAnsiTheme="minorHAnsi"/>
          <w:b w:val="0"/>
          <w:bCs w:val="0"/>
          <w:sz w:val="20"/>
          <w:szCs w:val="20"/>
        </w:rPr>
      </w:pPr>
      <w:r w:rsidRPr="00B55479">
        <w:rPr>
          <w:rFonts w:asciiTheme="minorHAnsi" w:hAnsiTheme="minorHAnsi"/>
          <w:b w:val="0"/>
          <w:bCs w:val="0"/>
          <w:sz w:val="20"/>
          <w:szCs w:val="20"/>
        </w:rPr>
        <w:t>LO5 Analyze the debt-to-equity ratio.</w:t>
      </w:r>
    </w:p>
    <w:p w14:paraId="4C5723B4" w14:textId="77777777" w:rsidR="00215DCC" w:rsidRPr="00B55479" w:rsidRDefault="00215DCC" w:rsidP="00215DCC">
      <w:pPr>
        <w:pStyle w:val="IRMLevel1"/>
        <w:numPr>
          <w:ilvl w:val="0"/>
          <w:numId w:val="0"/>
        </w:numPr>
        <w:spacing w:after="0"/>
        <w:ind w:left="540" w:hanging="540"/>
        <w:contextualSpacing/>
        <w:rPr>
          <w:rFonts w:asciiTheme="minorHAnsi" w:hAnsiTheme="minorHAnsi"/>
          <w:b w:val="0"/>
          <w:bCs w:val="0"/>
          <w:sz w:val="20"/>
          <w:szCs w:val="20"/>
        </w:rPr>
      </w:pPr>
      <w:r w:rsidRPr="00B55479">
        <w:rPr>
          <w:rFonts w:asciiTheme="minorHAnsi" w:hAnsiTheme="minorHAnsi"/>
          <w:b w:val="0"/>
          <w:bCs w:val="0"/>
          <w:sz w:val="20"/>
          <w:szCs w:val="20"/>
        </w:rPr>
        <w:t>LO6 Report the early retirement of bonds.</w:t>
      </w:r>
    </w:p>
    <w:p w14:paraId="4601A042" w14:textId="77777777" w:rsidR="00215DCC" w:rsidRPr="00B55479" w:rsidRDefault="00215DCC" w:rsidP="00215DCC">
      <w:pPr>
        <w:pStyle w:val="IRMLevel1"/>
        <w:numPr>
          <w:ilvl w:val="0"/>
          <w:numId w:val="0"/>
        </w:numPr>
        <w:spacing w:after="0"/>
        <w:ind w:left="540" w:hanging="540"/>
        <w:contextualSpacing/>
        <w:rPr>
          <w:rFonts w:asciiTheme="minorHAnsi" w:hAnsiTheme="minorHAnsi"/>
          <w:b w:val="0"/>
          <w:bCs w:val="0"/>
          <w:sz w:val="20"/>
          <w:szCs w:val="20"/>
        </w:rPr>
      </w:pPr>
      <w:r w:rsidRPr="00B55479">
        <w:rPr>
          <w:rFonts w:asciiTheme="minorHAnsi" w:hAnsiTheme="minorHAnsi"/>
          <w:b w:val="0"/>
          <w:bCs w:val="0"/>
          <w:sz w:val="20"/>
          <w:szCs w:val="20"/>
        </w:rPr>
        <w:t>LO7 Explain how financing activities are reported on the statement of cash flows.</w:t>
      </w:r>
    </w:p>
    <w:p w14:paraId="476DE515" w14:textId="77777777" w:rsidR="00215DCC" w:rsidRPr="00B55479" w:rsidRDefault="00215DCC" w:rsidP="00215DCC">
      <w:pPr>
        <w:pStyle w:val="Title"/>
        <w:contextualSpacing/>
        <w:jc w:val="left"/>
        <w:rPr>
          <w:rFonts w:asciiTheme="minorHAnsi" w:hAnsiTheme="minorHAnsi"/>
          <w:b w:val="0"/>
          <w:bCs w:val="0"/>
          <w:color w:val="auto"/>
          <w:sz w:val="20"/>
          <w:szCs w:val="20"/>
        </w:rPr>
      </w:pPr>
      <w:r w:rsidRPr="00B55479">
        <w:rPr>
          <w:rFonts w:asciiTheme="minorHAnsi" w:hAnsiTheme="minorHAnsi"/>
          <w:b w:val="0"/>
          <w:bCs w:val="0"/>
          <w:color w:val="auto"/>
          <w:sz w:val="20"/>
          <w:szCs w:val="20"/>
        </w:rPr>
        <w:br w:type="page"/>
      </w:r>
    </w:p>
    <w:p w14:paraId="5DFA400D" w14:textId="77777777" w:rsidR="00215DCC" w:rsidRPr="00B55479" w:rsidRDefault="00215DCC" w:rsidP="00215DCC">
      <w:pPr>
        <w:pStyle w:val="Title"/>
        <w:contextualSpacing/>
        <w:jc w:val="left"/>
        <w:outlineLvl w:val="0"/>
        <w:rPr>
          <w:rFonts w:asciiTheme="minorHAnsi" w:hAnsiTheme="minorHAnsi"/>
          <w:b w:val="0"/>
          <w:bCs w:val="0"/>
          <w:color w:val="auto"/>
          <w:sz w:val="20"/>
          <w:szCs w:val="20"/>
          <w:u w:val="single"/>
        </w:rPr>
      </w:pPr>
      <w:bookmarkStart w:id="2" w:name="_Toc200963259"/>
      <w:r w:rsidRPr="00B55479">
        <w:rPr>
          <w:rFonts w:asciiTheme="minorHAnsi" w:hAnsiTheme="minorHAnsi"/>
          <w:b w:val="0"/>
          <w:bCs w:val="0"/>
          <w:color w:val="auto"/>
          <w:sz w:val="20"/>
          <w:szCs w:val="20"/>
          <w:u w:val="single"/>
        </w:rPr>
        <w:lastRenderedPageBreak/>
        <w:t>CHAPTER OUTLINE</w:t>
      </w:r>
      <w:bookmarkEnd w:id="2"/>
    </w:p>
    <w:p w14:paraId="6478225D" w14:textId="77777777" w:rsidR="00215DCC" w:rsidRPr="00B55479" w:rsidRDefault="00215DCC" w:rsidP="00215DCC">
      <w:pPr>
        <w:pStyle w:val="Title"/>
        <w:contextualSpacing/>
        <w:jc w:val="left"/>
        <w:rPr>
          <w:rFonts w:asciiTheme="minorHAnsi" w:hAnsiTheme="minorHAnsi"/>
          <w:b w:val="0"/>
          <w:bCs w:val="0"/>
          <w:color w:val="auto"/>
          <w:sz w:val="20"/>
          <w:szCs w:val="20"/>
        </w:rPr>
      </w:pPr>
    </w:p>
    <w:p w14:paraId="6FCB3C59" w14:textId="77777777" w:rsidR="00215DCC" w:rsidRPr="00B55479" w:rsidRDefault="00215DCC" w:rsidP="00215DCC">
      <w:pPr>
        <w:pStyle w:val="IRMLevel1"/>
        <w:numPr>
          <w:ilvl w:val="0"/>
          <w:numId w:val="2"/>
        </w:numPr>
        <w:tabs>
          <w:tab w:val="clear" w:pos="360"/>
          <w:tab w:val="num" w:pos="630"/>
        </w:tabs>
        <w:spacing w:after="0"/>
        <w:ind w:left="1170" w:hanging="1170"/>
        <w:contextualSpacing/>
        <w:rPr>
          <w:rFonts w:asciiTheme="minorHAnsi" w:hAnsiTheme="minorHAnsi"/>
          <w:b w:val="0"/>
          <w:bCs w:val="0"/>
          <w:sz w:val="20"/>
          <w:szCs w:val="20"/>
        </w:rPr>
      </w:pPr>
      <w:r w:rsidRPr="00B55479">
        <w:rPr>
          <w:rFonts w:asciiTheme="minorHAnsi" w:hAnsiTheme="minorHAnsi"/>
          <w:b w:val="0"/>
          <w:bCs w:val="0"/>
          <w:sz w:val="20"/>
          <w:szCs w:val="20"/>
        </w:rPr>
        <w:t>UNDERSTANDING BUSINESS</w:t>
      </w:r>
    </w:p>
    <w:p w14:paraId="62D7181E" w14:textId="77777777" w:rsidR="00215DCC" w:rsidRPr="00B55479" w:rsidRDefault="00215DCC" w:rsidP="00215DCC">
      <w:pPr>
        <w:pStyle w:val="a"/>
        <w:widowControl/>
        <w:numPr>
          <w:ilvl w:val="0"/>
          <w:numId w:val="4"/>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The capital structure of a company is a mixture of debt and equity. </w:t>
      </w:r>
    </w:p>
    <w:p w14:paraId="70C5256A" w14:textId="77777777" w:rsidR="00215DCC" w:rsidRPr="00B55479" w:rsidRDefault="00215DCC" w:rsidP="00215DCC">
      <w:pPr>
        <w:pStyle w:val="a"/>
        <w:widowControl/>
        <w:numPr>
          <w:ilvl w:val="0"/>
          <w:numId w:val="4"/>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Corporations frequently raise debt capital by borrowing money through the issuance of bonds. </w:t>
      </w:r>
    </w:p>
    <w:p w14:paraId="563950A3" w14:textId="77777777" w:rsidR="00215DCC" w:rsidRPr="00B55479" w:rsidRDefault="00215DCC" w:rsidP="00215DCC">
      <w:pPr>
        <w:pStyle w:val="LLSLevel4"/>
        <w:numPr>
          <w:ilvl w:val="0"/>
          <w:numId w:val="5"/>
        </w:numPr>
        <w:contextualSpacing/>
        <w:rPr>
          <w:rFonts w:asciiTheme="minorHAnsi" w:hAnsiTheme="minorHAnsi"/>
          <w:sz w:val="20"/>
          <w:szCs w:val="20"/>
        </w:rPr>
      </w:pPr>
      <w:r w:rsidRPr="00B55479">
        <w:rPr>
          <w:rFonts w:asciiTheme="minorHAnsi" w:hAnsiTheme="minorHAnsi"/>
          <w:sz w:val="20"/>
          <w:szCs w:val="20"/>
        </w:rPr>
        <w:t xml:space="preserve">Bonds are securities issued by corporations as well as government entities. </w:t>
      </w:r>
    </w:p>
    <w:p w14:paraId="6FD76417" w14:textId="77777777" w:rsidR="00215DCC" w:rsidRPr="00B55479" w:rsidRDefault="00215DCC" w:rsidP="00215DCC">
      <w:pPr>
        <w:pStyle w:val="LLSLevel4"/>
        <w:numPr>
          <w:ilvl w:val="0"/>
          <w:numId w:val="5"/>
        </w:numPr>
        <w:contextualSpacing/>
        <w:rPr>
          <w:rFonts w:asciiTheme="minorHAnsi" w:hAnsiTheme="minorHAnsi"/>
          <w:sz w:val="20"/>
          <w:szCs w:val="20"/>
        </w:rPr>
      </w:pPr>
      <w:r w:rsidRPr="00B55479">
        <w:rPr>
          <w:rFonts w:asciiTheme="minorHAnsi" w:hAnsiTheme="minorHAnsi"/>
          <w:sz w:val="20"/>
          <w:szCs w:val="20"/>
        </w:rPr>
        <w:t>Because of established markets, a bondholder may sell the bond before its maturity date to another investor via the bond exchange. This provides the bondholder with liquidity since the investment can be sold for cash at any time.</w:t>
      </w:r>
    </w:p>
    <w:p w14:paraId="3527AF42"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4E7B35D7" w14:textId="77777777" w:rsidR="00215DCC" w:rsidRPr="00B55479" w:rsidRDefault="00215DCC" w:rsidP="00215DCC">
      <w:pPr>
        <w:pStyle w:val="IRMLevel1"/>
        <w:numPr>
          <w:ilvl w:val="0"/>
          <w:numId w:val="2"/>
        </w:numPr>
        <w:tabs>
          <w:tab w:val="clear" w:pos="360"/>
          <w:tab w:val="num" w:pos="630"/>
        </w:tabs>
        <w:spacing w:after="0"/>
        <w:ind w:left="1170" w:hanging="1170"/>
        <w:contextualSpacing/>
        <w:rPr>
          <w:rFonts w:asciiTheme="minorHAnsi" w:hAnsiTheme="minorHAnsi"/>
          <w:b w:val="0"/>
          <w:bCs w:val="0"/>
          <w:sz w:val="20"/>
          <w:szCs w:val="20"/>
        </w:rPr>
      </w:pPr>
      <w:r w:rsidRPr="00B55479">
        <w:rPr>
          <w:rFonts w:asciiTheme="minorHAnsi" w:hAnsiTheme="minorHAnsi"/>
          <w:b w:val="0"/>
          <w:bCs w:val="0"/>
          <w:sz w:val="20"/>
          <w:szCs w:val="20"/>
        </w:rPr>
        <w:t>LO1 DESCRIBE THE CHARACTERISTICS OF BONDS.</w:t>
      </w:r>
    </w:p>
    <w:p w14:paraId="67CD6227" w14:textId="77777777" w:rsidR="00215DCC" w:rsidRPr="00B55479" w:rsidRDefault="00215DCC" w:rsidP="00215DCC">
      <w:pPr>
        <w:pStyle w:val="LLSLevel2"/>
        <w:numPr>
          <w:ilvl w:val="0"/>
          <w:numId w:val="7"/>
        </w:numPr>
        <w:contextualSpacing/>
        <w:rPr>
          <w:rFonts w:asciiTheme="minorHAnsi" w:hAnsiTheme="minorHAnsi"/>
          <w:sz w:val="20"/>
          <w:szCs w:val="20"/>
        </w:rPr>
      </w:pPr>
      <w:r w:rsidRPr="00B55479">
        <w:rPr>
          <w:rFonts w:asciiTheme="minorHAnsi" w:hAnsiTheme="minorHAnsi"/>
          <w:sz w:val="20"/>
          <w:szCs w:val="20"/>
          <w:u w:val="single"/>
        </w:rPr>
        <w:t>Advantages</w:t>
      </w:r>
      <w:r w:rsidRPr="00B55479">
        <w:rPr>
          <w:rFonts w:asciiTheme="minorHAnsi" w:hAnsiTheme="minorHAnsi"/>
          <w:sz w:val="20"/>
          <w:szCs w:val="20"/>
        </w:rPr>
        <w:t xml:space="preserve"> of debt financing</w:t>
      </w:r>
    </w:p>
    <w:p w14:paraId="4D3B6555" w14:textId="77777777" w:rsidR="00215DCC" w:rsidRPr="00B55479" w:rsidRDefault="00215DCC" w:rsidP="00215DCC">
      <w:pPr>
        <w:pStyle w:val="a"/>
        <w:widowControl/>
        <w:numPr>
          <w:ilvl w:val="0"/>
          <w:numId w:val="8"/>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Issuing bonds does not dilute ownership and control. Dilution would take place if additional stock were issued instead.  Bondholders are not owners in the company and, thus, cannot vote.</w:t>
      </w:r>
    </w:p>
    <w:p w14:paraId="7AAB4EAF" w14:textId="77777777" w:rsidR="00215DCC" w:rsidRPr="00B55479" w:rsidRDefault="00215DCC" w:rsidP="00215DCC">
      <w:pPr>
        <w:pStyle w:val="a"/>
        <w:widowControl/>
        <w:numPr>
          <w:ilvl w:val="0"/>
          <w:numId w:val="8"/>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Interest is tax deductible whereas dividends are not. Net interest cost is interest cost less any income tax savings associated with interest expense.</w:t>
      </w:r>
    </w:p>
    <w:p w14:paraId="18F6837E" w14:textId="77777777" w:rsidR="00215DCC" w:rsidRPr="00B55479" w:rsidRDefault="00215DCC" w:rsidP="00215DCC">
      <w:pPr>
        <w:pStyle w:val="a"/>
        <w:widowControl/>
        <w:numPr>
          <w:ilvl w:val="0"/>
          <w:numId w:val="8"/>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liquidity of bond investments typically permits corporations to reduce the cost of long-term borrowing. This can give rise to positive financial leverage (borrowing at low rate and investing at a higher rate).</w:t>
      </w:r>
    </w:p>
    <w:p w14:paraId="441F2C40"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7AF164EB" w14:textId="77777777" w:rsidR="00215DCC" w:rsidRPr="00B55479" w:rsidRDefault="00215DCC" w:rsidP="00215DCC">
      <w:pPr>
        <w:pStyle w:val="LLSLevel2"/>
        <w:numPr>
          <w:ilvl w:val="0"/>
          <w:numId w:val="7"/>
        </w:numPr>
        <w:contextualSpacing/>
        <w:rPr>
          <w:rFonts w:asciiTheme="minorHAnsi" w:hAnsiTheme="minorHAnsi"/>
          <w:sz w:val="20"/>
          <w:szCs w:val="20"/>
        </w:rPr>
      </w:pPr>
      <w:r w:rsidRPr="00B55479">
        <w:rPr>
          <w:rFonts w:asciiTheme="minorHAnsi" w:hAnsiTheme="minorHAnsi"/>
          <w:sz w:val="20"/>
          <w:szCs w:val="20"/>
          <w:u w:val="single"/>
        </w:rPr>
        <w:t>Disadvantages</w:t>
      </w:r>
      <w:r w:rsidRPr="00B55479">
        <w:rPr>
          <w:rFonts w:asciiTheme="minorHAnsi" w:hAnsiTheme="minorHAnsi"/>
          <w:sz w:val="20"/>
          <w:szCs w:val="20"/>
        </w:rPr>
        <w:t xml:space="preserve"> of debt financing</w:t>
      </w:r>
    </w:p>
    <w:p w14:paraId="19B98B20" w14:textId="77777777" w:rsidR="00215DCC" w:rsidRPr="00B55479" w:rsidRDefault="00215DCC" w:rsidP="00215DCC">
      <w:pPr>
        <w:pStyle w:val="a"/>
        <w:widowControl/>
        <w:numPr>
          <w:ilvl w:val="0"/>
          <w:numId w:val="9"/>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Required interest payments must be made each interest period. If payments are not made, there is a risk of bankruptcy.</w:t>
      </w:r>
    </w:p>
    <w:p w14:paraId="7E1B18EC" w14:textId="77777777" w:rsidR="00215DCC" w:rsidRPr="00B55479" w:rsidRDefault="00215DCC" w:rsidP="00215DCC">
      <w:pPr>
        <w:pStyle w:val="a"/>
        <w:widowControl/>
        <w:numPr>
          <w:ilvl w:val="0"/>
          <w:numId w:val="9"/>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principal (par) of the bond must be paid at the maturity date. This is so even if the corporation has no earnings. On the other hand, dividends to stockholders usually materialize only if the company has earnings (or retained earnings).</w:t>
      </w:r>
    </w:p>
    <w:p w14:paraId="70980ED1"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147D5626" w14:textId="77777777" w:rsidR="00215DCC" w:rsidRPr="00B55479" w:rsidRDefault="00215DCC" w:rsidP="00215DCC">
      <w:pPr>
        <w:pStyle w:val="LLSLevel2"/>
        <w:numPr>
          <w:ilvl w:val="0"/>
          <w:numId w:val="7"/>
        </w:numPr>
        <w:contextualSpacing/>
        <w:rPr>
          <w:rFonts w:asciiTheme="minorHAnsi" w:hAnsiTheme="minorHAnsi"/>
          <w:sz w:val="20"/>
          <w:szCs w:val="20"/>
        </w:rPr>
      </w:pPr>
      <w:r w:rsidRPr="00B55479">
        <w:rPr>
          <w:rFonts w:asciiTheme="minorHAnsi" w:hAnsiTheme="minorHAnsi"/>
          <w:sz w:val="20"/>
          <w:szCs w:val="20"/>
        </w:rPr>
        <w:t>Characteristics of Bonds Payable</w:t>
      </w:r>
    </w:p>
    <w:p w14:paraId="275EAAC6" w14:textId="77777777" w:rsidR="00215DCC" w:rsidRPr="00B55479" w:rsidRDefault="00215DCC" w:rsidP="00215DCC">
      <w:pPr>
        <w:pStyle w:val="a"/>
        <w:widowControl/>
        <w:numPr>
          <w:ilvl w:val="0"/>
          <w:numId w:val="1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There are many different characteristics for various bond issues. Different types of creditors have different risk and return preferences. Companies try to design features of bond issues that are attractive to different groups of investors to make the bonds more marketable.</w:t>
      </w:r>
    </w:p>
    <w:p w14:paraId="75CA45E4" w14:textId="77777777" w:rsidR="00215DCC" w:rsidRPr="00B55479" w:rsidRDefault="00215DCC" w:rsidP="00215DCC">
      <w:pPr>
        <w:pStyle w:val="a"/>
        <w:widowControl/>
        <w:numPr>
          <w:ilvl w:val="0"/>
          <w:numId w:val="1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Some key types of bonds are shown below:</w:t>
      </w:r>
    </w:p>
    <w:p w14:paraId="6BE84578" w14:textId="77777777" w:rsidR="00215DCC" w:rsidRPr="00B55479" w:rsidRDefault="00215DCC" w:rsidP="00215DCC">
      <w:pPr>
        <w:pStyle w:val="LLSLevel2"/>
        <w:ind w:left="360"/>
        <w:contextualSpacing/>
        <w:rPr>
          <w:rFonts w:asciiTheme="minorHAnsi" w:hAnsiTheme="minorHAnsi"/>
          <w:sz w:val="20"/>
          <w:szCs w:val="20"/>
        </w:rPr>
      </w:pPr>
    </w:p>
    <w:tbl>
      <w:tblPr>
        <w:tblW w:w="873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
        <w:gridCol w:w="3810"/>
        <w:gridCol w:w="8"/>
        <w:gridCol w:w="438"/>
        <w:gridCol w:w="4024"/>
      </w:tblGrid>
      <w:tr w:rsidR="00215DCC" w:rsidRPr="00B55479" w14:paraId="490D6B11" w14:textId="77777777" w:rsidTr="003A67F7">
        <w:trPr>
          <w:cantSplit/>
        </w:trPr>
        <w:tc>
          <w:tcPr>
            <w:tcW w:w="4268" w:type="dxa"/>
            <w:gridSpan w:val="3"/>
          </w:tcPr>
          <w:p w14:paraId="48BE005C"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i/>
                <w:color w:val="000000"/>
                <w:sz w:val="20"/>
                <w:szCs w:val="20"/>
              </w:rPr>
            </w:pPr>
            <w:r w:rsidRPr="00B55479">
              <w:rPr>
                <w:rFonts w:asciiTheme="minorHAnsi" w:hAnsiTheme="minorHAnsi"/>
                <w:color w:val="000000"/>
                <w:sz w:val="20"/>
                <w:szCs w:val="20"/>
              </w:rPr>
              <w:t>Bond Classification</w:t>
            </w:r>
          </w:p>
        </w:tc>
        <w:tc>
          <w:tcPr>
            <w:tcW w:w="4462" w:type="dxa"/>
            <w:gridSpan w:val="2"/>
          </w:tcPr>
          <w:p w14:paraId="3C209553"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Bond Characteristics</w:t>
            </w:r>
          </w:p>
        </w:tc>
      </w:tr>
      <w:tr w:rsidR="00215DCC" w:rsidRPr="00B55479" w14:paraId="51237E32" w14:textId="77777777" w:rsidTr="003A67F7">
        <w:trPr>
          <w:cantSplit/>
        </w:trPr>
        <w:tc>
          <w:tcPr>
            <w:tcW w:w="8730" w:type="dxa"/>
            <w:gridSpan w:val="5"/>
          </w:tcPr>
          <w:p w14:paraId="22D143D1"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i/>
                <w:color w:val="000000"/>
                <w:sz w:val="20"/>
                <w:szCs w:val="20"/>
              </w:rPr>
              <w:t>On the basis of collateral (assets):</w:t>
            </w:r>
          </w:p>
        </w:tc>
      </w:tr>
      <w:tr w:rsidR="00215DCC" w:rsidRPr="00B55479" w14:paraId="741E0329" w14:textId="77777777" w:rsidTr="003A67F7">
        <w:tc>
          <w:tcPr>
            <w:tcW w:w="450" w:type="dxa"/>
          </w:tcPr>
          <w:p w14:paraId="59AD12C3"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a.</w:t>
            </w:r>
          </w:p>
        </w:tc>
        <w:tc>
          <w:tcPr>
            <w:tcW w:w="3810" w:type="dxa"/>
          </w:tcPr>
          <w:p w14:paraId="5FB5B16F"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Unsecured bonds (called debentures).</w:t>
            </w:r>
          </w:p>
        </w:tc>
        <w:tc>
          <w:tcPr>
            <w:tcW w:w="446" w:type="dxa"/>
            <w:gridSpan w:val="2"/>
          </w:tcPr>
          <w:p w14:paraId="5864CD0F"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a.</w:t>
            </w:r>
          </w:p>
        </w:tc>
        <w:tc>
          <w:tcPr>
            <w:tcW w:w="4024" w:type="dxa"/>
          </w:tcPr>
          <w:p w14:paraId="2E1B9B35"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Bonds that do not include a mortgage or pledge of specific assets as a guarantee of repayment at maturity.</w:t>
            </w:r>
          </w:p>
        </w:tc>
      </w:tr>
      <w:tr w:rsidR="00215DCC" w:rsidRPr="00B55479" w14:paraId="4277C3DA" w14:textId="77777777" w:rsidTr="003A67F7">
        <w:tc>
          <w:tcPr>
            <w:tcW w:w="450" w:type="dxa"/>
          </w:tcPr>
          <w:p w14:paraId="3E6C43F7"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w:t>
            </w:r>
          </w:p>
        </w:tc>
        <w:tc>
          <w:tcPr>
            <w:tcW w:w="3810" w:type="dxa"/>
          </w:tcPr>
          <w:p w14:paraId="5A782F2C"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Secured bonds (often designated on the basis of the type of asset pledged, such as a real estate mortgage).</w:t>
            </w:r>
          </w:p>
        </w:tc>
        <w:tc>
          <w:tcPr>
            <w:tcW w:w="446" w:type="dxa"/>
            <w:gridSpan w:val="2"/>
          </w:tcPr>
          <w:p w14:paraId="4FB6A006"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w:t>
            </w:r>
          </w:p>
        </w:tc>
        <w:tc>
          <w:tcPr>
            <w:tcW w:w="4024" w:type="dxa"/>
          </w:tcPr>
          <w:p w14:paraId="2C25D561"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Bonds that include the pledge of specific assets as a guarantee of repayment at maturity.</w:t>
            </w:r>
          </w:p>
        </w:tc>
      </w:tr>
      <w:tr w:rsidR="00215DCC" w:rsidRPr="00B55479" w14:paraId="55B906E7" w14:textId="77777777" w:rsidTr="003A67F7">
        <w:trPr>
          <w:cantSplit/>
        </w:trPr>
        <w:tc>
          <w:tcPr>
            <w:tcW w:w="8730" w:type="dxa"/>
            <w:gridSpan w:val="5"/>
          </w:tcPr>
          <w:p w14:paraId="07A16554"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i/>
                <w:color w:val="000000"/>
                <w:sz w:val="20"/>
                <w:szCs w:val="20"/>
              </w:rPr>
              <w:t>On the basis of early retirement:</w:t>
            </w:r>
          </w:p>
        </w:tc>
      </w:tr>
      <w:tr w:rsidR="00215DCC" w:rsidRPr="00B55479" w14:paraId="20194826" w14:textId="77777777" w:rsidTr="003A67F7">
        <w:tc>
          <w:tcPr>
            <w:tcW w:w="450" w:type="dxa"/>
          </w:tcPr>
          <w:p w14:paraId="364ABF62"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a.</w:t>
            </w:r>
          </w:p>
        </w:tc>
        <w:tc>
          <w:tcPr>
            <w:tcW w:w="3810" w:type="dxa"/>
          </w:tcPr>
          <w:p w14:paraId="6C9CE8EB"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Callable bonds.</w:t>
            </w:r>
          </w:p>
        </w:tc>
        <w:tc>
          <w:tcPr>
            <w:tcW w:w="446" w:type="dxa"/>
            <w:gridSpan w:val="2"/>
          </w:tcPr>
          <w:p w14:paraId="5AA062CD"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a.</w:t>
            </w:r>
          </w:p>
        </w:tc>
        <w:tc>
          <w:tcPr>
            <w:tcW w:w="4024" w:type="dxa"/>
          </w:tcPr>
          <w:p w14:paraId="55FB2DCF"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Bonds that may be called for early retirement at the option of the issuer.</w:t>
            </w:r>
          </w:p>
        </w:tc>
      </w:tr>
      <w:tr w:rsidR="00215DCC" w:rsidRPr="00B55479" w14:paraId="088A5F27" w14:textId="77777777" w:rsidTr="003A67F7">
        <w:tc>
          <w:tcPr>
            <w:tcW w:w="450" w:type="dxa"/>
          </w:tcPr>
          <w:p w14:paraId="04F1AD81"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w:t>
            </w:r>
          </w:p>
        </w:tc>
        <w:tc>
          <w:tcPr>
            <w:tcW w:w="3810" w:type="dxa"/>
          </w:tcPr>
          <w:p w14:paraId="4699DD38"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Convertible bonds.</w:t>
            </w:r>
          </w:p>
        </w:tc>
        <w:tc>
          <w:tcPr>
            <w:tcW w:w="446" w:type="dxa"/>
            <w:gridSpan w:val="2"/>
          </w:tcPr>
          <w:p w14:paraId="17C87F65"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w:t>
            </w:r>
          </w:p>
        </w:tc>
        <w:tc>
          <w:tcPr>
            <w:tcW w:w="4024" w:type="dxa"/>
          </w:tcPr>
          <w:p w14:paraId="01CBF533" w14:textId="77777777" w:rsidR="00215DCC" w:rsidRPr="00B55479" w:rsidRDefault="00215DCC" w:rsidP="00215DCC">
            <w:pPr>
              <w:tabs>
                <w:tab w:val="left" w:pos="244"/>
                <w:tab w:val="left" w:pos="720"/>
                <w:tab w:val="left" w:pos="1051"/>
                <w:tab w:val="left" w:pos="1339"/>
                <w:tab w:val="left" w:pos="5400"/>
                <w:tab w:val="left" w:pos="6120"/>
              </w:tabs>
              <w:contextualSpacing/>
              <w:rPr>
                <w:rFonts w:asciiTheme="minorHAnsi" w:hAnsiTheme="minorHAnsi"/>
                <w:color w:val="000000"/>
                <w:sz w:val="20"/>
                <w:szCs w:val="20"/>
              </w:rPr>
            </w:pPr>
            <w:r w:rsidRPr="00B55479">
              <w:rPr>
                <w:rFonts w:asciiTheme="minorHAnsi" w:hAnsiTheme="minorHAnsi"/>
                <w:color w:val="000000"/>
                <w:sz w:val="20"/>
                <w:szCs w:val="20"/>
              </w:rPr>
              <w:t>Bonds that may be converted to other securities of the issuer (usually common stock) at the option of the bondholder.</w:t>
            </w:r>
          </w:p>
        </w:tc>
      </w:tr>
    </w:tbl>
    <w:p w14:paraId="3F71026F" w14:textId="77777777" w:rsidR="00215DCC" w:rsidRPr="00B55479" w:rsidRDefault="00215DCC" w:rsidP="00215DCC">
      <w:pPr>
        <w:pStyle w:val="LLSLevel2"/>
        <w:ind w:left="360"/>
        <w:contextualSpacing/>
        <w:rPr>
          <w:rFonts w:asciiTheme="minorHAnsi" w:hAnsiTheme="minorHAnsi"/>
          <w:sz w:val="20"/>
          <w:szCs w:val="20"/>
        </w:rPr>
      </w:pPr>
    </w:p>
    <w:p w14:paraId="6D772DAF" w14:textId="77777777" w:rsidR="00B55479" w:rsidRDefault="00B55479">
      <w:pPr>
        <w:spacing w:after="200" w:line="276" w:lineRule="auto"/>
        <w:rPr>
          <w:rFonts w:asciiTheme="minorHAnsi" w:hAnsiTheme="minorHAnsi"/>
          <w:sz w:val="20"/>
          <w:szCs w:val="20"/>
        </w:rPr>
      </w:pPr>
      <w:r>
        <w:rPr>
          <w:rFonts w:asciiTheme="minorHAnsi" w:hAnsiTheme="minorHAnsi"/>
          <w:szCs w:val="20"/>
        </w:rPr>
        <w:br w:type="page"/>
      </w:r>
    </w:p>
    <w:p w14:paraId="10208D89" w14:textId="77777777" w:rsidR="00215DCC" w:rsidRPr="00B55479" w:rsidRDefault="00215DCC" w:rsidP="00215DCC">
      <w:pPr>
        <w:pStyle w:val="a"/>
        <w:widowControl/>
        <w:numPr>
          <w:ilvl w:val="0"/>
          <w:numId w:val="1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lastRenderedPageBreak/>
        <w:t xml:space="preserve">The bond contract is called a bond indenture. </w:t>
      </w:r>
    </w:p>
    <w:p w14:paraId="4BE27718" w14:textId="77777777" w:rsidR="00215DCC" w:rsidRPr="00B55479" w:rsidRDefault="00215DCC" w:rsidP="00215DCC">
      <w:pPr>
        <w:pStyle w:val="IRMLevel2"/>
        <w:numPr>
          <w:ilvl w:val="0"/>
          <w:numId w:val="3"/>
        </w:numPr>
        <w:tabs>
          <w:tab w:val="clear" w:pos="720"/>
          <w:tab w:val="clear" w:pos="1800"/>
          <w:tab w:val="left" w:pos="1440"/>
        </w:tabs>
        <w:spacing w:after="0"/>
        <w:ind w:left="1440"/>
        <w:contextualSpacing/>
        <w:rPr>
          <w:rFonts w:asciiTheme="minorHAnsi" w:hAnsiTheme="minorHAnsi"/>
          <w:sz w:val="20"/>
          <w:szCs w:val="20"/>
        </w:rPr>
      </w:pPr>
      <w:r w:rsidRPr="00B55479">
        <w:rPr>
          <w:rFonts w:asciiTheme="minorHAnsi" w:hAnsiTheme="minorHAnsi"/>
          <w:sz w:val="20"/>
          <w:szCs w:val="20"/>
        </w:rPr>
        <w:t xml:space="preserve">This specifies the legal provisions of the bonds. </w:t>
      </w:r>
    </w:p>
    <w:p w14:paraId="49FFA1A5" w14:textId="77777777" w:rsidR="00215DCC" w:rsidRPr="00B55479" w:rsidRDefault="00215DCC" w:rsidP="00215DCC">
      <w:pPr>
        <w:pStyle w:val="IRMLevel2"/>
        <w:numPr>
          <w:ilvl w:val="0"/>
          <w:numId w:val="3"/>
        </w:numPr>
        <w:tabs>
          <w:tab w:val="clear" w:pos="720"/>
          <w:tab w:val="clear" w:pos="1800"/>
          <w:tab w:val="left" w:pos="1440"/>
        </w:tabs>
        <w:spacing w:after="0"/>
        <w:ind w:left="1440"/>
        <w:contextualSpacing/>
        <w:rPr>
          <w:rFonts w:asciiTheme="minorHAnsi" w:hAnsiTheme="minorHAnsi"/>
          <w:sz w:val="20"/>
          <w:szCs w:val="20"/>
        </w:rPr>
      </w:pPr>
      <w:r w:rsidRPr="00B55479">
        <w:rPr>
          <w:rFonts w:asciiTheme="minorHAnsi" w:hAnsiTheme="minorHAnsi"/>
          <w:sz w:val="20"/>
          <w:szCs w:val="20"/>
        </w:rPr>
        <w:t>May also contain covenants, which place restrictions on the issuing company. Covenants provide reduced risk for the creditors.</w:t>
      </w:r>
    </w:p>
    <w:p w14:paraId="6EE90D2E" w14:textId="77777777" w:rsidR="00215DCC" w:rsidRPr="00B55479" w:rsidRDefault="00215DCC" w:rsidP="00215DCC">
      <w:pPr>
        <w:pStyle w:val="a"/>
        <w:widowControl/>
        <w:numPr>
          <w:ilvl w:val="0"/>
          <w:numId w:val="1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investor in a bond receives a bond certificate, which specifies the maturity date, interest rate, interest dates, and other provisions.</w:t>
      </w:r>
    </w:p>
    <w:p w14:paraId="7DABA088" w14:textId="77777777" w:rsidR="00215DCC" w:rsidRPr="00B55479" w:rsidRDefault="00215DCC" w:rsidP="00215DCC">
      <w:pPr>
        <w:pStyle w:val="a"/>
        <w:widowControl/>
        <w:numPr>
          <w:ilvl w:val="0"/>
          <w:numId w:val="1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Other terminology associated with bond issues:</w:t>
      </w:r>
    </w:p>
    <w:p w14:paraId="3C3A8727" w14:textId="77777777" w:rsidR="00215DCC" w:rsidRPr="00B55479" w:rsidRDefault="00215DCC" w:rsidP="00215DCC">
      <w:pPr>
        <w:pStyle w:val="IRMLevel2"/>
        <w:numPr>
          <w:ilvl w:val="0"/>
          <w:numId w:val="11"/>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Bond principal (par value, face amount, maturity value) is the amount payable at the maturity date. This amount is used to compute periodic interest payments.</w:t>
      </w:r>
    </w:p>
    <w:p w14:paraId="2C5FC5DA" w14:textId="77777777" w:rsidR="00215DCC" w:rsidRPr="00B55479" w:rsidRDefault="00215DCC" w:rsidP="00215DCC">
      <w:pPr>
        <w:pStyle w:val="IRMLevel2"/>
        <w:numPr>
          <w:ilvl w:val="0"/>
          <w:numId w:val="11"/>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Stated rate is the rate of interest that will be paid on the bond principal.  This interest rate is “stated” in the bond.  The interest periods are usually annual or semiannual.</w:t>
      </w:r>
    </w:p>
    <w:p w14:paraId="7135F823" w14:textId="77777777" w:rsidR="00215DCC" w:rsidRPr="00B55479" w:rsidRDefault="00215DCC" w:rsidP="00215DCC">
      <w:pPr>
        <w:pStyle w:val="IRMLevel2"/>
        <w:numPr>
          <w:ilvl w:val="0"/>
          <w:numId w:val="11"/>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A prospectus is a legal document given to potential (prospective) bond investors. It describes the issuing company, the bonds, and how the proceeds of the bonds will be used.</w:t>
      </w:r>
    </w:p>
    <w:p w14:paraId="3E7D3C8B" w14:textId="77777777" w:rsidR="00215DCC" w:rsidRPr="00B55479" w:rsidRDefault="00215DCC" w:rsidP="00215DCC">
      <w:pPr>
        <w:pStyle w:val="IRMLevel2"/>
        <w:numPr>
          <w:ilvl w:val="0"/>
          <w:numId w:val="11"/>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A trustee (an independent party) is often appointed to represent the bondholders. A trustee's duties include ascertaining whether the issuing company fulfills all of the provisions of the bond indenture.</w:t>
      </w:r>
    </w:p>
    <w:p w14:paraId="658874A3" w14:textId="77777777" w:rsidR="00215DCC" w:rsidRPr="00B55479" w:rsidRDefault="00215DCC" w:rsidP="00215DCC">
      <w:pPr>
        <w:pStyle w:val="IRMLevel2"/>
        <w:numPr>
          <w:ilvl w:val="0"/>
          <w:numId w:val="0"/>
        </w:numPr>
        <w:tabs>
          <w:tab w:val="clear" w:pos="1800"/>
        </w:tabs>
        <w:spacing w:after="0"/>
        <w:ind w:left="720"/>
        <w:contextualSpacing/>
        <w:rPr>
          <w:rFonts w:asciiTheme="minorHAnsi" w:hAnsiTheme="minorHAnsi"/>
          <w:sz w:val="20"/>
          <w:szCs w:val="20"/>
        </w:rPr>
      </w:pPr>
    </w:p>
    <w:p w14:paraId="3EEF90BE" w14:textId="77777777" w:rsidR="00215DCC" w:rsidRPr="00B55479" w:rsidRDefault="00215DCC" w:rsidP="00215DCC">
      <w:pPr>
        <w:pStyle w:val="LLSLevel2"/>
        <w:numPr>
          <w:ilvl w:val="0"/>
          <w:numId w:val="7"/>
        </w:numPr>
        <w:contextualSpacing/>
        <w:rPr>
          <w:rFonts w:asciiTheme="minorHAnsi" w:hAnsiTheme="minorHAnsi"/>
          <w:sz w:val="20"/>
          <w:szCs w:val="20"/>
        </w:rPr>
      </w:pPr>
      <w:r w:rsidRPr="00B55479">
        <w:rPr>
          <w:rFonts w:asciiTheme="minorHAnsi" w:hAnsiTheme="minorHAnsi"/>
          <w:sz w:val="20"/>
          <w:szCs w:val="20"/>
        </w:rPr>
        <w:t>Reporting Bond Transactions</w:t>
      </w:r>
    </w:p>
    <w:p w14:paraId="0790A8B6" w14:textId="77777777" w:rsidR="00215DCC" w:rsidRPr="00B55479" w:rsidRDefault="00215DCC" w:rsidP="00215DCC">
      <w:pPr>
        <w:pStyle w:val="a"/>
        <w:widowControl/>
        <w:numPr>
          <w:ilvl w:val="0"/>
          <w:numId w:val="1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Corporate bond issues typically provide for two types of cash payments.</w:t>
      </w:r>
    </w:p>
    <w:p w14:paraId="53A4FFDE" w14:textId="77777777" w:rsidR="00215DCC" w:rsidRPr="00B55479" w:rsidRDefault="00215DCC" w:rsidP="00215DCC">
      <w:pPr>
        <w:pStyle w:val="IRMLevel2"/>
        <w:numPr>
          <w:ilvl w:val="0"/>
          <w:numId w:val="13"/>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The payment (many times a single payment) required when the bond matures is the principal.</w:t>
      </w:r>
    </w:p>
    <w:p w14:paraId="7BF8D8DD" w14:textId="77777777" w:rsidR="00215DCC" w:rsidRPr="00B55479" w:rsidRDefault="00215DCC" w:rsidP="00215DCC">
      <w:pPr>
        <w:pStyle w:val="IRMLevel2"/>
        <w:numPr>
          <w:ilvl w:val="0"/>
          <w:numId w:val="13"/>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Interest payments are usually required over the life of the bond issue annually or semiannually. These payments represent an annuity and are computed by applying the stated interest rate (contract rate or coupon rate) to the principal of the bond.</w:t>
      </w:r>
    </w:p>
    <w:p w14:paraId="14A481BC" w14:textId="77777777" w:rsidR="00215DCC" w:rsidRPr="00B55479" w:rsidRDefault="00A44D41" w:rsidP="00215DCC">
      <w:pPr>
        <w:tabs>
          <w:tab w:val="left" w:pos="244"/>
          <w:tab w:val="left" w:pos="720"/>
          <w:tab w:val="left" w:pos="1051"/>
          <w:tab w:val="left" w:pos="1339"/>
          <w:tab w:val="left" w:pos="5400"/>
          <w:tab w:val="left" w:pos="6120"/>
        </w:tabs>
        <w:ind w:left="2160" w:hanging="2160"/>
        <w:contextualSpacing/>
        <w:jc w:val="center"/>
        <w:rPr>
          <w:rFonts w:asciiTheme="minorHAnsi" w:hAnsiTheme="minorHAnsi"/>
          <w:color w:val="000000"/>
          <w:sz w:val="20"/>
          <w:szCs w:val="20"/>
        </w:rPr>
      </w:pPr>
      <w:r w:rsidRPr="00B55479">
        <w:rPr>
          <w:rFonts w:asciiTheme="minorHAnsi" w:hAnsiTheme="minorHAnsi"/>
          <w:color w:val="000000"/>
          <w:position w:val="-10"/>
          <w:sz w:val="20"/>
          <w:szCs w:val="20"/>
        </w:rPr>
        <w:object w:dxaOrig="31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35pt;height:16pt" o:ole="">
            <v:imagedata r:id="rId6" o:title=""/>
          </v:shape>
          <o:OLEObject Type="Embed" ProgID="Equation.3" ShapeID="_x0000_i1025" DrawAspect="Content" ObjectID="_1324380574" r:id="rId7"/>
        </w:object>
      </w:r>
    </w:p>
    <w:p w14:paraId="0611CEE9" w14:textId="77777777" w:rsidR="00215DCC" w:rsidRPr="00B55479" w:rsidRDefault="00215DCC" w:rsidP="00215DCC">
      <w:pPr>
        <w:pStyle w:val="a"/>
        <w:widowControl/>
        <w:numPr>
          <w:ilvl w:val="0"/>
          <w:numId w:val="1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Bonds may be sold at face value (par value) or at some amount above or below face value.</w:t>
      </w:r>
    </w:p>
    <w:p w14:paraId="743B6A4D" w14:textId="77777777" w:rsidR="00215DCC" w:rsidRPr="00B55479" w:rsidRDefault="00215DCC" w:rsidP="00215DCC">
      <w:pPr>
        <w:pStyle w:val="IRMLevel2"/>
        <w:numPr>
          <w:ilvl w:val="0"/>
          <w:numId w:val="14"/>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When a bond’s stated interest rate is less than the investors required rate of return (the market interest rate) they will be sold at a discount, an amount that is less than their face value.</w:t>
      </w:r>
    </w:p>
    <w:p w14:paraId="266A0BE1" w14:textId="77777777" w:rsidR="00215DCC" w:rsidRPr="00B55479" w:rsidRDefault="00215DCC" w:rsidP="00215DCC">
      <w:pPr>
        <w:pStyle w:val="IRMLevel2"/>
        <w:numPr>
          <w:ilvl w:val="0"/>
          <w:numId w:val="14"/>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When a bond’s stated interest rate is more than the investors required rate of return (the market interest rate), they will be sold at a premium, an amount that is more than their face value.</w:t>
      </w:r>
    </w:p>
    <w:p w14:paraId="4D566C9C" w14:textId="77777777" w:rsidR="00215DCC" w:rsidRPr="00B55479" w:rsidRDefault="00215DCC" w:rsidP="00215DCC">
      <w:pPr>
        <w:pStyle w:val="a"/>
        <w:widowControl/>
        <w:numPr>
          <w:ilvl w:val="0"/>
          <w:numId w:val="1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market interest rate (“yield” interest rate or “effective” rate) is the rate creditors demand to compensate them for the risks related to the bond investment.</w:t>
      </w:r>
    </w:p>
    <w:p w14:paraId="07918D85" w14:textId="77777777" w:rsidR="00215DCC" w:rsidRPr="00B55479" w:rsidRDefault="00215DCC" w:rsidP="00215DCC">
      <w:pPr>
        <w:pStyle w:val="a"/>
        <w:widowControl/>
        <w:numPr>
          <w:ilvl w:val="0"/>
          <w:numId w:val="1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market determines the price at which bonds will sell for. Using present value (PV) applications, two computations are required to determine the selling price of the bonds since two separate types of cash flows are usually associated with eventual bond payments.</w:t>
      </w:r>
    </w:p>
    <w:p w14:paraId="75EEC98E" w14:textId="77777777" w:rsidR="00215DCC" w:rsidRPr="00B55479" w:rsidRDefault="00215DCC" w:rsidP="00215DCC">
      <w:pPr>
        <w:pStyle w:val="IRMLevel2"/>
        <w:numPr>
          <w:ilvl w:val="0"/>
          <w:numId w:val="16"/>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Each interest payment (an annuity) to be made in the future is multiplied by the appropriate PV factor (based on the market rate of interest) to determine the PV of future interest payments.</w:t>
      </w:r>
    </w:p>
    <w:p w14:paraId="64B74D29" w14:textId="77777777" w:rsidR="00215DCC" w:rsidRPr="00B55479" w:rsidRDefault="00215DCC" w:rsidP="00215DCC">
      <w:pPr>
        <w:pStyle w:val="IRMLevel2"/>
        <w:numPr>
          <w:ilvl w:val="0"/>
          <w:numId w:val="16"/>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The principal of the bond (often a single payment) will be paid at the maturity date.  This amount is multiplied by the appropriate PV factor (based on the market rate of interest) to determine the PV of the future principal payment.</w:t>
      </w:r>
    </w:p>
    <w:p w14:paraId="67181268" w14:textId="77777777" w:rsidR="00215DCC" w:rsidRPr="00B55479" w:rsidRDefault="00215DCC" w:rsidP="00215DCC">
      <w:pPr>
        <w:pStyle w:val="IRMLevel2"/>
        <w:numPr>
          <w:ilvl w:val="0"/>
          <w:numId w:val="16"/>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The PV of future interest payments plus the PV of the principal payment equals the selling price of the bonds.</w:t>
      </w:r>
    </w:p>
    <w:p w14:paraId="21870AEE" w14:textId="77777777" w:rsidR="00215DCC" w:rsidRPr="00B55479" w:rsidRDefault="00215DCC" w:rsidP="00215DCC">
      <w:pPr>
        <w:pStyle w:val="a"/>
        <w:widowControl/>
        <w:numPr>
          <w:ilvl w:val="0"/>
          <w:numId w:val="1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Bonds sell at par if the stated rate equals the market rate of interest. If they do not sell at par, one of two possibilities exist:</w:t>
      </w:r>
    </w:p>
    <w:p w14:paraId="54BB1C8F" w14:textId="77777777" w:rsidR="00215DCC" w:rsidRPr="00B55479" w:rsidRDefault="00215DCC" w:rsidP="00215DCC">
      <w:pPr>
        <w:pStyle w:val="IRMLevel2"/>
        <w:numPr>
          <w:ilvl w:val="0"/>
          <w:numId w:val="17"/>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Bonds will sell at a discount if the PV of the bonds is below par (that is, if the market rate exceeds the stated rate of interest).</w:t>
      </w:r>
    </w:p>
    <w:p w14:paraId="29437A75" w14:textId="77777777" w:rsidR="00215DCC" w:rsidRPr="00B55479" w:rsidRDefault="00215DCC" w:rsidP="00215DCC">
      <w:pPr>
        <w:pStyle w:val="IRMLevel2"/>
        <w:numPr>
          <w:ilvl w:val="0"/>
          <w:numId w:val="17"/>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Bonds will sell at a premium if the PV of the bonds is above par (that is, if the stated rate exceeds the market rate of interest).</w:t>
      </w:r>
    </w:p>
    <w:p w14:paraId="1CBDB28C" w14:textId="77777777" w:rsidR="00215DCC" w:rsidRPr="00B55479" w:rsidRDefault="00215DCC" w:rsidP="00215DCC">
      <w:pPr>
        <w:pStyle w:val="a"/>
        <w:widowControl/>
        <w:numPr>
          <w:ilvl w:val="0"/>
          <w:numId w:val="1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Corporations do not care if bonds sell at par, a discount, or a premium. That is, bonds are "worth" their future cash flows based on the market rate of interest when they are sold. Discounts are not "bad" and premiums are not "good". They are simply realities of basic economic events.</w:t>
      </w:r>
    </w:p>
    <w:p w14:paraId="347768BF" w14:textId="77777777" w:rsidR="00E9106D" w:rsidRDefault="00E9106D" w:rsidP="00A44D41">
      <w:pPr>
        <w:spacing w:after="200" w:line="276" w:lineRule="auto"/>
        <w:rPr>
          <w:rFonts w:asciiTheme="minorHAnsi" w:hAnsiTheme="minorHAnsi"/>
          <w:sz w:val="20"/>
          <w:szCs w:val="20"/>
        </w:rPr>
      </w:pPr>
      <w:r>
        <w:rPr>
          <w:rFonts w:asciiTheme="minorHAnsi" w:hAnsiTheme="minorHAnsi"/>
          <w:sz w:val="20"/>
          <w:szCs w:val="20"/>
        </w:rPr>
        <w:br w:type="page"/>
      </w:r>
    </w:p>
    <w:p w14:paraId="63FA3097" w14:textId="77777777" w:rsidR="00215DCC" w:rsidRPr="00B55479" w:rsidRDefault="00215DCC" w:rsidP="00A44D41">
      <w:pPr>
        <w:spacing w:after="200" w:line="276" w:lineRule="auto"/>
        <w:rPr>
          <w:rFonts w:asciiTheme="minorHAnsi" w:hAnsiTheme="minorHAnsi"/>
          <w:b/>
          <w:bCs/>
          <w:sz w:val="20"/>
          <w:szCs w:val="20"/>
        </w:rPr>
      </w:pPr>
      <w:bookmarkStart w:id="3" w:name="_GoBack"/>
      <w:bookmarkEnd w:id="3"/>
      <w:r w:rsidRPr="00B55479">
        <w:rPr>
          <w:rFonts w:asciiTheme="minorHAnsi" w:hAnsiTheme="minorHAnsi"/>
          <w:sz w:val="20"/>
          <w:szCs w:val="20"/>
        </w:rPr>
        <w:lastRenderedPageBreak/>
        <w:t>LO2 REPORT BONDS PAYABLE AND INTEREST EXPENSE FOR BONDS SOLD AT PAR AND ANALYZE THE TIMES INTEREST EARNED RATIO.</w:t>
      </w:r>
    </w:p>
    <w:p w14:paraId="1026FC75" w14:textId="77777777" w:rsidR="00215DCC" w:rsidRPr="00B55479" w:rsidRDefault="00215DCC" w:rsidP="00215DCC">
      <w:pPr>
        <w:pStyle w:val="LLSLevel2"/>
        <w:numPr>
          <w:ilvl w:val="0"/>
          <w:numId w:val="6"/>
        </w:numPr>
        <w:contextualSpacing/>
        <w:rPr>
          <w:rFonts w:asciiTheme="minorHAnsi" w:hAnsiTheme="minorHAnsi"/>
          <w:sz w:val="20"/>
          <w:szCs w:val="20"/>
        </w:rPr>
      </w:pPr>
      <w:r w:rsidRPr="00B55479">
        <w:rPr>
          <w:rFonts w:asciiTheme="minorHAnsi" w:hAnsiTheme="minorHAnsi"/>
          <w:sz w:val="20"/>
          <w:szCs w:val="20"/>
        </w:rPr>
        <w:t>Bonds Issued at Par</w:t>
      </w:r>
    </w:p>
    <w:p w14:paraId="42AFC1B0" w14:textId="77777777" w:rsidR="00215DCC" w:rsidRPr="00B55479" w:rsidRDefault="00215DCC" w:rsidP="00215DCC">
      <w:pPr>
        <w:pStyle w:val="a"/>
        <w:widowControl/>
        <w:numPr>
          <w:ilvl w:val="0"/>
          <w:numId w:val="15"/>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Bonds sell at their par value when the stated interest rate on the bonds is the same as the market rate required by investors. </w:t>
      </w:r>
    </w:p>
    <w:p w14:paraId="6BA644B7" w14:textId="77777777" w:rsidR="00215DCC" w:rsidRPr="00B55479" w:rsidRDefault="00215DCC" w:rsidP="00215DCC">
      <w:pPr>
        <w:pStyle w:val="IRMLevel2"/>
        <w:numPr>
          <w:ilvl w:val="0"/>
          <w:numId w:val="18"/>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 xml:space="preserve">The reason is that the PV of the future cash flows associated with the bond is equal to the bond's par amount. </w:t>
      </w:r>
    </w:p>
    <w:p w14:paraId="64A72121" w14:textId="77777777" w:rsidR="00215DCC" w:rsidRPr="00B55479" w:rsidRDefault="00215DCC" w:rsidP="00215DCC">
      <w:pPr>
        <w:pStyle w:val="IRMLevel2"/>
        <w:numPr>
          <w:ilvl w:val="0"/>
          <w:numId w:val="18"/>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The bonds are sold “at 100”. This is 100% of the par value.</w:t>
      </w:r>
    </w:p>
    <w:p w14:paraId="7AAEEA8B" w14:textId="77777777" w:rsidR="00215DCC" w:rsidRPr="00B55479" w:rsidRDefault="00215DCC" w:rsidP="00215DCC">
      <w:pPr>
        <w:pStyle w:val="a"/>
        <w:widowControl/>
        <w:numPr>
          <w:ilvl w:val="0"/>
          <w:numId w:val="15"/>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To record bonds issued at par, cash is debited and bonds payable is credited for the principal amount.</w:t>
      </w:r>
    </w:p>
    <w:tbl>
      <w:tblPr>
        <w:tblW w:w="0" w:type="auto"/>
        <w:tblInd w:w="1188" w:type="dxa"/>
        <w:tblLook w:val="01E0" w:firstRow="1" w:lastRow="1" w:firstColumn="1" w:lastColumn="1" w:noHBand="0" w:noVBand="0"/>
      </w:tblPr>
      <w:tblGrid>
        <w:gridCol w:w="4320"/>
        <w:gridCol w:w="876"/>
        <w:gridCol w:w="834"/>
      </w:tblGrid>
      <w:tr w:rsidR="00215DCC" w:rsidRPr="00B55479" w14:paraId="270E23D3" w14:textId="77777777" w:rsidTr="003A67F7">
        <w:tc>
          <w:tcPr>
            <w:tcW w:w="4320" w:type="dxa"/>
          </w:tcPr>
          <w:p w14:paraId="2368C47E"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br w:type="page"/>
              <w:t>Cash</w:t>
            </w:r>
          </w:p>
        </w:tc>
        <w:tc>
          <w:tcPr>
            <w:tcW w:w="876" w:type="dxa"/>
          </w:tcPr>
          <w:p w14:paraId="0546E221"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c>
          <w:tcPr>
            <w:tcW w:w="834" w:type="dxa"/>
          </w:tcPr>
          <w:p w14:paraId="0B5DC2FD" w14:textId="77777777" w:rsidR="00215DCC" w:rsidRPr="00B55479" w:rsidRDefault="00215DCC" w:rsidP="00215DCC">
            <w:pPr>
              <w:pStyle w:val="LLSLevel2"/>
              <w:contextualSpacing/>
              <w:rPr>
                <w:rFonts w:asciiTheme="minorHAnsi" w:hAnsiTheme="minorHAnsi"/>
                <w:sz w:val="20"/>
                <w:szCs w:val="20"/>
              </w:rPr>
            </w:pPr>
          </w:p>
        </w:tc>
      </w:tr>
      <w:tr w:rsidR="00215DCC" w:rsidRPr="00B55479" w14:paraId="6069E2C6" w14:textId="77777777" w:rsidTr="003A67F7">
        <w:tc>
          <w:tcPr>
            <w:tcW w:w="4320" w:type="dxa"/>
          </w:tcPr>
          <w:p w14:paraId="64812D2B" w14:textId="77777777" w:rsidR="00215DCC" w:rsidRPr="00B55479" w:rsidRDefault="00215DCC" w:rsidP="00215DCC">
            <w:pPr>
              <w:pStyle w:val="LLSLevel2"/>
              <w:ind w:left="720"/>
              <w:contextualSpacing/>
              <w:rPr>
                <w:rFonts w:asciiTheme="minorHAnsi" w:hAnsiTheme="minorHAnsi"/>
                <w:sz w:val="20"/>
                <w:szCs w:val="20"/>
              </w:rPr>
            </w:pPr>
            <w:r w:rsidRPr="00B55479">
              <w:rPr>
                <w:rFonts w:asciiTheme="minorHAnsi" w:hAnsiTheme="minorHAnsi"/>
                <w:sz w:val="20"/>
                <w:szCs w:val="20"/>
              </w:rPr>
              <w:t>Bonds Payable</w:t>
            </w:r>
          </w:p>
        </w:tc>
        <w:tc>
          <w:tcPr>
            <w:tcW w:w="876" w:type="dxa"/>
          </w:tcPr>
          <w:p w14:paraId="4AAEAA74" w14:textId="77777777" w:rsidR="00215DCC" w:rsidRPr="00B55479" w:rsidRDefault="00215DCC" w:rsidP="00215DCC">
            <w:pPr>
              <w:pStyle w:val="LLSLevel2"/>
              <w:contextualSpacing/>
              <w:rPr>
                <w:rFonts w:asciiTheme="minorHAnsi" w:hAnsiTheme="minorHAnsi"/>
                <w:sz w:val="20"/>
                <w:szCs w:val="20"/>
              </w:rPr>
            </w:pPr>
          </w:p>
        </w:tc>
        <w:tc>
          <w:tcPr>
            <w:tcW w:w="834" w:type="dxa"/>
          </w:tcPr>
          <w:p w14:paraId="29CE0A32"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r>
    </w:tbl>
    <w:p w14:paraId="592DB220" w14:textId="77777777" w:rsidR="00215DCC" w:rsidRPr="00B55479" w:rsidRDefault="00215DCC" w:rsidP="00215DCC">
      <w:pPr>
        <w:pStyle w:val="LLSLevel2"/>
        <w:numPr>
          <w:ilvl w:val="0"/>
          <w:numId w:val="6"/>
        </w:numPr>
        <w:contextualSpacing/>
        <w:rPr>
          <w:rFonts w:asciiTheme="minorHAnsi" w:hAnsiTheme="minorHAnsi"/>
          <w:sz w:val="20"/>
          <w:szCs w:val="20"/>
        </w:rPr>
      </w:pPr>
      <w:r w:rsidRPr="00B55479">
        <w:rPr>
          <w:rFonts w:asciiTheme="minorHAnsi" w:hAnsiTheme="minorHAnsi"/>
          <w:sz w:val="20"/>
          <w:szCs w:val="20"/>
        </w:rPr>
        <w:t>Reporting interest</w:t>
      </w:r>
    </w:p>
    <w:p w14:paraId="49175A8E" w14:textId="77777777" w:rsidR="00215DCC" w:rsidRPr="00B55479" w:rsidRDefault="00215DCC" w:rsidP="00215DCC">
      <w:pPr>
        <w:pStyle w:val="a"/>
        <w:widowControl/>
        <w:numPr>
          <w:ilvl w:val="0"/>
          <w:numId w:val="19"/>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Interest Expense is reported on the Income Statement.</w:t>
      </w:r>
    </w:p>
    <w:p w14:paraId="1FF9C6C4" w14:textId="77777777" w:rsidR="00215DCC" w:rsidRPr="00B55479" w:rsidRDefault="00215DCC" w:rsidP="00215DCC">
      <w:pPr>
        <w:pStyle w:val="IRMLevel2"/>
        <w:numPr>
          <w:ilvl w:val="0"/>
          <w:numId w:val="20"/>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Since interest relates to financing, the interest related to the bond is not normally included in Operating Expenses.</w:t>
      </w:r>
    </w:p>
    <w:p w14:paraId="4C4B0420" w14:textId="77777777" w:rsidR="00215DCC" w:rsidRPr="00B55479" w:rsidRDefault="00215DCC" w:rsidP="00215DCC">
      <w:pPr>
        <w:pStyle w:val="IRMLevel2"/>
        <w:numPr>
          <w:ilvl w:val="0"/>
          <w:numId w:val="20"/>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Usually a deduction from “Income from Operations” – in the “Other Gains and Losses” section.</w:t>
      </w:r>
    </w:p>
    <w:p w14:paraId="74EA1EEE" w14:textId="77777777" w:rsidR="00215DCC" w:rsidRPr="00B55479" w:rsidRDefault="00215DCC" w:rsidP="00215DCC">
      <w:pPr>
        <w:pStyle w:val="a"/>
        <w:widowControl/>
        <w:numPr>
          <w:ilvl w:val="0"/>
          <w:numId w:val="19"/>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Interest payments require a debit to bond interest expense and a credit to cash in the same amount. Under the matching principle, bond interest expense must be recorded when incurred. Therefore, if a company's year-end differs from the end of an interest period, an adjusting entry is required.</w:t>
      </w:r>
    </w:p>
    <w:p w14:paraId="54B19276" w14:textId="77777777" w:rsidR="00215DCC" w:rsidRPr="00B55479" w:rsidRDefault="00215DCC" w:rsidP="00215DCC">
      <w:pPr>
        <w:pStyle w:val="a"/>
        <w:widowControl/>
        <w:numPr>
          <w:ilvl w:val="0"/>
          <w:numId w:val="19"/>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When bonds are issued at par, the bond interest expense is the same amount as cash payments for interest since the effective (market) interest rate and the stated rate are the same.</w:t>
      </w:r>
    </w:p>
    <w:p w14:paraId="3B4C9867" w14:textId="77777777" w:rsidR="00215DCC" w:rsidRPr="00B55479" w:rsidRDefault="00215DCC" w:rsidP="00215DCC">
      <w:pPr>
        <w:pStyle w:val="LLSLevel2"/>
        <w:numPr>
          <w:ilvl w:val="0"/>
          <w:numId w:val="6"/>
        </w:numPr>
        <w:contextualSpacing/>
        <w:rPr>
          <w:rFonts w:asciiTheme="minorHAnsi" w:hAnsiTheme="minorHAnsi"/>
          <w:sz w:val="20"/>
          <w:szCs w:val="20"/>
        </w:rPr>
      </w:pPr>
      <w:r w:rsidRPr="00B55479">
        <w:rPr>
          <w:rFonts w:asciiTheme="minorHAnsi" w:hAnsiTheme="minorHAnsi"/>
          <w:sz w:val="20"/>
          <w:szCs w:val="20"/>
        </w:rPr>
        <w:t>Times interest earned ratio</w:t>
      </w:r>
    </w:p>
    <w:p w14:paraId="047F719A" w14:textId="77777777" w:rsidR="00215DCC" w:rsidRPr="00B55479" w:rsidRDefault="00215DCC" w:rsidP="00215DCC">
      <w:pPr>
        <w:pStyle w:val="a"/>
        <w:widowControl/>
        <w:numPr>
          <w:ilvl w:val="0"/>
          <w:numId w:val="21"/>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A measure of solvency.</w:t>
      </w:r>
    </w:p>
    <w:p w14:paraId="2835CDAE" w14:textId="77777777" w:rsidR="00215DCC" w:rsidRPr="00B55479" w:rsidRDefault="00215DCC" w:rsidP="00215DCC">
      <w:pPr>
        <w:pStyle w:val="a"/>
        <w:widowControl/>
        <w:numPr>
          <w:ilvl w:val="0"/>
          <w:numId w:val="21"/>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Helps to answer the question: Is the company generating sufficient resources from its profit-making activities to meet its current interest obligations?</w:t>
      </w:r>
    </w:p>
    <w:p w14:paraId="3320508C" w14:textId="77777777" w:rsidR="00215DCC" w:rsidRPr="00B55479" w:rsidRDefault="00215DCC" w:rsidP="00215DCC">
      <w:pPr>
        <w:pStyle w:val="a"/>
        <w:widowControl/>
        <w:numPr>
          <w:ilvl w:val="0"/>
          <w:numId w:val="21"/>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Generally, a high times interest earned ratio is viewed more favorably than a low one.</w:t>
      </w:r>
    </w:p>
    <w:p w14:paraId="79BED782" w14:textId="77777777" w:rsidR="00215DCC" w:rsidRPr="00B55479" w:rsidRDefault="00A44D41" w:rsidP="00215DCC">
      <w:pPr>
        <w:pStyle w:val="IRMLevel1"/>
        <w:numPr>
          <w:ilvl w:val="0"/>
          <w:numId w:val="0"/>
        </w:numPr>
        <w:spacing w:after="0"/>
        <w:contextualSpacing/>
        <w:jc w:val="center"/>
        <w:rPr>
          <w:rFonts w:asciiTheme="minorHAnsi" w:hAnsiTheme="minorHAnsi"/>
          <w:b w:val="0"/>
          <w:bCs w:val="0"/>
          <w:sz w:val="20"/>
          <w:szCs w:val="20"/>
        </w:rPr>
      </w:pPr>
      <w:r w:rsidRPr="00B55479">
        <w:rPr>
          <w:rFonts w:asciiTheme="minorHAnsi" w:hAnsiTheme="minorHAnsi"/>
          <w:b w:val="0"/>
          <w:bCs w:val="0"/>
          <w:position w:val="-28"/>
          <w:sz w:val="20"/>
          <w:szCs w:val="20"/>
        </w:rPr>
        <w:object w:dxaOrig="7420" w:dyaOrig="660">
          <v:shape id="_x0000_i1026" type="#_x0000_t75" style="width:370.65pt;height:33.35pt" o:ole="">
            <v:imagedata r:id="rId8" o:title=""/>
          </v:shape>
          <o:OLEObject Type="Embed" ProgID="Equation.3" ShapeID="_x0000_i1026" DrawAspect="Content" ObjectID="_1324380575" r:id="rId9"/>
        </w:object>
      </w:r>
    </w:p>
    <w:p w14:paraId="295E8F76" w14:textId="77777777" w:rsidR="00215DCC" w:rsidRPr="00B55479" w:rsidRDefault="00215DCC" w:rsidP="00215DCC">
      <w:pPr>
        <w:pStyle w:val="LLSLevel2"/>
        <w:contextualSpacing/>
        <w:rPr>
          <w:rFonts w:asciiTheme="minorHAnsi" w:hAnsiTheme="minorHAnsi"/>
          <w:sz w:val="20"/>
          <w:szCs w:val="20"/>
        </w:rPr>
      </w:pPr>
    </w:p>
    <w:p w14:paraId="2BB277A9" w14:textId="77777777" w:rsidR="00215DCC" w:rsidRPr="00B55479" w:rsidRDefault="00215DCC" w:rsidP="00215DCC">
      <w:pPr>
        <w:pStyle w:val="IRMLevel1"/>
        <w:numPr>
          <w:ilvl w:val="0"/>
          <w:numId w:val="2"/>
        </w:numPr>
        <w:tabs>
          <w:tab w:val="clear" w:pos="360"/>
          <w:tab w:val="num" w:pos="630"/>
        </w:tabs>
        <w:spacing w:after="0"/>
        <w:ind w:left="1170" w:hanging="1170"/>
        <w:contextualSpacing/>
        <w:rPr>
          <w:rFonts w:asciiTheme="minorHAnsi" w:hAnsiTheme="minorHAnsi"/>
          <w:b w:val="0"/>
          <w:bCs w:val="0"/>
          <w:sz w:val="20"/>
          <w:szCs w:val="20"/>
        </w:rPr>
      </w:pPr>
      <w:r w:rsidRPr="00B55479">
        <w:rPr>
          <w:rFonts w:asciiTheme="minorHAnsi" w:hAnsiTheme="minorHAnsi"/>
          <w:b w:val="0"/>
          <w:bCs w:val="0"/>
          <w:sz w:val="20"/>
          <w:szCs w:val="20"/>
        </w:rPr>
        <w:t>LO3 REPORT BONDS PAYABLE AND INTEREST EXPENSE FOR BONDS SOLD AT A DISCOUNT.</w:t>
      </w:r>
    </w:p>
    <w:p w14:paraId="78A56768" w14:textId="77777777" w:rsidR="00215DCC" w:rsidRPr="00B55479" w:rsidRDefault="00215DCC" w:rsidP="00215DCC">
      <w:pPr>
        <w:pStyle w:val="LLSLevel2"/>
        <w:numPr>
          <w:ilvl w:val="0"/>
          <w:numId w:val="22"/>
        </w:numPr>
        <w:contextualSpacing/>
        <w:rPr>
          <w:rFonts w:asciiTheme="minorHAnsi" w:hAnsiTheme="minorHAnsi"/>
          <w:sz w:val="20"/>
          <w:szCs w:val="20"/>
        </w:rPr>
      </w:pPr>
      <w:r w:rsidRPr="00B55479">
        <w:rPr>
          <w:rFonts w:asciiTheme="minorHAnsi" w:hAnsiTheme="minorHAnsi"/>
          <w:sz w:val="20"/>
          <w:szCs w:val="20"/>
        </w:rPr>
        <w:t xml:space="preserve">Bonds sell at a discount (below par) when the stated interest rate on the bonds is less than the market rate required by investors. </w:t>
      </w:r>
    </w:p>
    <w:p w14:paraId="7C7CF8E3" w14:textId="77777777" w:rsidR="00215DCC" w:rsidRPr="00B55479" w:rsidRDefault="00215DCC" w:rsidP="00215DCC">
      <w:pPr>
        <w:pStyle w:val="a"/>
        <w:widowControl/>
        <w:numPr>
          <w:ilvl w:val="0"/>
          <w:numId w:val="23"/>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The reason is that the PV (based on the market rate) of the future cash flows associated with the bonds is less than the </w:t>
      </w:r>
      <w:proofErr w:type="spellStart"/>
      <w:r w:rsidRPr="00B55479">
        <w:rPr>
          <w:rFonts w:asciiTheme="minorHAnsi" w:hAnsiTheme="minorHAnsi"/>
          <w:szCs w:val="20"/>
        </w:rPr>
        <w:t>par amount</w:t>
      </w:r>
      <w:proofErr w:type="spellEnd"/>
      <w:r w:rsidRPr="00B55479">
        <w:rPr>
          <w:rFonts w:asciiTheme="minorHAnsi" w:hAnsiTheme="minorHAnsi"/>
          <w:szCs w:val="20"/>
        </w:rPr>
        <w:t xml:space="preserve">. </w:t>
      </w:r>
    </w:p>
    <w:p w14:paraId="61652342" w14:textId="77777777" w:rsidR="00215DCC" w:rsidRPr="00B55479" w:rsidRDefault="00215DCC" w:rsidP="00215DCC">
      <w:pPr>
        <w:pStyle w:val="a"/>
        <w:widowControl/>
        <w:numPr>
          <w:ilvl w:val="0"/>
          <w:numId w:val="23"/>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The bonds are sold at </w:t>
      </w:r>
      <w:r w:rsidRPr="00B55479">
        <w:rPr>
          <w:rFonts w:asciiTheme="minorHAnsi" w:hAnsiTheme="minorHAnsi"/>
          <w:i/>
          <w:iCs/>
          <w:szCs w:val="20"/>
        </w:rPr>
        <w:t>less than</w:t>
      </w:r>
      <w:r w:rsidRPr="00B55479">
        <w:rPr>
          <w:rFonts w:asciiTheme="minorHAnsi" w:hAnsiTheme="minorHAnsi"/>
          <w:szCs w:val="20"/>
        </w:rPr>
        <w:t xml:space="preserve"> 100. That is, they are sold at </w:t>
      </w:r>
      <w:r w:rsidRPr="00B55479">
        <w:rPr>
          <w:rFonts w:asciiTheme="minorHAnsi" w:hAnsiTheme="minorHAnsi"/>
          <w:i/>
          <w:iCs/>
          <w:szCs w:val="20"/>
        </w:rPr>
        <w:t>less than</w:t>
      </w:r>
      <w:r w:rsidRPr="00B55479">
        <w:rPr>
          <w:rFonts w:asciiTheme="minorHAnsi" w:hAnsiTheme="minorHAnsi"/>
          <w:szCs w:val="20"/>
        </w:rPr>
        <w:t xml:space="preserve"> 100% of par value. (For example, their price may be stated as 99 or 98.5, which is less than 100.)</w:t>
      </w:r>
    </w:p>
    <w:p w14:paraId="0006927E" w14:textId="77777777" w:rsidR="00215DCC" w:rsidRPr="00B55479" w:rsidRDefault="00215DCC" w:rsidP="00215DCC">
      <w:pPr>
        <w:pStyle w:val="LLSLevel2"/>
        <w:numPr>
          <w:ilvl w:val="0"/>
          <w:numId w:val="22"/>
        </w:numPr>
        <w:contextualSpacing/>
        <w:rPr>
          <w:rFonts w:asciiTheme="minorHAnsi" w:hAnsiTheme="minorHAnsi"/>
          <w:sz w:val="20"/>
          <w:szCs w:val="20"/>
        </w:rPr>
      </w:pPr>
      <w:r w:rsidRPr="00B55479">
        <w:rPr>
          <w:rFonts w:asciiTheme="minorHAnsi" w:hAnsiTheme="minorHAnsi"/>
          <w:sz w:val="20"/>
          <w:szCs w:val="20"/>
        </w:rPr>
        <w:t>Recording bonds issued at a discount:</w:t>
      </w:r>
    </w:p>
    <w:p w14:paraId="172E9463" w14:textId="77777777" w:rsidR="00215DCC" w:rsidRPr="00B55479" w:rsidRDefault="00215DCC" w:rsidP="00215DCC">
      <w:pPr>
        <w:pStyle w:val="a"/>
        <w:widowControl/>
        <w:numPr>
          <w:ilvl w:val="0"/>
          <w:numId w:val="24"/>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Cash is debited for the selling price (PV of future cash flows associated with the bond for principal and interest). </w:t>
      </w:r>
    </w:p>
    <w:p w14:paraId="70FF5EAC" w14:textId="77777777" w:rsidR="00215DCC" w:rsidRPr="00B55479" w:rsidRDefault="00215DCC" w:rsidP="00215DCC">
      <w:pPr>
        <w:pStyle w:val="a"/>
        <w:widowControl/>
        <w:numPr>
          <w:ilvl w:val="0"/>
          <w:numId w:val="24"/>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Bonds payable is credited for the par value of the bonds (the amount to be paid at the maturity date). </w:t>
      </w:r>
    </w:p>
    <w:p w14:paraId="0FDFE9A3" w14:textId="77777777" w:rsidR="00215DCC" w:rsidRPr="00B55479" w:rsidRDefault="00215DCC" w:rsidP="00215DCC">
      <w:pPr>
        <w:pStyle w:val="a"/>
        <w:widowControl/>
        <w:numPr>
          <w:ilvl w:val="0"/>
          <w:numId w:val="24"/>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The discount is the difference of the debit to cash and the credit to bond payable. This difference is debited to the Discount on Bonds Payable account (a contra liability account). </w:t>
      </w:r>
    </w:p>
    <w:tbl>
      <w:tblPr>
        <w:tblW w:w="0" w:type="auto"/>
        <w:tblInd w:w="1188" w:type="dxa"/>
        <w:tblLook w:val="01E0" w:firstRow="1" w:lastRow="1" w:firstColumn="1" w:lastColumn="1" w:noHBand="0" w:noVBand="0"/>
      </w:tblPr>
      <w:tblGrid>
        <w:gridCol w:w="4320"/>
        <w:gridCol w:w="876"/>
        <w:gridCol w:w="834"/>
      </w:tblGrid>
      <w:tr w:rsidR="00215DCC" w:rsidRPr="00B55479" w14:paraId="30BE4E41" w14:textId="77777777" w:rsidTr="003A67F7">
        <w:tc>
          <w:tcPr>
            <w:tcW w:w="4320" w:type="dxa"/>
          </w:tcPr>
          <w:p w14:paraId="1C12CAF0"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Cash</w:t>
            </w:r>
          </w:p>
        </w:tc>
        <w:tc>
          <w:tcPr>
            <w:tcW w:w="876" w:type="dxa"/>
          </w:tcPr>
          <w:p w14:paraId="18001FEC"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c>
          <w:tcPr>
            <w:tcW w:w="834" w:type="dxa"/>
          </w:tcPr>
          <w:p w14:paraId="57D56631" w14:textId="77777777" w:rsidR="00215DCC" w:rsidRPr="00B55479" w:rsidRDefault="00215DCC" w:rsidP="00215DCC">
            <w:pPr>
              <w:pStyle w:val="LLSLevel2"/>
              <w:contextualSpacing/>
              <w:rPr>
                <w:rFonts w:asciiTheme="minorHAnsi" w:hAnsiTheme="minorHAnsi"/>
                <w:sz w:val="20"/>
                <w:szCs w:val="20"/>
              </w:rPr>
            </w:pPr>
          </w:p>
        </w:tc>
      </w:tr>
      <w:tr w:rsidR="00215DCC" w:rsidRPr="00B55479" w14:paraId="2A454C8B" w14:textId="77777777" w:rsidTr="003A67F7">
        <w:tc>
          <w:tcPr>
            <w:tcW w:w="4320" w:type="dxa"/>
          </w:tcPr>
          <w:p w14:paraId="0FCCCF09"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Discount on Bonds Payable</w:t>
            </w:r>
          </w:p>
        </w:tc>
        <w:tc>
          <w:tcPr>
            <w:tcW w:w="876" w:type="dxa"/>
          </w:tcPr>
          <w:p w14:paraId="3F2F4152"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c>
          <w:tcPr>
            <w:tcW w:w="834" w:type="dxa"/>
          </w:tcPr>
          <w:p w14:paraId="12E9B159" w14:textId="77777777" w:rsidR="00215DCC" w:rsidRPr="00B55479" w:rsidRDefault="00215DCC" w:rsidP="00215DCC">
            <w:pPr>
              <w:pStyle w:val="LLSLevel2"/>
              <w:contextualSpacing/>
              <w:rPr>
                <w:rFonts w:asciiTheme="minorHAnsi" w:hAnsiTheme="minorHAnsi"/>
                <w:sz w:val="20"/>
                <w:szCs w:val="20"/>
              </w:rPr>
            </w:pPr>
          </w:p>
        </w:tc>
      </w:tr>
      <w:tr w:rsidR="00215DCC" w:rsidRPr="00B55479" w14:paraId="262A3525" w14:textId="77777777" w:rsidTr="003A67F7">
        <w:tc>
          <w:tcPr>
            <w:tcW w:w="4320" w:type="dxa"/>
          </w:tcPr>
          <w:p w14:paraId="3F964697" w14:textId="77777777" w:rsidR="00215DCC" w:rsidRPr="00B55479" w:rsidRDefault="00215DCC" w:rsidP="00215DCC">
            <w:pPr>
              <w:pStyle w:val="LLSLevel2"/>
              <w:ind w:left="720"/>
              <w:contextualSpacing/>
              <w:rPr>
                <w:rFonts w:asciiTheme="minorHAnsi" w:hAnsiTheme="minorHAnsi"/>
                <w:sz w:val="20"/>
                <w:szCs w:val="20"/>
              </w:rPr>
            </w:pPr>
            <w:r w:rsidRPr="00B55479">
              <w:rPr>
                <w:rFonts w:asciiTheme="minorHAnsi" w:hAnsiTheme="minorHAnsi"/>
                <w:sz w:val="20"/>
                <w:szCs w:val="20"/>
              </w:rPr>
              <w:t>Bonds Payable</w:t>
            </w:r>
          </w:p>
        </w:tc>
        <w:tc>
          <w:tcPr>
            <w:tcW w:w="876" w:type="dxa"/>
          </w:tcPr>
          <w:p w14:paraId="031EDD62" w14:textId="77777777" w:rsidR="00215DCC" w:rsidRPr="00B55479" w:rsidRDefault="00215DCC" w:rsidP="00215DCC">
            <w:pPr>
              <w:pStyle w:val="LLSLevel2"/>
              <w:contextualSpacing/>
              <w:rPr>
                <w:rFonts w:asciiTheme="minorHAnsi" w:hAnsiTheme="minorHAnsi"/>
                <w:sz w:val="20"/>
                <w:szCs w:val="20"/>
              </w:rPr>
            </w:pPr>
          </w:p>
        </w:tc>
        <w:tc>
          <w:tcPr>
            <w:tcW w:w="834" w:type="dxa"/>
          </w:tcPr>
          <w:p w14:paraId="521FB9DD"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r>
    </w:tbl>
    <w:p w14:paraId="3C459F76" w14:textId="77777777" w:rsidR="00215DCC" w:rsidRPr="00B55479" w:rsidRDefault="00215DCC" w:rsidP="00215DCC">
      <w:pPr>
        <w:pStyle w:val="a"/>
        <w:widowControl/>
        <w:tabs>
          <w:tab w:val="right" w:pos="720"/>
          <w:tab w:val="left" w:pos="1440"/>
          <w:tab w:val="left" w:pos="1800"/>
          <w:tab w:val="left" w:pos="6840"/>
        </w:tabs>
        <w:contextualSpacing/>
        <w:rPr>
          <w:rFonts w:asciiTheme="minorHAnsi" w:hAnsiTheme="minorHAnsi"/>
          <w:szCs w:val="20"/>
        </w:rPr>
      </w:pPr>
    </w:p>
    <w:p w14:paraId="56035599" w14:textId="77777777" w:rsidR="00215DCC" w:rsidRPr="00B55479" w:rsidRDefault="00215DCC" w:rsidP="00215DCC">
      <w:pPr>
        <w:pStyle w:val="a"/>
        <w:widowControl/>
        <w:numPr>
          <w:ilvl w:val="0"/>
          <w:numId w:val="24"/>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balance sheet reports the bonds payable at the book value or carrying value (par value minus unamortized discount). At the maturity date, the carrying value will equal par (the payoff).</w:t>
      </w:r>
    </w:p>
    <w:p w14:paraId="58F79F5B" w14:textId="77777777" w:rsidR="00215DCC" w:rsidRPr="00B55479" w:rsidRDefault="00215DCC" w:rsidP="00215DCC">
      <w:pPr>
        <w:pStyle w:val="a"/>
        <w:widowControl/>
        <w:numPr>
          <w:ilvl w:val="0"/>
          <w:numId w:val="24"/>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bond discount will be amortized over the life of the bond using one of two methods:  straight-line or effective interest rate method of amortization.</w:t>
      </w:r>
    </w:p>
    <w:p w14:paraId="2EA9388E" w14:textId="77777777" w:rsidR="00215DCC" w:rsidRPr="00B55479" w:rsidRDefault="00215DCC" w:rsidP="00215DCC">
      <w:pPr>
        <w:pStyle w:val="LLSLevel2"/>
        <w:numPr>
          <w:ilvl w:val="0"/>
          <w:numId w:val="22"/>
        </w:numPr>
        <w:contextualSpacing/>
        <w:rPr>
          <w:rFonts w:asciiTheme="minorHAnsi" w:hAnsiTheme="minorHAnsi"/>
          <w:sz w:val="20"/>
          <w:szCs w:val="20"/>
        </w:rPr>
      </w:pPr>
      <w:r w:rsidRPr="00B55479">
        <w:rPr>
          <w:rFonts w:asciiTheme="minorHAnsi" w:hAnsiTheme="minorHAnsi"/>
          <w:sz w:val="20"/>
          <w:szCs w:val="20"/>
        </w:rPr>
        <w:t>Reporting Interest Expense on Bonds Issued at a Discount Using Straight-Line Amortization</w:t>
      </w:r>
    </w:p>
    <w:p w14:paraId="2CEB78E7" w14:textId="77777777" w:rsidR="00215DCC" w:rsidRPr="00B55479" w:rsidRDefault="00215DCC" w:rsidP="00215DCC">
      <w:pPr>
        <w:pStyle w:val="a"/>
        <w:widowControl/>
        <w:numPr>
          <w:ilvl w:val="0"/>
          <w:numId w:val="25"/>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Interest payments require a debit to bond interest expense, which is </w:t>
      </w:r>
      <w:r w:rsidRPr="00B55479">
        <w:rPr>
          <w:rFonts w:asciiTheme="minorHAnsi" w:hAnsiTheme="minorHAnsi"/>
          <w:i/>
          <w:iCs/>
          <w:szCs w:val="20"/>
        </w:rPr>
        <w:t>greater</w:t>
      </w:r>
      <w:r w:rsidRPr="00B55479">
        <w:rPr>
          <w:rFonts w:asciiTheme="minorHAnsi" w:hAnsiTheme="minorHAnsi"/>
          <w:szCs w:val="20"/>
        </w:rPr>
        <w:t xml:space="preserve"> than the cash payment for interest. </w:t>
      </w:r>
    </w:p>
    <w:p w14:paraId="6089FD2C" w14:textId="77777777" w:rsidR="00215DCC" w:rsidRPr="00B55479" w:rsidRDefault="00215DCC" w:rsidP="00215DCC">
      <w:pPr>
        <w:pStyle w:val="IRMLevel2"/>
        <w:numPr>
          <w:ilvl w:val="0"/>
          <w:numId w:val="26"/>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lastRenderedPageBreak/>
        <w:t xml:space="preserve">Using the straight-line amortization method, an equal amount (initial discount divided by the number of interest periods) of discount is credited to the Discount on Bonds Payable account. </w:t>
      </w:r>
    </w:p>
    <w:p w14:paraId="28C27739" w14:textId="77777777" w:rsidR="00215DCC" w:rsidRPr="00B55479" w:rsidRDefault="00215DCC" w:rsidP="00215DCC">
      <w:pPr>
        <w:pStyle w:val="IRMLevel2"/>
        <w:numPr>
          <w:ilvl w:val="0"/>
          <w:numId w:val="0"/>
        </w:numPr>
        <w:tabs>
          <w:tab w:val="clear" w:pos="1800"/>
        </w:tabs>
        <w:spacing w:after="0"/>
        <w:ind w:left="1440" w:hanging="360"/>
        <w:contextualSpacing/>
        <w:rPr>
          <w:rFonts w:asciiTheme="minorHAnsi" w:hAnsiTheme="minorHAnsi"/>
          <w:sz w:val="20"/>
          <w:szCs w:val="20"/>
        </w:rPr>
      </w:pPr>
    </w:p>
    <w:tbl>
      <w:tblPr>
        <w:tblW w:w="0" w:type="auto"/>
        <w:tblInd w:w="1188" w:type="dxa"/>
        <w:tblLook w:val="01E0" w:firstRow="1" w:lastRow="1" w:firstColumn="1" w:lastColumn="1" w:noHBand="0" w:noVBand="0"/>
      </w:tblPr>
      <w:tblGrid>
        <w:gridCol w:w="4320"/>
        <w:gridCol w:w="876"/>
        <w:gridCol w:w="834"/>
      </w:tblGrid>
      <w:tr w:rsidR="00215DCC" w:rsidRPr="00B55479" w14:paraId="758A32E2" w14:textId="77777777" w:rsidTr="003A67F7">
        <w:tc>
          <w:tcPr>
            <w:tcW w:w="4320" w:type="dxa"/>
          </w:tcPr>
          <w:p w14:paraId="4764914F"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Bond Interest Expense</w:t>
            </w:r>
          </w:p>
        </w:tc>
        <w:tc>
          <w:tcPr>
            <w:tcW w:w="876" w:type="dxa"/>
          </w:tcPr>
          <w:p w14:paraId="7827681A"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c>
          <w:tcPr>
            <w:tcW w:w="834" w:type="dxa"/>
          </w:tcPr>
          <w:p w14:paraId="1AD19693" w14:textId="77777777" w:rsidR="00215DCC" w:rsidRPr="00B55479" w:rsidRDefault="00215DCC" w:rsidP="00215DCC">
            <w:pPr>
              <w:pStyle w:val="LLSLevel2"/>
              <w:contextualSpacing/>
              <w:rPr>
                <w:rFonts w:asciiTheme="minorHAnsi" w:hAnsiTheme="minorHAnsi"/>
                <w:sz w:val="20"/>
                <w:szCs w:val="20"/>
              </w:rPr>
            </w:pPr>
          </w:p>
        </w:tc>
      </w:tr>
      <w:tr w:rsidR="00215DCC" w:rsidRPr="00B55479" w14:paraId="456BF7DF" w14:textId="77777777" w:rsidTr="003A67F7">
        <w:tc>
          <w:tcPr>
            <w:tcW w:w="4320" w:type="dxa"/>
          </w:tcPr>
          <w:p w14:paraId="51CEEBC1" w14:textId="77777777" w:rsidR="00215DCC" w:rsidRPr="00B55479" w:rsidRDefault="00215DCC" w:rsidP="00215DCC">
            <w:pPr>
              <w:pStyle w:val="LLSLevel2"/>
              <w:ind w:left="720"/>
              <w:contextualSpacing/>
              <w:rPr>
                <w:rFonts w:asciiTheme="minorHAnsi" w:hAnsiTheme="minorHAnsi"/>
                <w:sz w:val="20"/>
                <w:szCs w:val="20"/>
              </w:rPr>
            </w:pPr>
            <w:r w:rsidRPr="00B55479">
              <w:rPr>
                <w:rFonts w:asciiTheme="minorHAnsi" w:hAnsiTheme="minorHAnsi"/>
                <w:sz w:val="20"/>
                <w:szCs w:val="20"/>
              </w:rPr>
              <w:t>Discount on Bonds Payable</w:t>
            </w:r>
          </w:p>
        </w:tc>
        <w:tc>
          <w:tcPr>
            <w:tcW w:w="876" w:type="dxa"/>
          </w:tcPr>
          <w:p w14:paraId="0A373B49" w14:textId="77777777" w:rsidR="00215DCC" w:rsidRPr="00B55479" w:rsidRDefault="00215DCC" w:rsidP="00215DCC">
            <w:pPr>
              <w:pStyle w:val="LLSLevel2"/>
              <w:contextualSpacing/>
              <w:rPr>
                <w:rFonts w:asciiTheme="minorHAnsi" w:hAnsiTheme="minorHAnsi"/>
                <w:sz w:val="20"/>
                <w:szCs w:val="20"/>
              </w:rPr>
            </w:pPr>
          </w:p>
        </w:tc>
        <w:tc>
          <w:tcPr>
            <w:tcW w:w="834" w:type="dxa"/>
          </w:tcPr>
          <w:p w14:paraId="03EA0FC7"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r>
      <w:tr w:rsidR="00215DCC" w:rsidRPr="00B55479" w14:paraId="6227921A" w14:textId="77777777" w:rsidTr="003A67F7">
        <w:tc>
          <w:tcPr>
            <w:tcW w:w="4320" w:type="dxa"/>
          </w:tcPr>
          <w:p w14:paraId="5A10F0CA" w14:textId="77777777" w:rsidR="00215DCC" w:rsidRPr="00B55479" w:rsidRDefault="00215DCC" w:rsidP="00215DCC">
            <w:pPr>
              <w:pStyle w:val="LLSLevel2"/>
              <w:ind w:left="720"/>
              <w:contextualSpacing/>
              <w:rPr>
                <w:rFonts w:asciiTheme="minorHAnsi" w:hAnsiTheme="minorHAnsi"/>
                <w:sz w:val="20"/>
                <w:szCs w:val="20"/>
              </w:rPr>
            </w:pPr>
            <w:r w:rsidRPr="00B55479">
              <w:rPr>
                <w:rFonts w:asciiTheme="minorHAnsi" w:hAnsiTheme="minorHAnsi"/>
                <w:sz w:val="20"/>
                <w:szCs w:val="20"/>
              </w:rPr>
              <w:t>Cash</w:t>
            </w:r>
          </w:p>
        </w:tc>
        <w:tc>
          <w:tcPr>
            <w:tcW w:w="876" w:type="dxa"/>
          </w:tcPr>
          <w:p w14:paraId="56F259DC" w14:textId="77777777" w:rsidR="00215DCC" w:rsidRPr="00B55479" w:rsidRDefault="00215DCC" w:rsidP="00215DCC">
            <w:pPr>
              <w:pStyle w:val="LLSLevel2"/>
              <w:contextualSpacing/>
              <w:rPr>
                <w:rFonts w:asciiTheme="minorHAnsi" w:hAnsiTheme="minorHAnsi"/>
                <w:sz w:val="20"/>
                <w:szCs w:val="20"/>
              </w:rPr>
            </w:pPr>
          </w:p>
        </w:tc>
        <w:tc>
          <w:tcPr>
            <w:tcW w:w="834" w:type="dxa"/>
          </w:tcPr>
          <w:p w14:paraId="2A6E3D04"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r>
    </w:tbl>
    <w:p w14:paraId="231CCC82" w14:textId="77777777" w:rsidR="00215DCC" w:rsidRPr="00B55479" w:rsidRDefault="00215DCC" w:rsidP="00215DCC">
      <w:pPr>
        <w:pStyle w:val="IRMLevel2"/>
        <w:numPr>
          <w:ilvl w:val="0"/>
          <w:numId w:val="0"/>
        </w:numPr>
        <w:tabs>
          <w:tab w:val="clear" w:pos="1800"/>
        </w:tabs>
        <w:spacing w:after="0"/>
        <w:ind w:left="1440" w:hanging="360"/>
        <w:contextualSpacing/>
        <w:rPr>
          <w:rFonts w:asciiTheme="minorHAnsi" w:hAnsiTheme="minorHAnsi"/>
          <w:sz w:val="20"/>
          <w:szCs w:val="20"/>
        </w:rPr>
      </w:pPr>
    </w:p>
    <w:p w14:paraId="22DE61A2" w14:textId="77777777" w:rsidR="00215DCC" w:rsidRPr="00B55479" w:rsidRDefault="00215DCC" w:rsidP="00215DCC">
      <w:pPr>
        <w:pStyle w:val="IRMLevel2"/>
        <w:numPr>
          <w:ilvl w:val="0"/>
          <w:numId w:val="26"/>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 xml:space="preserve">When the bonds mature, the Discount will be fully amortized. </w:t>
      </w:r>
    </w:p>
    <w:p w14:paraId="4854457D" w14:textId="77777777" w:rsidR="00215DCC" w:rsidRPr="00B55479" w:rsidRDefault="00215DCC" w:rsidP="00215DCC">
      <w:pPr>
        <w:pStyle w:val="IRMLevel2"/>
        <w:numPr>
          <w:ilvl w:val="0"/>
          <w:numId w:val="26"/>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The matching principle requires that interest expense be reported as incurred. Discount amortization is required to reflect the interest expense incurred.</w:t>
      </w:r>
    </w:p>
    <w:p w14:paraId="63FAAABE" w14:textId="77777777" w:rsidR="00215DCC" w:rsidRPr="00B55479" w:rsidRDefault="00215DCC" w:rsidP="00215DCC">
      <w:pPr>
        <w:pStyle w:val="a"/>
        <w:widowControl/>
        <w:numPr>
          <w:ilvl w:val="0"/>
          <w:numId w:val="25"/>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Since bonds are recorded at their PV when issued, the accounting for the bond issue is unaffected by subsequent changes in the market rate of interest.</w:t>
      </w:r>
    </w:p>
    <w:p w14:paraId="22752F2A" w14:textId="77777777" w:rsidR="00215DCC" w:rsidRPr="00B55479" w:rsidRDefault="00215DCC" w:rsidP="00215DCC">
      <w:pPr>
        <w:pStyle w:val="a"/>
        <w:widowControl/>
        <w:numPr>
          <w:ilvl w:val="0"/>
          <w:numId w:val="25"/>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Although the straight-line method of amortizing is not accepted by GAAP, many companies use this method since the difference between the straight-line method and the effective interest rate method is frequently not material.</w:t>
      </w:r>
    </w:p>
    <w:p w14:paraId="049F2691"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68974704" w14:textId="77777777" w:rsidR="00215DCC" w:rsidRPr="00B55479" w:rsidRDefault="00215DCC" w:rsidP="00215DCC">
      <w:pPr>
        <w:pStyle w:val="LLSLevel2"/>
        <w:numPr>
          <w:ilvl w:val="0"/>
          <w:numId w:val="22"/>
        </w:numPr>
        <w:contextualSpacing/>
        <w:rPr>
          <w:rFonts w:asciiTheme="minorHAnsi" w:hAnsiTheme="minorHAnsi"/>
          <w:sz w:val="20"/>
          <w:szCs w:val="20"/>
        </w:rPr>
      </w:pPr>
      <w:r w:rsidRPr="00B55479">
        <w:rPr>
          <w:rFonts w:asciiTheme="minorHAnsi" w:hAnsiTheme="minorHAnsi"/>
          <w:sz w:val="20"/>
          <w:szCs w:val="20"/>
        </w:rPr>
        <w:t>Reporting Interest Expense on Bonds Issued at a Discount Using Effective-Interest Amortization</w:t>
      </w:r>
    </w:p>
    <w:p w14:paraId="0E8C4317" w14:textId="77777777" w:rsidR="00215DCC" w:rsidRPr="00B55479" w:rsidRDefault="00215DCC" w:rsidP="00215DCC">
      <w:pPr>
        <w:pStyle w:val="a"/>
        <w:widowControl/>
        <w:numPr>
          <w:ilvl w:val="0"/>
          <w:numId w:val="27"/>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The effective-interest method for amortizing bond discounts and premiums derives the "true" interest expense for each interest period. </w:t>
      </w:r>
    </w:p>
    <w:p w14:paraId="35F68CA4" w14:textId="77777777" w:rsidR="00215DCC" w:rsidRPr="00B55479" w:rsidRDefault="00215DCC" w:rsidP="00215DCC">
      <w:pPr>
        <w:pStyle w:val="IRMLevel2"/>
        <w:numPr>
          <w:ilvl w:val="0"/>
          <w:numId w:val="28"/>
        </w:numPr>
        <w:tabs>
          <w:tab w:val="clear" w:pos="1800"/>
        </w:tabs>
        <w:spacing w:after="0"/>
        <w:contextualSpacing/>
        <w:rPr>
          <w:rFonts w:asciiTheme="minorHAnsi" w:hAnsiTheme="minorHAnsi"/>
          <w:sz w:val="20"/>
          <w:szCs w:val="20"/>
        </w:rPr>
      </w:pPr>
      <w:r w:rsidRPr="00B55479">
        <w:rPr>
          <w:rFonts w:asciiTheme="minorHAnsi" w:hAnsiTheme="minorHAnsi"/>
          <w:sz w:val="20"/>
          <w:szCs w:val="20"/>
        </w:rPr>
        <w:t xml:space="preserve">This method is conceptually superior to the simpler straight-line method. </w:t>
      </w:r>
    </w:p>
    <w:p w14:paraId="4E7E4DC3" w14:textId="77777777" w:rsidR="00215DCC" w:rsidRPr="00B55479" w:rsidRDefault="00215DCC" w:rsidP="00215DCC">
      <w:pPr>
        <w:pStyle w:val="IRMLevel2"/>
        <w:numPr>
          <w:ilvl w:val="0"/>
          <w:numId w:val="28"/>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In fact, GAAP states that straight-line amortization may only be used if the results are not materially different from the effective-interest method.</w:t>
      </w:r>
    </w:p>
    <w:p w14:paraId="5E7A180A" w14:textId="77777777" w:rsidR="00215DCC" w:rsidRPr="00B55479" w:rsidRDefault="00215DCC" w:rsidP="00215DCC">
      <w:pPr>
        <w:pStyle w:val="a"/>
        <w:widowControl/>
        <w:numPr>
          <w:ilvl w:val="0"/>
          <w:numId w:val="27"/>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computation of interest expense under the effective-interest method considers the actual amount borrowed instead of the maturity value of the bond. It is computed as follows:</w:t>
      </w:r>
    </w:p>
    <w:p w14:paraId="0CF92E8C" w14:textId="77777777" w:rsidR="00215DCC" w:rsidRPr="00B55479" w:rsidRDefault="00215DCC" w:rsidP="00215DCC">
      <w:pPr>
        <w:tabs>
          <w:tab w:val="left" w:pos="244"/>
          <w:tab w:val="left" w:pos="720"/>
          <w:tab w:val="left" w:pos="1051"/>
          <w:tab w:val="left" w:pos="1339"/>
          <w:tab w:val="left" w:pos="5400"/>
          <w:tab w:val="left" w:pos="6120"/>
        </w:tabs>
        <w:ind w:left="1051"/>
        <w:contextualSpacing/>
        <w:rPr>
          <w:rFonts w:asciiTheme="minorHAnsi" w:hAnsiTheme="minorHAnsi"/>
          <w:color w:val="000000"/>
          <w:sz w:val="20"/>
          <w:szCs w:val="20"/>
        </w:rPr>
      </w:pPr>
    </w:p>
    <w:p w14:paraId="4E7B6E73" w14:textId="77777777" w:rsidR="00215DCC" w:rsidRPr="00B55479" w:rsidRDefault="00A026D1" w:rsidP="00215DCC">
      <w:pPr>
        <w:tabs>
          <w:tab w:val="left" w:pos="244"/>
          <w:tab w:val="left" w:pos="720"/>
          <w:tab w:val="left" w:pos="1051"/>
          <w:tab w:val="left" w:pos="1339"/>
          <w:tab w:val="left" w:pos="5400"/>
          <w:tab w:val="left" w:pos="6120"/>
        </w:tabs>
        <w:ind w:left="1051" w:hanging="1051"/>
        <w:contextualSpacing/>
        <w:jc w:val="center"/>
        <w:rPr>
          <w:rFonts w:asciiTheme="minorHAnsi" w:hAnsiTheme="minorHAnsi"/>
          <w:color w:val="000000"/>
          <w:sz w:val="20"/>
          <w:szCs w:val="20"/>
        </w:rPr>
      </w:pPr>
      <w:r w:rsidRPr="00B55479">
        <w:rPr>
          <w:rFonts w:asciiTheme="minorHAnsi" w:hAnsiTheme="minorHAnsi"/>
          <w:color w:val="000000"/>
          <w:position w:val="-10"/>
          <w:sz w:val="20"/>
          <w:szCs w:val="20"/>
        </w:rPr>
        <w:object w:dxaOrig="7200" w:dyaOrig="320">
          <v:shape id="_x0000_i1027" type="#_x0000_t75" style="width:337.35pt;height:16pt" o:ole="">
            <v:imagedata r:id="rId10" o:title=""/>
          </v:shape>
          <o:OLEObject Type="Embed" ProgID="Equation.3" ShapeID="_x0000_i1027" DrawAspect="Content" ObjectID="_1324380576" r:id="rId11"/>
        </w:object>
      </w:r>
    </w:p>
    <w:p w14:paraId="70491774" w14:textId="77777777" w:rsidR="00215DCC" w:rsidRPr="00B55479" w:rsidRDefault="00215DCC" w:rsidP="00215DCC">
      <w:pPr>
        <w:tabs>
          <w:tab w:val="left" w:pos="244"/>
          <w:tab w:val="left" w:pos="720"/>
          <w:tab w:val="left" w:pos="1051"/>
          <w:tab w:val="left" w:pos="1339"/>
          <w:tab w:val="left" w:pos="5400"/>
          <w:tab w:val="left" w:pos="6120"/>
        </w:tabs>
        <w:ind w:left="1051"/>
        <w:contextualSpacing/>
        <w:rPr>
          <w:rFonts w:asciiTheme="minorHAnsi" w:hAnsiTheme="minorHAnsi"/>
          <w:color w:val="000000"/>
          <w:sz w:val="20"/>
          <w:szCs w:val="20"/>
        </w:rPr>
      </w:pPr>
    </w:p>
    <w:p w14:paraId="3F15A9A3" w14:textId="77777777" w:rsidR="00215DCC" w:rsidRPr="00B55479" w:rsidRDefault="00215DCC" w:rsidP="00215DCC">
      <w:pPr>
        <w:tabs>
          <w:tab w:val="left" w:pos="720"/>
          <w:tab w:val="left" w:pos="1051"/>
          <w:tab w:val="left" w:pos="1080"/>
          <w:tab w:val="left" w:pos="1339"/>
          <w:tab w:val="left" w:pos="5400"/>
          <w:tab w:val="left" w:pos="6120"/>
        </w:tabs>
        <w:ind w:left="1080"/>
        <w:contextualSpacing/>
        <w:rPr>
          <w:rFonts w:asciiTheme="minorHAnsi" w:hAnsiTheme="minorHAnsi"/>
          <w:color w:val="000000"/>
          <w:sz w:val="20"/>
          <w:szCs w:val="20"/>
        </w:rPr>
      </w:pPr>
      <w:r w:rsidRPr="00B55479">
        <w:rPr>
          <w:rFonts w:asciiTheme="minorHAnsi" w:hAnsiTheme="minorHAnsi"/>
          <w:color w:val="000000"/>
          <w:sz w:val="20"/>
          <w:szCs w:val="20"/>
        </w:rPr>
        <w:t>The amortization of the discount is the difference between the calculated bond interest expense and the cash interest payment (or accrual).</w:t>
      </w:r>
    </w:p>
    <w:p w14:paraId="3D19ACA7" w14:textId="77777777" w:rsidR="00215DCC" w:rsidRPr="00B55479" w:rsidRDefault="00215DCC" w:rsidP="00215DCC">
      <w:pPr>
        <w:pStyle w:val="a"/>
        <w:widowControl/>
        <w:tabs>
          <w:tab w:val="right" w:pos="720"/>
          <w:tab w:val="left" w:pos="1080"/>
          <w:tab w:val="left" w:pos="1800"/>
          <w:tab w:val="left" w:pos="6840"/>
        </w:tabs>
        <w:ind w:left="1080" w:hanging="360"/>
        <w:contextualSpacing/>
        <w:rPr>
          <w:rFonts w:asciiTheme="minorHAnsi" w:hAnsiTheme="minorHAnsi"/>
          <w:szCs w:val="20"/>
        </w:rPr>
      </w:pPr>
      <w:r w:rsidRPr="00B55479">
        <w:rPr>
          <w:rFonts w:asciiTheme="minorHAnsi" w:hAnsiTheme="minorHAnsi"/>
          <w:szCs w:val="20"/>
        </w:rPr>
        <w:t>4.</w:t>
      </w:r>
      <w:r w:rsidRPr="00B55479">
        <w:rPr>
          <w:rFonts w:asciiTheme="minorHAnsi" w:hAnsiTheme="minorHAnsi"/>
          <w:szCs w:val="20"/>
        </w:rPr>
        <w:tab/>
        <w:t>The journal entries for interest follow the same format as discussed for straight-line amortization.</w:t>
      </w:r>
    </w:p>
    <w:p w14:paraId="1D0165BA" w14:textId="77777777" w:rsidR="00215DCC" w:rsidRPr="00B55479" w:rsidRDefault="00215DCC" w:rsidP="00215DCC">
      <w:pPr>
        <w:pStyle w:val="a"/>
        <w:widowControl/>
        <w:tabs>
          <w:tab w:val="left" w:pos="1080"/>
          <w:tab w:val="left" w:pos="1800"/>
          <w:tab w:val="left" w:pos="6840"/>
        </w:tabs>
        <w:ind w:left="1080" w:hanging="360"/>
        <w:contextualSpacing/>
        <w:rPr>
          <w:rFonts w:asciiTheme="minorHAnsi" w:hAnsiTheme="minorHAnsi"/>
          <w:szCs w:val="20"/>
        </w:rPr>
      </w:pPr>
      <w:r w:rsidRPr="00B55479">
        <w:rPr>
          <w:rFonts w:asciiTheme="minorHAnsi" w:hAnsiTheme="minorHAnsi"/>
          <w:szCs w:val="20"/>
        </w:rPr>
        <w:t>5.</w:t>
      </w:r>
      <w:r w:rsidRPr="00B55479">
        <w:rPr>
          <w:rFonts w:asciiTheme="minorHAnsi" w:hAnsiTheme="minorHAnsi"/>
          <w:szCs w:val="20"/>
        </w:rPr>
        <w:tab/>
        <w:t>For a bond discount, the amount of interest expense increases over the life of the bond issue. The carrying value increases to the par value by maturity.</w:t>
      </w:r>
    </w:p>
    <w:p w14:paraId="59A848FD"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2805097F" w14:textId="77777777" w:rsidR="00215DCC" w:rsidRPr="00B55479" w:rsidRDefault="00215DCC" w:rsidP="00215DCC">
      <w:pPr>
        <w:pStyle w:val="LLSLevel2"/>
        <w:numPr>
          <w:ilvl w:val="0"/>
          <w:numId w:val="22"/>
        </w:numPr>
        <w:contextualSpacing/>
        <w:rPr>
          <w:rFonts w:asciiTheme="minorHAnsi" w:hAnsiTheme="minorHAnsi"/>
          <w:sz w:val="20"/>
          <w:szCs w:val="20"/>
        </w:rPr>
      </w:pPr>
      <w:r w:rsidRPr="00B55479">
        <w:rPr>
          <w:rFonts w:asciiTheme="minorHAnsi" w:hAnsiTheme="minorHAnsi"/>
          <w:sz w:val="20"/>
          <w:szCs w:val="20"/>
        </w:rPr>
        <w:t>Zero Coupon Bonds</w:t>
      </w:r>
    </w:p>
    <w:p w14:paraId="644A2314" w14:textId="77777777" w:rsidR="00215DCC" w:rsidRPr="00B55479" w:rsidRDefault="00215DCC" w:rsidP="00215DCC">
      <w:pPr>
        <w:pStyle w:val="a"/>
        <w:widowControl/>
        <w:numPr>
          <w:ilvl w:val="0"/>
          <w:numId w:val="29"/>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Zero coupon bonds do not pay periodic interest to investors. The coupon rate is zero. Therefore, these bonds are issued substantially below their maturity value. </w:t>
      </w:r>
    </w:p>
    <w:p w14:paraId="0B309D38" w14:textId="77777777" w:rsidR="00215DCC" w:rsidRPr="00B55479" w:rsidRDefault="00215DCC" w:rsidP="00215DCC">
      <w:pPr>
        <w:pStyle w:val="a"/>
        <w:widowControl/>
        <w:numPr>
          <w:ilvl w:val="0"/>
          <w:numId w:val="29"/>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An example of these "deep" discount bonds is U.S. Savings Bonds. </w:t>
      </w:r>
    </w:p>
    <w:p w14:paraId="630C36D9" w14:textId="77777777" w:rsidR="00215DCC" w:rsidRPr="00B55479" w:rsidRDefault="00215DCC" w:rsidP="00215DCC">
      <w:pPr>
        <w:pStyle w:val="a"/>
        <w:widowControl/>
        <w:numPr>
          <w:ilvl w:val="0"/>
          <w:numId w:val="29"/>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accounting for a zero coupon bond is no different than any bond sold at a discount. However, the discount is much larger than other bond issues.</w:t>
      </w:r>
    </w:p>
    <w:p w14:paraId="66A103F0"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4A20F79C" w14:textId="77777777" w:rsidR="00215DCC" w:rsidRPr="00B55479" w:rsidRDefault="00215DCC" w:rsidP="00215DCC">
      <w:pPr>
        <w:pStyle w:val="IRMLevel1"/>
        <w:numPr>
          <w:ilvl w:val="0"/>
          <w:numId w:val="2"/>
        </w:numPr>
        <w:tabs>
          <w:tab w:val="clear" w:pos="360"/>
          <w:tab w:val="num" w:pos="630"/>
        </w:tabs>
        <w:spacing w:after="0"/>
        <w:ind w:left="1170" w:hanging="1170"/>
        <w:contextualSpacing/>
        <w:rPr>
          <w:rFonts w:asciiTheme="minorHAnsi" w:hAnsiTheme="minorHAnsi"/>
          <w:b w:val="0"/>
          <w:bCs w:val="0"/>
          <w:sz w:val="20"/>
          <w:szCs w:val="20"/>
        </w:rPr>
      </w:pPr>
      <w:r w:rsidRPr="00B55479">
        <w:rPr>
          <w:rFonts w:asciiTheme="minorHAnsi" w:hAnsiTheme="minorHAnsi"/>
          <w:b w:val="0"/>
          <w:bCs w:val="0"/>
          <w:sz w:val="20"/>
          <w:szCs w:val="20"/>
        </w:rPr>
        <w:t>LO4 REPORT BONDS PAYABLE AND INTEREST EXPENSE FOR BONDS SOLD AT A PREMIUM.</w:t>
      </w:r>
    </w:p>
    <w:p w14:paraId="6DC80B50" w14:textId="77777777" w:rsidR="00215DCC" w:rsidRPr="00B55479" w:rsidRDefault="00215DCC" w:rsidP="00215DCC">
      <w:pPr>
        <w:pStyle w:val="LLSLevel2"/>
        <w:numPr>
          <w:ilvl w:val="0"/>
          <w:numId w:val="31"/>
        </w:numPr>
        <w:contextualSpacing/>
        <w:rPr>
          <w:rFonts w:asciiTheme="minorHAnsi" w:hAnsiTheme="minorHAnsi"/>
          <w:sz w:val="20"/>
          <w:szCs w:val="20"/>
        </w:rPr>
      </w:pPr>
      <w:r w:rsidRPr="00B55479">
        <w:rPr>
          <w:rFonts w:asciiTheme="minorHAnsi" w:hAnsiTheme="minorHAnsi"/>
          <w:sz w:val="20"/>
          <w:szCs w:val="20"/>
        </w:rPr>
        <w:t xml:space="preserve">Bonds sell at a premium (above par) when the stated interest rate on the bonds is more than the market rate required by investors. </w:t>
      </w:r>
    </w:p>
    <w:p w14:paraId="2E66EEA1" w14:textId="77777777" w:rsidR="00215DCC" w:rsidRPr="00B55479" w:rsidRDefault="00215DCC" w:rsidP="00215DCC">
      <w:pPr>
        <w:pStyle w:val="a"/>
        <w:widowControl/>
        <w:numPr>
          <w:ilvl w:val="0"/>
          <w:numId w:val="3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The reason is that the PV (based on the market rate) of the future cash flows associated with the bond is greater than the bond par value. </w:t>
      </w:r>
    </w:p>
    <w:p w14:paraId="3DDD65FD" w14:textId="77777777" w:rsidR="00215DCC" w:rsidRPr="00B55479" w:rsidRDefault="00215DCC" w:rsidP="00215DCC">
      <w:pPr>
        <w:pStyle w:val="a"/>
        <w:widowControl/>
        <w:numPr>
          <w:ilvl w:val="0"/>
          <w:numId w:val="3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The bonds are sold at </w:t>
      </w:r>
      <w:r w:rsidRPr="00B55479">
        <w:rPr>
          <w:rFonts w:asciiTheme="minorHAnsi" w:hAnsiTheme="minorHAnsi"/>
          <w:i/>
          <w:iCs/>
          <w:szCs w:val="20"/>
        </w:rPr>
        <w:t>more than</w:t>
      </w:r>
      <w:r w:rsidRPr="00B55479">
        <w:rPr>
          <w:rFonts w:asciiTheme="minorHAnsi" w:hAnsiTheme="minorHAnsi"/>
          <w:szCs w:val="20"/>
        </w:rPr>
        <w:t xml:space="preserve"> 100. That is, they are sold at </w:t>
      </w:r>
      <w:r w:rsidRPr="00B55479">
        <w:rPr>
          <w:rFonts w:asciiTheme="minorHAnsi" w:hAnsiTheme="minorHAnsi"/>
          <w:i/>
          <w:iCs/>
          <w:szCs w:val="20"/>
        </w:rPr>
        <w:t>more than</w:t>
      </w:r>
      <w:r w:rsidRPr="00B55479">
        <w:rPr>
          <w:rFonts w:asciiTheme="minorHAnsi" w:hAnsiTheme="minorHAnsi"/>
          <w:szCs w:val="20"/>
        </w:rPr>
        <w:t xml:space="preserve"> 100% of par value.  (For example, their price may be stated as 102 or 102.5, which is more than 100.)</w:t>
      </w:r>
    </w:p>
    <w:p w14:paraId="719E6A08"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6556ADEA" w14:textId="77777777" w:rsidR="00B55479" w:rsidRDefault="00B55479">
      <w:pPr>
        <w:spacing w:after="200" w:line="276" w:lineRule="auto"/>
        <w:rPr>
          <w:rFonts w:asciiTheme="minorHAnsi" w:hAnsiTheme="minorHAnsi"/>
          <w:sz w:val="20"/>
          <w:szCs w:val="20"/>
        </w:rPr>
      </w:pPr>
      <w:r>
        <w:rPr>
          <w:rFonts w:asciiTheme="minorHAnsi" w:hAnsiTheme="minorHAnsi"/>
          <w:sz w:val="20"/>
          <w:szCs w:val="20"/>
        </w:rPr>
        <w:br w:type="page"/>
      </w:r>
    </w:p>
    <w:p w14:paraId="495AD155" w14:textId="77777777" w:rsidR="00215DCC" w:rsidRPr="00B55479" w:rsidRDefault="00215DCC" w:rsidP="00215DCC">
      <w:pPr>
        <w:pStyle w:val="LLSLevel2"/>
        <w:numPr>
          <w:ilvl w:val="0"/>
          <w:numId w:val="31"/>
        </w:numPr>
        <w:contextualSpacing/>
        <w:rPr>
          <w:rFonts w:asciiTheme="minorHAnsi" w:hAnsiTheme="minorHAnsi"/>
          <w:sz w:val="20"/>
          <w:szCs w:val="20"/>
        </w:rPr>
      </w:pPr>
      <w:r w:rsidRPr="00B55479">
        <w:rPr>
          <w:rFonts w:asciiTheme="minorHAnsi" w:hAnsiTheme="minorHAnsi"/>
          <w:sz w:val="20"/>
          <w:szCs w:val="20"/>
        </w:rPr>
        <w:lastRenderedPageBreak/>
        <w:t>Recording bonds issued at a premium:</w:t>
      </w:r>
    </w:p>
    <w:p w14:paraId="3C1D963A" w14:textId="77777777" w:rsidR="00215DCC" w:rsidRPr="00B55479" w:rsidRDefault="00215DCC" w:rsidP="00215DCC">
      <w:pPr>
        <w:pStyle w:val="a"/>
        <w:widowControl/>
        <w:numPr>
          <w:ilvl w:val="0"/>
          <w:numId w:val="3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Cash is debited for the selling price (PV of future cash flows associated with the bond for principal and interest). </w:t>
      </w:r>
    </w:p>
    <w:p w14:paraId="5618FB92" w14:textId="77777777" w:rsidR="00215DCC" w:rsidRPr="00B55479" w:rsidRDefault="00215DCC" w:rsidP="00215DCC">
      <w:pPr>
        <w:pStyle w:val="a"/>
        <w:widowControl/>
        <w:numPr>
          <w:ilvl w:val="0"/>
          <w:numId w:val="3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Bonds payable is credited for the par value (the maturity amount).</w:t>
      </w:r>
    </w:p>
    <w:p w14:paraId="1777FB57" w14:textId="77777777" w:rsidR="00215DCC" w:rsidRPr="00B55479" w:rsidRDefault="00215DCC" w:rsidP="00215DCC">
      <w:pPr>
        <w:pStyle w:val="a"/>
        <w:widowControl/>
        <w:numPr>
          <w:ilvl w:val="0"/>
          <w:numId w:val="3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premium is the difference of the debit to cash and the credit to bonds payable. This difference is credited to the Premium on Bonds Payable account.</w:t>
      </w:r>
    </w:p>
    <w:p w14:paraId="70F1F046" w14:textId="77777777" w:rsidR="00215DCC" w:rsidRPr="00B55479" w:rsidRDefault="00215DCC" w:rsidP="00215DCC">
      <w:pPr>
        <w:pStyle w:val="a"/>
        <w:widowControl/>
        <w:tabs>
          <w:tab w:val="right" w:pos="720"/>
          <w:tab w:val="left" w:pos="1440"/>
          <w:tab w:val="left" w:pos="1800"/>
          <w:tab w:val="left" w:pos="6840"/>
        </w:tabs>
        <w:contextualSpacing/>
        <w:rPr>
          <w:rFonts w:asciiTheme="minorHAnsi" w:hAnsiTheme="minorHAnsi"/>
          <w:szCs w:val="20"/>
        </w:rPr>
      </w:pPr>
    </w:p>
    <w:tbl>
      <w:tblPr>
        <w:tblW w:w="0" w:type="auto"/>
        <w:tblInd w:w="1188" w:type="dxa"/>
        <w:tblLook w:val="01E0" w:firstRow="1" w:lastRow="1" w:firstColumn="1" w:lastColumn="1" w:noHBand="0" w:noVBand="0"/>
      </w:tblPr>
      <w:tblGrid>
        <w:gridCol w:w="4320"/>
        <w:gridCol w:w="876"/>
        <w:gridCol w:w="834"/>
      </w:tblGrid>
      <w:tr w:rsidR="00215DCC" w:rsidRPr="00B55479" w14:paraId="24219B82" w14:textId="77777777" w:rsidTr="003A67F7">
        <w:tc>
          <w:tcPr>
            <w:tcW w:w="4320" w:type="dxa"/>
          </w:tcPr>
          <w:p w14:paraId="0C9BAC10"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Cash</w:t>
            </w:r>
          </w:p>
        </w:tc>
        <w:tc>
          <w:tcPr>
            <w:tcW w:w="876" w:type="dxa"/>
          </w:tcPr>
          <w:p w14:paraId="4B24943D"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c>
          <w:tcPr>
            <w:tcW w:w="834" w:type="dxa"/>
          </w:tcPr>
          <w:p w14:paraId="5557CB5D" w14:textId="77777777" w:rsidR="00215DCC" w:rsidRPr="00B55479" w:rsidRDefault="00215DCC" w:rsidP="00215DCC">
            <w:pPr>
              <w:pStyle w:val="LLSLevel2"/>
              <w:contextualSpacing/>
              <w:rPr>
                <w:rFonts w:asciiTheme="minorHAnsi" w:hAnsiTheme="minorHAnsi"/>
                <w:sz w:val="20"/>
                <w:szCs w:val="20"/>
              </w:rPr>
            </w:pPr>
          </w:p>
        </w:tc>
      </w:tr>
      <w:tr w:rsidR="00215DCC" w:rsidRPr="00B55479" w14:paraId="08013A50" w14:textId="77777777" w:rsidTr="003A67F7">
        <w:tc>
          <w:tcPr>
            <w:tcW w:w="4320" w:type="dxa"/>
          </w:tcPr>
          <w:p w14:paraId="38579335" w14:textId="77777777" w:rsidR="00215DCC" w:rsidRPr="00B55479" w:rsidRDefault="00215DCC" w:rsidP="00215DCC">
            <w:pPr>
              <w:pStyle w:val="LLSLevel2"/>
              <w:ind w:left="720"/>
              <w:contextualSpacing/>
              <w:rPr>
                <w:rFonts w:asciiTheme="minorHAnsi" w:hAnsiTheme="minorHAnsi"/>
                <w:sz w:val="20"/>
                <w:szCs w:val="20"/>
              </w:rPr>
            </w:pPr>
            <w:r w:rsidRPr="00B55479">
              <w:rPr>
                <w:rFonts w:asciiTheme="minorHAnsi" w:hAnsiTheme="minorHAnsi"/>
                <w:sz w:val="20"/>
                <w:szCs w:val="20"/>
              </w:rPr>
              <w:t>Premium on Bonds Payable</w:t>
            </w:r>
          </w:p>
        </w:tc>
        <w:tc>
          <w:tcPr>
            <w:tcW w:w="876" w:type="dxa"/>
          </w:tcPr>
          <w:p w14:paraId="12B72EF3" w14:textId="77777777" w:rsidR="00215DCC" w:rsidRPr="00B55479" w:rsidRDefault="00215DCC" w:rsidP="00215DCC">
            <w:pPr>
              <w:pStyle w:val="LLSLevel2"/>
              <w:contextualSpacing/>
              <w:rPr>
                <w:rFonts w:asciiTheme="minorHAnsi" w:hAnsiTheme="minorHAnsi"/>
                <w:sz w:val="20"/>
                <w:szCs w:val="20"/>
              </w:rPr>
            </w:pPr>
          </w:p>
        </w:tc>
        <w:tc>
          <w:tcPr>
            <w:tcW w:w="834" w:type="dxa"/>
          </w:tcPr>
          <w:p w14:paraId="1890D9D3"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r>
      <w:tr w:rsidR="00215DCC" w:rsidRPr="00B55479" w14:paraId="4D7AE61A" w14:textId="77777777" w:rsidTr="003A67F7">
        <w:tc>
          <w:tcPr>
            <w:tcW w:w="4320" w:type="dxa"/>
          </w:tcPr>
          <w:p w14:paraId="3226CD8E" w14:textId="77777777" w:rsidR="00215DCC" w:rsidRPr="00B55479" w:rsidRDefault="00215DCC" w:rsidP="00215DCC">
            <w:pPr>
              <w:pStyle w:val="LLSLevel2"/>
              <w:ind w:left="720"/>
              <w:contextualSpacing/>
              <w:rPr>
                <w:rFonts w:asciiTheme="minorHAnsi" w:hAnsiTheme="minorHAnsi"/>
                <w:sz w:val="20"/>
                <w:szCs w:val="20"/>
              </w:rPr>
            </w:pPr>
            <w:r w:rsidRPr="00B55479">
              <w:rPr>
                <w:rFonts w:asciiTheme="minorHAnsi" w:hAnsiTheme="minorHAnsi"/>
                <w:sz w:val="20"/>
                <w:szCs w:val="20"/>
              </w:rPr>
              <w:t>Bonds Payable</w:t>
            </w:r>
          </w:p>
        </w:tc>
        <w:tc>
          <w:tcPr>
            <w:tcW w:w="876" w:type="dxa"/>
          </w:tcPr>
          <w:p w14:paraId="15A886CC" w14:textId="77777777" w:rsidR="00215DCC" w:rsidRPr="00B55479" w:rsidRDefault="00215DCC" w:rsidP="00215DCC">
            <w:pPr>
              <w:pStyle w:val="LLSLevel2"/>
              <w:contextualSpacing/>
              <w:rPr>
                <w:rFonts w:asciiTheme="minorHAnsi" w:hAnsiTheme="minorHAnsi"/>
                <w:sz w:val="20"/>
                <w:szCs w:val="20"/>
              </w:rPr>
            </w:pPr>
          </w:p>
        </w:tc>
        <w:tc>
          <w:tcPr>
            <w:tcW w:w="834" w:type="dxa"/>
          </w:tcPr>
          <w:p w14:paraId="7D47FB26"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r>
    </w:tbl>
    <w:p w14:paraId="7EDA52AD" w14:textId="77777777" w:rsidR="00215DCC" w:rsidRPr="00B55479" w:rsidRDefault="00215DCC" w:rsidP="00215DCC">
      <w:pPr>
        <w:pStyle w:val="a"/>
        <w:widowControl/>
        <w:tabs>
          <w:tab w:val="right" w:pos="720"/>
          <w:tab w:val="left" w:pos="1440"/>
          <w:tab w:val="left" w:pos="1800"/>
          <w:tab w:val="left" w:pos="6840"/>
        </w:tabs>
        <w:contextualSpacing/>
        <w:rPr>
          <w:rFonts w:asciiTheme="minorHAnsi" w:hAnsiTheme="minorHAnsi"/>
          <w:szCs w:val="20"/>
        </w:rPr>
      </w:pPr>
    </w:p>
    <w:p w14:paraId="18A2B1E2" w14:textId="77777777" w:rsidR="00215DCC" w:rsidRPr="00B55479" w:rsidRDefault="00215DCC" w:rsidP="00215DCC">
      <w:pPr>
        <w:pStyle w:val="a"/>
        <w:widowControl/>
        <w:numPr>
          <w:ilvl w:val="0"/>
          <w:numId w:val="32"/>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balance sheet reports the bonds payable at the book value or carrying value (par value plus unamortized premium). At the maturity date, the carrying value will equal par (the payoff).</w:t>
      </w:r>
    </w:p>
    <w:p w14:paraId="348EE852"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6973549F" w14:textId="77777777" w:rsidR="00215DCC" w:rsidRPr="00B55479" w:rsidRDefault="00215DCC" w:rsidP="00215DCC">
      <w:pPr>
        <w:pStyle w:val="LLSLevel2"/>
        <w:numPr>
          <w:ilvl w:val="0"/>
          <w:numId w:val="31"/>
        </w:numPr>
        <w:contextualSpacing/>
        <w:rPr>
          <w:rFonts w:asciiTheme="minorHAnsi" w:hAnsiTheme="minorHAnsi"/>
          <w:sz w:val="20"/>
          <w:szCs w:val="20"/>
        </w:rPr>
      </w:pPr>
      <w:r w:rsidRPr="00B55479">
        <w:rPr>
          <w:rFonts w:asciiTheme="minorHAnsi" w:hAnsiTheme="minorHAnsi"/>
          <w:sz w:val="20"/>
          <w:szCs w:val="20"/>
        </w:rPr>
        <w:t>Reporting Interest Expense on Bonds Issued at a Premium Using Straight-Line Amortization</w:t>
      </w:r>
    </w:p>
    <w:p w14:paraId="088258DE" w14:textId="77777777" w:rsidR="00215DCC" w:rsidRPr="00B55479" w:rsidRDefault="00215DCC" w:rsidP="00215DCC">
      <w:pPr>
        <w:pStyle w:val="a"/>
        <w:widowControl/>
        <w:numPr>
          <w:ilvl w:val="0"/>
          <w:numId w:val="33"/>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Interest payments require a debit to bond interest expense, which is l</w:t>
      </w:r>
      <w:r w:rsidRPr="00B55479">
        <w:rPr>
          <w:rFonts w:asciiTheme="minorHAnsi" w:hAnsiTheme="minorHAnsi"/>
          <w:i/>
          <w:iCs/>
          <w:szCs w:val="20"/>
        </w:rPr>
        <w:t>e</w:t>
      </w:r>
      <w:r w:rsidRPr="00B55479">
        <w:rPr>
          <w:rFonts w:asciiTheme="minorHAnsi" w:hAnsiTheme="minorHAnsi"/>
          <w:szCs w:val="20"/>
        </w:rPr>
        <w:t>ss than the cash payment for interest.</w:t>
      </w:r>
    </w:p>
    <w:p w14:paraId="0B97EEDB" w14:textId="77777777" w:rsidR="00215DCC" w:rsidRPr="00B55479" w:rsidRDefault="00215DCC" w:rsidP="00215DCC">
      <w:pPr>
        <w:pStyle w:val="IRMLevel2"/>
        <w:numPr>
          <w:ilvl w:val="0"/>
          <w:numId w:val="34"/>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Using straight-line amortization, an equal amount (initial premium divided by the number of interest periods) of premium is debited to the Premium on Bonds Payable account.</w:t>
      </w:r>
    </w:p>
    <w:p w14:paraId="5EB2EF7E" w14:textId="77777777" w:rsidR="00215DCC" w:rsidRPr="00B55479" w:rsidRDefault="00215DCC" w:rsidP="00215DCC">
      <w:pPr>
        <w:pStyle w:val="IRMLevel2"/>
        <w:numPr>
          <w:ilvl w:val="0"/>
          <w:numId w:val="0"/>
        </w:numPr>
        <w:tabs>
          <w:tab w:val="clear" w:pos="1800"/>
        </w:tabs>
        <w:spacing w:after="0"/>
        <w:ind w:left="1440" w:hanging="360"/>
        <w:contextualSpacing/>
        <w:rPr>
          <w:rFonts w:asciiTheme="minorHAnsi" w:hAnsiTheme="minorHAnsi"/>
          <w:sz w:val="20"/>
          <w:szCs w:val="20"/>
        </w:rPr>
      </w:pPr>
    </w:p>
    <w:tbl>
      <w:tblPr>
        <w:tblW w:w="0" w:type="auto"/>
        <w:tblInd w:w="1188" w:type="dxa"/>
        <w:tblLook w:val="01E0" w:firstRow="1" w:lastRow="1" w:firstColumn="1" w:lastColumn="1" w:noHBand="0" w:noVBand="0"/>
      </w:tblPr>
      <w:tblGrid>
        <w:gridCol w:w="4320"/>
        <w:gridCol w:w="876"/>
        <w:gridCol w:w="834"/>
      </w:tblGrid>
      <w:tr w:rsidR="00215DCC" w:rsidRPr="00B55479" w14:paraId="34525139" w14:textId="77777777" w:rsidTr="003A67F7">
        <w:tc>
          <w:tcPr>
            <w:tcW w:w="4320" w:type="dxa"/>
          </w:tcPr>
          <w:p w14:paraId="119AADDC"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Bond Interest Expense</w:t>
            </w:r>
          </w:p>
        </w:tc>
        <w:tc>
          <w:tcPr>
            <w:tcW w:w="876" w:type="dxa"/>
          </w:tcPr>
          <w:p w14:paraId="760C98C6"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c>
          <w:tcPr>
            <w:tcW w:w="834" w:type="dxa"/>
          </w:tcPr>
          <w:p w14:paraId="5C4DEB8C" w14:textId="77777777" w:rsidR="00215DCC" w:rsidRPr="00B55479" w:rsidRDefault="00215DCC" w:rsidP="00215DCC">
            <w:pPr>
              <w:pStyle w:val="LLSLevel2"/>
              <w:contextualSpacing/>
              <w:rPr>
                <w:rFonts w:asciiTheme="minorHAnsi" w:hAnsiTheme="minorHAnsi"/>
                <w:sz w:val="20"/>
                <w:szCs w:val="20"/>
              </w:rPr>
            </w:pPr>
          </w:p>
        </w:tc>
      </w:tr>
      <w:tr w:rsidR="00215DCC" w:rsidRPr="00B55479" w14:paraId="35A90038" w14:textId="77777777" w:rsidTr="003A67F7">
        <w:tc>
          <w:tcPr>
            <w:tcW w:w="4320" w:type="dxa"/>
          </w:tcPr>
          <w:p w14:paraId="5502B8BE"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Premium on Bonds Payable</w:t>
            </w:r>
          </w:p>
        </w:tc>
        <w:tc>
          <w:tcPr>
            <w:tcW w:w="876" w:type="dxa"/>
          </w:tcPr>
          <w:p w14:paraId="64764456"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c>
          <w:tcPr>
            <w:tcW w:w="834" w:type="dxa"/>
          </w:tcPr>
          <w:p w14:paraId="282885FD" w14:textId="77777777" w:rsidR="00215DCC" w:rsidRPr="00B55479" w:rsidRDefault="00215DCC" w:rsidP="00215DCC">
            <w:pPr>
              <w:pStyle w:val="LLSLevel2"/>
              <w:contextualSpacing/>
              <w:rPr>
                <w:rFonts w:asciiTheme="minorHAnsi" w:hAnsiTheme="minorHAnsi"/>
                <w:sz w:val="20"/>
                <w:szCs w:val="20"/>
              </w:rPr>
            </w:pPr>
          </w:p>
        </w:tc>
      </w:tr>
      <w:tr w:rsidR="00215DCC" w:rsidRPr="00B55479" w14:paraId="5690FC58" w14:textId="77777777" w:rsidTr="003A67F7">
        <w:tc>
          <w:tcPr>
            <w:tcW w:w="4320" w:type="dxa"/>
          </w:tcPr>
          <w:p w14:paraId="2F7A3EDC" w14:textId="77777777" w:rsidR="00215DCC" w:rsidRPr="00B55479" w:rsidRDefault="00215DCC" w:rsidP="00215DCC">
            <w:pPr>
              <w:pStyle w:val="LLSLevel2"/>
              <w:ind w:left="720"/>
              <w:contextualSpacing/>
              <w:rPr>
                <w:rFonts w:asciiTheme="minorHAnsi" w:hAnsiTheme="minorHAnsi"/>
                <w:sz w:val="20"/>
                <w:szCs w:val="20"/>
              </w:rPr>
            </w:pPr>
            <w:r w:rsidRPr="00B55479">
              <w:rPr>
                <w:rFonts w:asciiTheme="minorHAnsi" w:hAnsiTheme="minorHAnsi"/>
                <w:sz w:val="20"/>
                <w:szCs w:val="20"/>
              </w:rPr>
              <w:t>Cash</w:t>
            </w:r>
          </w:p>
        </w:tc>
        <w:tc>
          <w:tcPr>
            <w:tcW w:w="876" w:type="dxa"/>
          </w:tcPr>
          <w:p w14:paraId="7FCA4194" w14:textId="77777777" w:rsidR="00215DCC" w:rsidRPr="00B55479" w:rsidRDefault="00215DCC" w:rsidP="00215DCC">
            <w:pPr>
              <w:pStyle w:val="LLSLevel2"/>
              <w:contextualSpacing/>
              <w:rPr>
                <w:rFonts w:asciiTheme="minorHAnsi" w:hAnsiTheme="minorHAnsi"/>
                <w:sz w:val="20"/>
                <w:szCs w:val="20"/>
              </w:rPr>
            </w:pPr>
          </w:p>
        </w:tc>
        <w:tc>
          <w:tcPr>
            <w:tcW w:w="834" w:type="dxa"/>
          </w:tcPr>
          <w:p w14:paraId="0D42CBCC" w14:textId="77777777" w:rsidR="00215DCC" w:rsidRPr="00B55479" w:rsidRDefault="00215DCC" w:rsidP="00215DCC">
            <w:pPr>
              <w:pStyle w:val="LLSLevel2"/>
              <w:contextualSpacing/>
              <w:rPr>
                <w:rFonts w:asciiTheme="minorHAnsi" w:hAnsiTheme="minorHAnsi"/>
                <w:sz w:val="20"/>
                <w:szCs w:val="20"/>
              </w:rPr>
            </w:pPr>
            <w:r w:rsidRPr="00B55479">
              <w:rPr>
                <w:rFonts w:asciiTheme="minorHAnsi" w:hAnsiTheme="minorHAnsi"/>
                <w:sz w:val="20"/>
                <w:szCs w:val="20"/>
              </w:rPr>
              <w:t>xxx</w:t>
            </w:r>
          </w:p>
        </w:tc>
      </w:tr>
    </w:tbl>
    <w:p w14:paraId="132D8E65" w14:textId="77777777" w:rsidR="00215DCC" w:rsidRPr="00B55479" w:rsidRDefault="00215DCC" w:rsidP="00215DCC">
      <w:pPr>
        <w:pStyle w:val="IRMLevel2"/>
        <w:numPr>
          <w:ilvl w:val="0"/>
          <w:numId w:val="0"/>
        </w:numPr>
        <w:tabs>
          <w:tab w:val="clear" w:pos="1800"/>
        </w:tabs>
        <w:spacing w:after="0"/>
        <w:ind w:left="1440" w:hanging="360"/>
        <w:contextualSpacing/>
        <w:rPr>
          <w:rFonts w:asciiTheme="minorHAnsi" w:hAnsiTheme="minorHAnsi"/>
          <w:sz w:val="20"/>
          <w:szCs w:val="20"/>
        </w:rPr>
      </w:pPr>
    </w:p>
    <w:p w14:paraId="55BC64AC" w14:textId="77777777" w:rsidR="00215DCC" w:rsidRPr="00B55479" w:rsidRDefault="00215DCC" w:rsidP="00215DCC">
      <w:pPr>
        <w:pStyle w:val="IRMLevel2"/>
        <w:numPr>
          <w:ilvl w:val="0"/>
          <w:numId w:val="34"/>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When the bonds mature, the Premium will be fully amortized.</w:t>
      </w:r>
    </w:p>
    <w:p w14:paraId="376F0C3A" w14:textId="77777777" w:rsidR="00215DCC" w:rsidRPr="00B55479" w:rsidRDefault="00215DCC" w:rsidP="00215DCC">
      <w:pPr>
        <w:pStyle w:val="IRMLevel2"/>
        <w:numPr>
          <w:ilvl w:val="0"/>
          <w:numId w:val="34"/>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The matching principle requires that interest be reported as incurred. Premium amortization is required to reflect the true interest expense incurred.</w:t>
      </w:r>
    </w:p>
    <w:p w14:paraId="3A34DC92" w14:textId="77777777" w:rsidR="00215DCC" w:rsidRPr="00B55479" w:rsidRDefault="00215DCC" w:rsidP="00215DCC">
      <w:pPr>
        <w:pStyle w:val="a"/>
        <w:widowControl/>
        <w:numPr>
          <w:ilvl w:val="0"/>
          <w:numId w:val="33"/>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Since bonds are recorded at their PV when issued, the accounting for the bond issue is unaffected by subsequent changes in the market rate of interest.</w:t>
      </w:r>
    </w:p>
    <w:p w14:paraId="18FE9C2B"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7AB9C9E7" w14:textId="77777777" w:rsidR="00215DCC" w:rsidRPr="00B55479" w:rsidRDefault="00215DCC" w:rsidP="00215DCC">
      <w:pPr>
        <w:pStyle w:val="LLSLevel2"/>
        <w:numPr>
          <w:ilvl w:val="0"/>
          <w:numId w:val="31"/>
        </w:numPr>
        <w:contextualSpacing/>
        <w:rPr>
          <w:rFonts w:asciiTheme="minorHAnsi" w:hAnsiTheme="minorHAnsi"/>
          <w:sz w:val="20"/>
          <w:szCs w:val="20"/>
        </w:rPr>
      </w:pPr>
      <w:r w:rsidRPr="00B55479">
        <w:rPr>
          <w:rFonts w:asciiTheme="minorHAnsi" w:hAnsiTheme="minorHAnsi"/>
          <w:sz w:val="20"/>
          <w:szCs w:val="20"/>
        </w:rPr>
        <w:t>Reporting Interest Expense on Bonds Issued at a Premium Using Effective-Interest Amortization</w:t>
      </w:r>
    </w:p>
    <w:p w14:paraId="44838A2B" w14:textId="77777777" w:rsidR="00215DCC" w:rsidRPr="00B55479" w:rsidRDefault="00215DCC" w:rsidP="00215DCC">
      <w:pPr>
        <w:pStyle w:val="a"/>
        <w:widowControl/>
        <w:numPr>
          <w:ilvl w:val="0"/>
          <w:numId w:val="35"/>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amortization of the premium is the difference between the cash interest payment and the calculated bond interest expense (i.e. the accrual).</w:t>
      </w:r>
    </w:p>
    <w:p w14:paraId="05587901" w14:textId="77777777" w:rsidR="00215DCC" w:rsidRPr="00B55479" w:rsidRDefault="00215DCC" w:rsidP="00215DCC">
      <w:pPr>
        <w:pStyle w:val="a"/>
        <w:widowControl/>
        <w:numPr>
          <w:ilvl w:val="0"/>
          <w:numId w:val="35"/>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journal entries for interest follow the same format as discussed for straight-line amortization except that the amounts have changed due to using the effective interest rate method.</w:t>
      </w:r>
    </w:p>
    <w:p w14:paraId="2E26C5A0" w14:textId="77777777" w:rsidR="00215DCC" w:rsidRPr="00B55479" w:rsidRDefault="00215DCC" w:rsidP="00215DCC">
      <w:pPr>
        <w:pStyle w:val="a"/>
        <w:widowControl/>
        <w:numPr>
          <w:ilvl w:val="0"/>
          <w:numId w:val="35"/>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For a bond premium, the amount of interest expense decreases over the life of the bond issue. The carrying value decreases to the par value by maturity.</w:t>
      </w:r>
    </w:p>
    <w:p w14:paraId="20784FB0"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4295CE22" w14:textId="77777777" w:rsidR="00215DCC" w:rsidRPr="00B55479" w:rsidRDefault="00215DCC" w:rsidP="00215DCC">
      <w:pPr>
        <w:pStyle w:val="IRMLevel1"/>
        <w:numPr>
          <w:ilvl w:val="0"/>
          <w:numId w:val="2"/>
        </w:numPr>
        <w:tabs>
          <w:tab w:val="clear" w:pos="360"/>
          <w:tab w:val="num" w:pos="630"/>
        </w:tabs>
        <w:spacing w:after="0"/>
        <w:ind w:left="1170" w:hanging="1170"/>
        <w:contextualSpacing/>
        <w:rPr>
          <w:rFonts w:asciiTheme="minorHAnsi" w:hAnsiTheme="minorHAnsi"/>
          <w:b w:val="0"/>
          <w:bCs w:val="0"/>
          <w:sz w:val="20"/>
          <w:szCs w:val="20"/>
        </w:rPr>
      </w:pPr>
      <w:r w:rsidRPr="00B55479">
        <w:rPr>
          <w:rFonts w:asciiTheme="minorHAnsi" w:hAnsiTheme="minorHAnsi"/>
          <w:b w:val="0"/>
          <w:bCs w:val="0"/>
          <w:sz w:val="20"/>
          <w:szCs w:val="20"/>
        </w:rPr>
        <w:t>LO5 ANALYZE THE DEBT-TO-EQUITY RATIO.</w:t>
      </w:r>
    </w:p>
    <w:p w14:paraId="0811B4DD" w14:textId="77777777" w:rsidR="00215DCC" w:rsidRPr="00B55479" w:rsidRDefault="00215DCC" w:rsidP="00215DCC">
      <w:pPr>
        <w:pStyle w:val="a"/>
        <w:widowControl/>
        <w:numPr>
          <w:ilvl w:val="0"/>
          <w:numId w:val="36"/>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debt-to-equity ratio is another measure of solvency.</w:t>
      </w:r>
    </w:p>
    <w:p w14:paraId="2A5432D7" w14:textId="77777777" w:rsidR="00215DCC" w:rsidRPr="00B55479" w:rsidRDefault="00215DCC" w:rsidP="00215DCC">
      <w:pPr>
        <w:pStyle w:val="a"/>
        <w:widowControl/>
        <w:numPr>
          <w:ilvl w:val="0"/>
          <w:numId w:val="36"/>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It shows the relationship between the proportions of capital provided by creditors versus the amount provided by owners.  </w:t>
      </w:r>
    </w:p>
    <w:p w14:paraId="7B2F308D"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5C66983E" w14:textId="77777777" w:rsidR="00215DCC" w:rsidRPr="00B55479" w:rsidRDefault="00A44D41" w:rsidP="00215DCC">
      <w:pPr>
        <w:pStyle w:val="IRMLevel1"/>
        <w:numPr>
          <w:ilvl w:val="0"/>
          <w:numId w:val="0"/>
        </w:numPr>
        <w:spacing w:after="0"/>
        <w:contextualSpacing/>
        <w:jc w:val="center"/>
        <w:rPr>
          <w:rFonts w:asciiTheme="minorHAnsi" w:hAnsiTheme="minorHAnsi"/>
          <w:b w:val="0"/>
          <w:bCs w:val="0"/>
          <w:sz w:val="20"/>
          <w:szCs w:val="20"/>
        </w:rPr>
      </w:pPr>
      <w:r w:rsidRPr="00B55479">
        <w:rPr>
          <w:rFonts w:asciiTheme="minorHAnsi" w:hAnsiTheme="minorHAnsi"/>
          <w:b w:val="0"/>
          <w:bCs w:val="0"/>
          <w:position w:val="-28"/>
          <w:sz w:val="20"/>
          <w:szCs w:val="20"/>
        </w:rPr>
        <w:object w:dxaOrig="3920" w:dyaOrig="660">
          <v:shape id="_x0000_i1028" type="#_x0000_t75" style="width:196pt;height:33.35pt" o:ole="">
            <v:imagedata r:id="rId12" o:title=""/>
          </v:shape>
          <o:OLEObject Type="Embed" ProgID="Equation.3" ShapeID="_x0000_i1028" DrawAspect="Content" ObjectID="_1324380577" r:id="rId13"/>
        </w:object>
      </w:r>
    </w:p>
    <w:p w14:paraId="66EB6880"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7014D881" w14:textId="77777777" w:rsidR="00215DCC" w:rsidRPr="00B55479" w:rsidRDefault="00215DCC" w:rsidP="00215DCC">
      <w:pPr>
        <w:pStyle w:val="a"/>
        <w:widowControl/>
        <w:numPr>
          <w:ilvl w:val="0"/>
          <w:numId w:val="36"/>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A high ratio suggests that a company relies heavily on funds provided by creditors. This increases the risk that a company may not be able to meet its contractual financial obligations during a business downturn.</w:t>
      </w:r>
    </w:p>
    <w:p w14:paraId="6AC2BD2E" w14:textId="77777777" w:rsidR="00A44D41" w:rsidRPr="00B55479" w:rsidRDefault="00A44D41" w:rsidP="00A44D41">
      <w:pPr>
        <w:pStyle w:val="a"/>
        <w:widowControl/>
        <w:tabs>
          <w:tab w:val="right" w:pos="720"/>
          <w:tab w:val="left" w:pos="1440"/>
          <w:tab w:val="left" w:pos="1800"/>
          <w:tab w:val="left" w:pos="6840"/>
        </w:tabs>
        <w:ind w:left="1080" w:firstLine="0"/>
        <w:contextualSpacing/>
        <w:rPr>
          <w:rFonts w:asciiTheme="minorHAnsi" w:hAnsiTheme="minorHAnsi"/>
          <w:szCs w:val="20"/>
        </w:rPr>
      </w:pPr>
    </w:p>
    <w:p w14:paraId="4BE07257" w14:textId="77777777" w:rsidR="00B55479" w:rsidRDefault="00B55479">
      <w:pPr>
        <w:spacing w:after="200" w:line="276" w:lineRule="auto"/>
        <w:rPr>
          <w:rFonts w:asciiTheme="minorHAnsi" w:hAnsiTheme="minorHAnsi"/>
          <w:sz w:val="20"/>
          <w:szCs w:val="20"/>
        </w:rPr>
      </w:pPr>
      <w:r>
        <w:rPr>
          <w:rFonts w:asciiTheme="minorHAnsi" w:hAnsiTheme="minorHAnsi"/>
          <w:b/>
          <w:bCs/>
          <w:sz w:val="20"/>
          <w:szCs w:val="20"/>
        </w:rPr>
        <w:br w:type="page"/>
      </w:r>
    </w:p>
    <w:p w14:paraId="7C8F4B45" w14:textId="77777777" w:rsidR="00215DCC" w:rsidRPr="00B55479" w:rsidRDefault="00215DCC" w:rsidP="00215DCC">
      <w:pPr>
        <w:pStyle w:val="IRMLevel1"/>
        <w:numPr>
          <w:ilvl w:val="0"/>
          <w:numId w:val="2"/>
        </w:numPr>
        <w:tabs>
          <w:tab w:val="clear" w:pos="360"/>
          <w:tab w:val="num" w:pos="630"/>
        </w:tabs>
        <w:spacing w:after="0"/>
        <w:ind w:left="1170" w:hanging="1170"/>
        <w:contextualSpacing/>
        <w:rPr>
          <w:rFonts w:asciiTheme="minorHAnsi" w:hAnsiTheme="minorHAnsi"/>
          <w:b w:val="0"/>
          <w:bCs w:val="0"/>
          <w:sz w:val="20"/>
          <w:szCs w:val="20"/>
        </w:rPr>
      </w:pPr>
      <w:r w:rsidRPr="00B55479">
        <w:rPr>
          <w:rFonts w:asciiTheme="minorHAnsi" w:hAnsiTheme="minorHAnsi"/>
          <w:b w:val="0"/>
          <w:bCs w:val="0"/>
          <w:sz w:val="20"/>
          <w:szCs w:val="20"/>
        </w:rPr>
        <w:lastRenderedPageBreak/>
        <w:t>LO6 REPORT THE EARLY RETIREMENT OF BONDS.</w:t>
      </w:r>
    </w:p>
    <w:p w14:paraId="204783D7" w14:textId="77777777" w:rsidR="00215DCC" w:rsidRPr="00B55479" w:rsidRDefault="00215DCC" w:rsidP="00215DCC">
      <w:pPr>
        <w:pStyle w:val="a"/>
        <w:widowControl/>
        <w:numPr>
          <w:ilvl w:val="0"/>
          <w:numId w:val="37"/>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A company may decide to buy back its own bonds prior to the maturity date. A company's decision to buy back its bonds may be based on rising interest rates in the market price. Bond prices move in the opposite direction of interest rates.</w:t>
      </w:r>
    </w:p>
    <w:p w14:paraId="729986A0" w14:textId="77777777" w:rsidR="00215DCC" w:rsidRPr="00B55479" w:rsidRDefault="00215DCC" w:rsidP="00215DCC">
      <w:pPr>
        <w:pStyle w:val="a"/>
        <w:widowControl/>
        <w:numPr>
          <w:ilvl w:val="0"/>
          <w:numId w:val="37"/>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There are two ways for a company to buy its bonds.</w:t>
      </w:r>
    </w:p>
    <w:p w14:paraId="06CE98D2" w14:textId="77777777" w:rsidR="00215DCC" w:rsidRPr="00B55479" w:rsidRDefault="00215DCC" w:rsidP="00215DCC">
      <w:pPr>
        <w:pStyle w:val="IRMLevel2"/>
        <w:numPr>
          <w:ilvl w:val="0"/>
          <w:numId w:val="38"/>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If the bonds have a call feature, the issuer has the option to buy them back before they mature. Typically, a call premium is paid to the creditors upon early retirement (if it is specified in the bond indenture).</w:t>
      </w:r>
    </w:p>
    <w:p w14:paraId="3EC96AF5" w14:textId="77777777" w:rsidR="00215DCC" w:rsidRPr="00B55479" w:rsidRDefault="00215DCC" w:rsidP="00215DCC">
      <w:pPr>
        <w:pStyle w:val="IRMLevel2"/>
        <w:numPr>
          <w:ilvl w:val="0"/>
          <w:numId w:val="38"/>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The issuer might buy back the bonds on the open market to avoid paying a call premium.</w:t>
      </w:r>
    </w:p>
    <w:p w14:paraId="50191B76" w14:textId="77777777" w:rsidR="00215DCC" w:rsidRPr="00B55479" w:rsidRDefault="00215DCC" w:rsidP="00215DCC">
      <w:pPr>
        <w:pStyle w:val="a"/>
        <w:widowControl/>
        <w:numPr>
          <w:ilvl w:val="0"/>
          <w:numId w:val="37"/>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 xml:space="preserve">After considering any accrued interest at the date of purchase, the price paid for the bonds is compared to the carrying value of the bonds on the issuing company's books. </w:t>
      </w:r>
    </w:p>
    <w:p w14:paraId="6E3F4B44" w14:textId="77777777" w:rsidR="00215DCC" w:rsidRPr="00B55479" w:rsidRDefault="00215DCC" w:rsidP="00215DCC">
      <w:pPr>
        <w:pStyle w:val="IRMLevel2"/>
        <w:numPr>
          <w:ilvl w:val="0"/>
          <w:numId w:val="39"/>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 xml:space="preserve">If the price paid exceeds the carrying value, a loss on early retirement results. If the price paid is less than the carrying value, the company will record a gain on early retirement. </w:t>
      </w:r>
    </w:p>
    <w:p w14:paraId="0D3761E6" w14:textId="77777777" w:rsidR="00215DCC" w:rsidRPr="00B55479" w:rsidRDefault="00215DCC" w:rsidP="00215DCC">
      <w:pPr>
        <w:pStyle w:val="IRMLevel2"/>
        <w:numPr>
          <w:ilvl w:val="0"/>
          <w:numId w:val="39"/>
        </w:numPr>
        <w:tabs>
          <w:tab w:val="clear" w:pos="1800"/>
          <w:tab w:val="left" w:pos="1440"/>
        </w:tabs>
        <w:spacing w:after="0"/>
        <w:contextualSpacing/>
        <w:rPr>
          <w:rFonts w:asciiTheme="minorHAnsi" w:hAnsiTheme="minorHAnsi"/>
          <w:sz w:val="20"/>
          <w:szCs w:val="20"/>
        </w:rPr>
      </w:pPr>
      <w:r w:rsidRPr="00B55479">
        <w:rPr>
          <w:rFonts w:asciiTheme="minorHAnsi" w:hAnsiTheme="minorHAnsi"/>
          <w:sz w:val="20"/>
          <w:szCs w:val="20"/>
        </w:rPr>
        <w:t>A loss or a gain on early retirement of debt is included in the income statement as an extraordinary item.</w:t>
      </w:r>
    </w:p>
    <w:p w14:paraId="20B36124" w14:textId="77777777" w:rsidR="00215DCC" w:rsidRPr="00B55479" w:rsidRDefault="00215DCC" w:rsidP="00215DCC">
      <w:pPr>
        <w:pStyle w:val="a"/>
        <w:widowControl/>
        <w:numPr>
          <w:ilvl w:val="0"/>
          <w:numId w:val="37"/>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The loss or gain on early retirement of debt is also a taxable event in that year.</w:t>
      </w:r>
    </w:p>
    <w:p w14:paraId="1CA2587B" w14:textId="77777777" w:rsidR="00215DCC" w:rsidRPr="00B55479" w:rsidRDefault="00215DCC" w:rsidP="00215DCC">
      <w:pPr>
        <w:pStyle w:val="a"/>
        <w:widowControl/>
        <w:tabs>
          <w:tab w:val="right" w:pos="720"/>
          <w:tab w:val="left" w:pos="1440"/>
          <w:tab w:val="left" w:pos="1800"/>
          <w:tab w:val="left" w:pos="6840"/>
        </w:tabs>
        <w:ind w:left="0" w:firstLine="0"/>
        <w:contextualSpacing/>
        <w:rPr>
          <w:rFonts w:asciiTheme="minorHAnsi" w:hAnsiTheme="minorHAnsi"/>
          <w:szCs w:val="20"/>
        </w:rPr>
      </w:pPr>
    </w:p>
    <w:p w14:paraId="1B291537" w14:textId="77777777" w:rsidR="00215DCC" w:rsidRPr="00B55479" w:rsidRDefault="00215DCC" w:rsidP="00215DCC">
      <w:pPr>
        <w:pStyle w:val="IRMLevel1"/>
        <w:numPr>
          <w:ilvl w:val="0"/>
          <w:numId w:val="2"/>
        </w:numPr>
        <w:tabs>
          <w:tab w:val="clear" w:pos="360"/>
          <w:tab w:val="num" w:pos="630"/>
        </w:tabs>
        <w:spacing w:after="0"/>
        <w:ind w:left="1170" w:hanging="1170"/>
        <w:contextualSpacing/>
        <w:rPr>
          <w:rFonts w:asciiTheme="minorHAnsi" w:hAnsiTheme="minorHAnsi"/>
          <w:b w:val="0"/>
          <w:bCs w:val="0"/>
          <w:sz w:val="20"/>
          <w:szCs w:val="20"/>
        </w:rPr>
      </w:pPr>
      <w:r w:rsidRPr="00B55479">
        <w:rPr>
          <w:rFonts w:asciiTheme="minorHAnsi" w:hAnsiTheme="minorHAnsi"/>
          <w:b w:val="0"/>
          <w:bCs w:val="0"/>
          <w:sz w:val="20"/>
          <w:szCs w:val="20"/>
        </w:rPr>
        <w:t>LO7 EXPLAIN HOW FINANCING ACTIVITIES ARE REPORTED ON THE STATEMENT OF CASH FLOWS.</w:t>
      </w:r>
    </w:p>
    <w:p w14:paraId="121FB11B" w14:textId="77777777" w:rsidR="00215DCC" w:rsidRPr="00B55479" w:rsidRDefault="00215DCC" w:rsidP="00215DCC">
      <w:pPr>
        <w:pStyle w:val="a"/>
        <w:widowControl/>
        <w:numPr>
          <w:ilvl w:val="0"/>
          <w:numId w:val="4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Cash receipts from the issuance of bonds are shown as an inflow of cash in the financing section of the Statement of Cash Flows.</w:t>
      </w:r>
    </w:p>
    <w:p w14:paraId="64DA0F48" w14:textId="77777777" w:rsidR="00215DCC" w:rsidRPr="00B55479" w:rsidRDefault="00215DCC" w:rsidP="00215DCC">
      <w:pPr>
        <w:pStyle w:val="a"/>
        <w:widowControl/>
        <w:numPr>
          <w:ilvl w:val="0"/>
          <w:numId w:val="4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Repayments of bonds are shown as an outflow of cash in the financing section of the Statement of Cash Flows.</w:t>
      </w:r>
    </w:p>
    <w:p w14:paraId="1C891905" w14:textId="77777777" w:rsidR="00215DCC" w:rsidRPr="00B55479" w:rsidRDefault="00215DCC" w:rsidP="00215DCC">
      <w:pPr>
        <w:pStyle w:val="a"/>
        <w:widowControl/>
        <w:numPr>
          <w:ilvl w:val="0"/>
          <w:numId w:val="40"/>
        </w:numPr>
        <w:tabs>
          <w:tab w:val="right" w:pos="720"/>
          <w:tab w:val="left" w:pos="1440"/>
          <w:tab w:val="left" w:pos="1800"/>
          <w:tab w:val="left" w:pos="6840"/>
        </w:tabs>
        <w:contextualSpacing/>
        <w:rPr>
          <w:rFonts w:asciiTheme="minorHAnsi" w:hAnsiTheme="minorHAnsi"/>
          <w:szCs w:val="20"/>
        </w:rPr>
      </w:pPr>
      <w:r w:rsidRPr="00B55479">
        <w:rPr>
          <w:rFonts w:asciiTheme="minorHAnsi" w:hAnsiTheme="minorHAnsi"/>
          <w:szCs w:val="20"/>
        </w:rPr>
        <w:t>Interest payments are included in the operating section.</w:t>
      </w:r>
    </w:p>
    <w:p w14:paraId="5291A2D1" w14:textId="77777777" w:rsidR="00F61F1C" w:rsidRPr="00B55479" w:rsidRDefault="00F61F1C" w:rsidP="00215DCC">
      <w:pPr>
        <w:contextualSpacing/>
        <w:rPr>
          <w:rFonts w:asciiTheme="minorHAnsi" w:hAnsiTheme="minorHAnsi"/>
          <w:sz w:val="20"/>
          <w:szCs w:val="20"/>
        </w:rPr>
      </w:pPr>
    </w:p>
    <w:sectPr w:rsidR="00F61F1C" w:rsidRPr="00B55479" w:rsidSect="00E9106D">
      <w:pgSz w:w="11907" w:h="16839"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66E7"/>
    <w:multiLevelType w:val="hybridMultilevel"/>
    <w:tmpl w:val="FADEBF96"/>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4D04F2F"/>
    <w:multiLevelType w:val="hybridMultilevel"/>
    <w:tmpl w:val="EC3A1D5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1773F2"/>
    <w:multiLevelType w:val="hybridMultilevel"/>
    <w:tmpl w:val="C68A55EA"/>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521B09"/>
    <w:multiLevelType w:val="hybridMultilevel"/>
    <w:tmpl w:val="A7026F84"/>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AC413E"/>
    <w:multiLevelType w:val="hybridMultilevel"/>
    <w:tmpl w:val="3588027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3402E22"/>
    <w:multiLevelType w:val="hybridMultilevel"/>
    <w:tmpl w:val="260C0A8E"/>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8D216F"/>
    <w:multiLevelType w:val="hybridMultilevel"/>
    <w:tmpl w:val="B92C508E"/>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A876FBB"/>
    <w:multiLevelType w:val="hybridMultilevel"/>
    <w:tmpl w:val="6C3C9D00"/>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1E851B15"/>
    <w:multiLevelType w:val="hybridMultilevel"/>
    <w:tmpl w:val="5A2CBD8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5C74AE"/>
    <w:multiLevelType w:val="hybridMultilevel"/>
    <w:tmpl w:val="EBF6052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1AB54C5"/>
    <w:multiLevelType w:val="hybridMultilevel"/>
    <w:tmpl w:val="C726BA9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30D6F44"/>
    <w:multiLevelType w:val="hybridMultilevel"/>
    <w:tmpl w:val="873471DC"/>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AF6B4C"/>
    <w:multiLevelType w:val="hybridMultilevel"/>
    <w:tmpl w:val="114CE71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5A2C92"/>
    <w:multiLevelType w:val="hybridMultilevel"/>
    <w:tmpl w:val="55065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173208"/>
    <w:multiLevelType w:val="hybridMultilevel"/>
    <w:tmpl w:val="536E177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3363BD1"/>
    <w:multiLevelType w:val="hybridMultilevel"/>
    <w:tmpl w:val="F8BE19C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3972B5E"/>
    <w:multiLevelType w:val="hybridMultilevel"/>
    <w:tmpl w:val="F6EC507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64A4429"/>
    <w:multiLevelType w:val="hybridMultilevel"/>
    <w:tmpl w:val="5978EA98"/>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6770DBE"/>
    <w:multiLevelType w:val="multilevel"/>
    <w:tmpl w:val="5950BBB4"/>
    <w:lvl w:ilvl="0">
      <w:start w:val="10"/>
      <w:numFmt w:val="decimal"/>
      <w:pStyle w:val="Heading1"/>
      <w:suff w:val="space"/>
      <w:lvlText w:val="Chapter %1"/>
      <w:lvlJc w:val="center"/>
      <w:pPr>
        <w:ind w:left="720" w:firstLine="288"/>
      </w:pPr>
      <w:rPr>
        <w:rFonts w:ascii="Times New Roman" w:hAnsi="Times New Roman" w:hint="default"/>
        <w:b/>
        <w:i w:val="0"/>
        <w:caps/>
        <w:sz w:val="40"/>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pStyle w:val="Heading6"/>
      <w:suff w:val="nothing"/>
      <w:lvlText w:val=""/>
      <w:lvlJc w:val="left"/>
      <w:pPr>
        <w:ind w:left="720" w:firstLine="0"/>
      </w:pPr>
      <w:rPr>
        <w:rFonts w:hint="default"/>
      </w:rPr>
    </w:lvl>
    <w:lvl w:ilvl="6">
      <w:start w:val="1"/>
      <w:numFmt w:val="none"/>
      <w:pStyle w:val="Heading7"/>
      <w:suff w:val="nothing"/>
      <w:lvlText w:val=""/>
      <w:lvlJc w:val="left"/>
      <w:pPr>
        <w:ind w:left="720" w:firstLine="0"/>
      </w:pPr>
      <w:rPr>
        <w:rFonts w:hint="default"/>
      </w:rPr>
    </w:lvl>
    <w:lvl w:ilvl="7">
      <w:start w:val="1"/>
      <w:numFmt w:val="none"/>
      <w:pStyle w:val="Heading8"/>
      <w:suff w:val="nothing"/>
      <w:lvlText w:val=""/>
      <w:lvlJc w:val="left"/>
      <w:pPr>
        <w:ind w:left="720" w:firstLine="0"/>
      </w:pPr>
      <w:rPr>
        <w:rFonts w:hint="default"/>
      </w:rPr>
    </w:lvl>
    <w:lvl w:ilvl="8">
      <w:start w:val="1"/>
      <w:numFmt w:val="none"/>
      <w:pStyle w:val="Heading9"/>
      <w:suff w:val="nothing"/>
      <w:lvlText w:val=""/>
      <w:lvlJc w:val="left"/>
      <w:pPr>
        <w:ind w:left="720" w:firstLine="0"/>
      </w:pPr>
      <w:rPr>
        <w:rFonts w:hint="default"/>
      </w:rPr>
    </w:lvl>
  </w:abstractNum>
  <w:abstractNum w:abstractNumId="19">
    <w:nsid w:val="4A101F05"/>
    <w:multiLevelType w:val="hybridMultilevel"/>
    <w:tmpl w:val="53568D5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1C2A0F"/>
    <w:multiLevelType w:val="hybridMultilevel"/>
    <w:tmpl w:val="00B0B79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D8F2858"/>
    <w:multiLevelType w:val="hybridMultilevel"/>
    <w:tmpl w:val="CECE3D7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E3A43E1"/>
    <w:multiLevelType w:val="hybridMultilevel"/>
    <w:tmpl w:val="AE94D47C"/>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4F78B9"/>
    <w:multiLevelType w:val="hybridMultilevel"/>
    <w:tmpl w:val="2E98C65A"/>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4FF93A27"/>
    <w:multiLevelType w:val="hybridMultilevel"/>
    <w:tmpl w:val="58786BF2"/>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592F1A82"/>
    <w:multiLevelType w:val="hybridMultilevel"/>
    <w:tmpl w:val="25E04AA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372058"/>
    <w:multiLevelType w:val="hybridMultilevel"/>
    <w:tmpl w:val="0338E32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1570531"/>
    <w:multiLevelType w:val="hybridMultilevel"/>
    <w:tmpl w:val="8BE6973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50F40DC"/>
    <w:multiLevelType w:val="hybridMultilevel"/>
    <w:tmpl w:val="0B2C190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CF7A7C"/>
    <w:multiLevelType w:val="hybridMultilevel"/>
    <w:tmpl w:val="7DFC8A4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A57F8B"/>
    <w:multiLevelType w:val="hybridMultilevel"/>
    <w:tmpl w:val="BB96D9DC"/>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1">
    <w:nsid w:val="67D050CC"/>
    <w:multiLevelType w:val="hybridMultilevel"/>
    <w:tmpl w:val="D11CAEA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8E725FA"/>
    <w:multiLevelType w:val="hybridMultilevel"/>
    <w:tmpl w:val="3DF2DDF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F927A9E"/>
    <w:multiLevelType w:val="hybridMultilevel"/>
    <w:tmpl w:val="85DE373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0041F9A"/>
    <w:multiLevelType w:val="hybridMultilevel"/>
    <w:tmpl w:val="22B6FC1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47F6C7E"/>
    <w:multiLevelType w:val="hybridMultilevel"/>
    <w:tmpl w:val="F19688C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7247361"/>
    <w:multiLevelType w:val="hybridMultilevel"/>
    <w:tmpl w:val="4D06614A"/>
    <w:lvl w:ilvl="0" w:tplc="A06CCABA">
      <w:start w:val="1"/>
      <w:numFmt w:val="lowerLetter"/>
      <w:lvlText w:val="%1."/>
      <w:lvlJc w:val="left"/>
      <w:pPr>
        <w:tabs>
          <w:tab w:val="num" w:pos="720"/>
        </w:tabs>
        <w:ind w:left="720" w:hanging="360"/>
      </w:pPr>
      <w:rPr>
        <w:rFonts w:hint="default"/>
        <w:b/>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79BB5B19"/>
    <w:multiLevelType w:val="hybridMultilevel"/>
    <w:tmpl w:val="4FE6AD8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A5D0FDA"/>
    <w:multiLevelType w:val="hybridMultilevel"/>
    <w:tmpl w:val="87C65AC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701A48"/>
    <w:multiLevelType w:val="hybridMultilevel"/>
    <w:tmpl w:val="F998ED96"/>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nsid w:val="7F860E11"/>
    <w:multiLevelType w:val="hybridMultilevel"/>
    <w:tmpl w:val="CAB65634"/>
    <w:lvl w:ilvl="0" w:tplc="A06CCABA">
      <w:start w:val="1"/>
      <w:numFmt w:val="lowerLetter"/>
      <w:lvlText w:val="%1."/>
      <w:lvlJc w:val="left"/>
      <w:pPr>
        <w:tabs>
          <w:tab w:val="num" w:pos="1440"/>
        </w:tabs>
        <w:ind w:left="144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20"/>
  </w:num>
  <w:num w:numId="2">
    <w:abstractNumId w:val="20"/>
    <w:lvlOverride w:ilvl="0">
      <w:startOverride w:val="1"/>
    </w:lvlOverride>
  </w:num>
  <w:num w:numId="3">
    <w:abstractNumId w:val="36"/>
  </w:num>
  <w:num w:numId="4">
    <w:abstractNumId w:val="21"/>
  </w:num>
  <w:num w:numId="5">
    <w:abstractNumId w:val="26"/>
  </w:num>
  <w:num w:numId="6">
    <w:abstractNumId w:val="3"/>
  </w:num>
  <w:num w:numId="7">
    <w:abstractNumId w:val="33"/>
  </w:num>
  <w:num w:numId="8">
    <w:abstractNumId w:val="28"/>
  </w:num>
  <w:num w:numId="9">
    <w:abstractNumId w:val="27"/>
  </w:num>
  <w:num w:numId="10">
    <w:abstractNumId w:val="16"/>
  </w:num>
  <w:num w:numId="11">
    <w:abstractNumId w:val="0"/>
  </w:num>
  <w:num w:numId="12">
    <w:abstractNumId w:val="8"/>
  </w:num>
  <w:num w:numId="13">
    <w:abstractNumId w:val="7"/>
  </w:num>
  <w:num w:numId="14">
    <w:abstractNumId w:val="30"/>
  </w:num>
  <w:num w:numId="15">
    <w:abstractNumId w:val="35"/>
  </w:num>
  <w:num w:numId="16">
    <w:abstractNumId w:val="40"/>
  </w:num>
  <w:num w:numId="17">
    <w:abstractNumId w:val="24"/>
  </w:num>
  <w:num w:numId="18">
    <w:abstractNumId w:val="23"/>
  </w:num>
  <w:num w:numId="19">
    <w:abstractNumId w:val="19"/>
  </w:num>
  <w:num w:numId="20">
    <w:abstractNumId w:val="39"/>
  </w:num>
  <w:num w:numId="21">
    <w:abstractNumId w:val="10"/>
  </w:num>
  <w:num w:numId="22">
    <w:abstractNumId w:val="22"/>
  </w:num>
  <w:num w:numId="23">
    <w:abstractNumId w:val="37"/>
  </w:num>
  <w:num w:numId="24">
    <w:abstractNumId w:val="31"/>
  </w:num>
  <w:num w:numId="25">
    <w:abstractNumId w:val="14"/>
  </w:num>
  <w:num w:numId="26">
    <w:abstractNumId w:val="11"/>
  </w:num>
  <w:num w:numId="27">
    <w:abstractNumId w:val="32"/>
  </w:num>
  <w:num w:numId="28">
    <w:abstractNumId w:val="2"/>
  </w:num>
  <w:num w:numId="29">
    <w:abstractNumId w:val="4"/>
  </w:num>
  <w:num w:numId="30">
    <w:abstractNumId w:val="38"/>
  </w:num>
  <w:num w:numId="31">
    <w:abstractNumId w:val="1"/>
  </w:num>
  <w:num w:numId="32">
    <w:abstractNumId w:val="9"/>
  </w:num>
  <w:num w:numId="33">
    <w:abstractNumId w:val="15"/>
  </w:num>
  <w:num w:numId="34">
    <w:abstractNumId w:val="17"/>
  </w:num>
  <w:num w:numId="35">
    <w:abstractNumId w:val="12"/>
  </w:num>
  <w:num w:numId="36">
    <w:abstractNumId w:val="34"/>
  </w:num>
  <w:num w:numId="37">
    <w:abstractNumId w:val="29"/>
  </w:num>
  <w:num w:numId="38">
    <w:abstractNumId w:val="5"/>
  </w:num>
  <w:num w:numId="39">
    <w:abstractNumId w:val="6"/>
  </w:num>
  <w:num w:numId="40">
    <w:abstractNumId w:val="25"/>
  </w:num>
  <w:num w:numId="41">
    <w:abstractNumId w:val="18"/>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proofState w:spelling="clean" w:grammar="clean"/>
  <w:attachedTemplate r:id="rId1"/>
  <w:defaultTabStop w:val="720"/>
  <w:drawingGridHorizontalSpacing w:val="120"/>
  <w:displayHorizontalDrawingGridEvery w:val="2"/>
  <w:characterSpacingControl w:val="doNotCompress"/>
  <w:compat>
    <w:applyBreakingRules/>
    <w:compatSetting w:name="compatibilityMode" w:uri="http://schemas.microsoft.com/office/word" w:val="12"/>
  </w:compat>
  <w:rsids>
    <w:rsidRoot w:val="00215DCC"/>
    <w:rsid w:val="0014174B"/>
    <w:rsid w:val="00215DCC"/>
    <w:rsid w:val="004D127B"/>
    <w:rsid w:val="004D5CBD"/>
    <w:rsid w:val="008E11C7"/>
    <w:rsid w:val="00922B34"/>
    <w:rsid w:val="00A026D1"/>
    <w:rsid w:val="00A44D41"/>
    <w:rsid w:val="00B55479"/>
    <w:rsid w:val="00E9106D"/>
    <w:rsid w:val="00F61F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DC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15DCC"/>
    <w:pPr>
      <w:keepNext/>
      <w:numPr>
        <w:numId w:val="4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215DCC"/>
    <w:pPr>
      <w:widowControl w:val="0"/>
      <w:numPr>
        <w:ilvl w:val="1"/>
        <w:numId w:val="41"/>
      </w:numPr>
      <w:autoSpaceDE w:val="0"/>
      <w:autoSpaceDN w:val="0"/>
      <w:adjustRightInd w:val="0"/>
      <w:outlineLvl w:val="1"/>
    </w:pPr>
    <w:rPr>
      <w:sz w:val="32"/>
      <w:szCs w:val="32"/>
    </w:rPr>
  </w:style>
  <w:style w:type="paragraph" w:styleId="Heading3">
    <w:name w:val="heading 3"/>
    <w:basedOn w:val="Normal"/>
    <w:next w:val="Normal"/>
    <w:link w:val="Heading3Char"/>
    <w:qFormat/>
    <w:rsid w:val="00215DCC"/>
    <w:pPr>
      <w:keepNext/>
      <w:numPr>
        <w:ilvl w:val="2"/>
        <w:numId w:val="4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15DCC"/>
    <w:pPr>
      <w:keepNext/>
      <w:numPr>
        <w:ilvl w:val="3"/>
        <w:numId w:val="41"/>
      </w:numPr>
      <w:spacing w:before="240" w:after="60"/>
      <w:outlineLvl w:val="3"/>
    </w:pPr>
    <w:rPr>
      <w:b/>
      <w:bCs/>
      <w:sz w:val="28"/>
      <w:szCs w:val="28"/>
    </w:rPr>
  </w:style>
  <w:style w:type="paragraph" w:styleId="Heading5">
    <w:name w:val="heading 5"/>
    <w:basedOn w:val="Normal"/>
    <w:next w:val="Normal"/>
    <w:link w:val="Heading5Char"/>
    <w:qFormat/>
    <w:rsid w:val="00215DCC"/>
    <w:pPr>
      <w:numPr>
        <w:ilvl w:val="4"/>
        <w:numId w:val="41"/>
      </w:numPr>
      <w:spacing w:before="240" w:after="60"/>
      <w:outlineLvl w:val="4"/>
    </w:pPr>
    <w:rPr>
      <w:b/>
      <w:bCs/>
      <w:i/>
      <w:iCs/>
      <w:sz w:val="26"/>
      <w:szCs w:val="26"/>
    </w:rPr>
  </w:style>
  <w:style w:type="paragraph" w:styleId="Heading6">
    <w:name w:val="heading 6"/>
    <w:basedOn w:val="Normal"/>
    <w:next w:val="Normal"/>
    <w:link w:val="Heading6Char"/>
    <w:qFormat/>
    <w:rsid w:val="00215DCC"/>
    <w:pPr>
      <w:numPr>
        <w:ilvl w:val="5"/>
        <w:numId w:val="41"/>
      </w:numPr>
      <w:spacing w:before="240" w:after="60"/>
      <w:outlineLvl w:val="5"/>
    </w:pPr>
    <w:rPr>
      <w:b/>
      <w:bCs/>
      <w:sz w:val="22"/>
      <w:szCs w:val="22"/>
    </w:rPr>
  </w:style>
  <w:style w:type="paragraph" w:styleId="Heading7">
    <w:name w:val="heading 7"/>
    <w:basedOn w:val="Normal"/>
    <w:next w:val="Normal"/>
    <w:link w:val="Heading7Char"/>
    <w:qFormat/>
    <w:rsid w:val="00215DCC"/>
    <w:pPr>
      <w:numPr>
        <w:ilvl w:val="6"/>
        <w:numId w:val="41"/>
      </w:numPr>
      <w:spacing w:before="240" w:after="60"/>
      <w:outlineLvl w:val="6"/>
    </w:pPr>
  </w:style>
  <w:style w:type="paragraph" w:styleId="Heading8">
    <w:name w:val="heading 8"/>
    <w:basedOn w:val="Normal"/>
    <w:next w:val="Normal"/>
    <w:link w:val="Heading8Char"/>
    <w:qFormat/>
    <w:rsid w:val="00215DCC"/>
    <w:pPr>
      <w:numPr>
        <w:ilvl w:val="7"/>
        <w:numId w:val="41"/>
      </w:numPr>
      <w:spacing w:before="240" w:after="60"/>
      <w:outlineLvl w:val="7"/>
    </w:pPr>
    <w:rPr>
      <w:i/>
      <w:iCs/>
    </w:rPr>
  </w:style>
  <w:style w:type="paragraph" w:styleId="Heading9">
    <w:name w:val="heading 9"/>
    <w:basedOn w:val="Normal"/>
    <w:next w:val="Normal"/>
    <w:link w:val="Heading9Char"/>
    <w:qFormat/>
    <w:rsid w:val="00215DCC"/>
    <w:pPr>
      <w:numPr>
        <w:ilvl w:val="8"/>
        <w:numId w:val="4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DCC"/>
    <w:rPr>
      <w:rFonts w:ascii="Arial" w:eastAsia="Times New Roman" w:hAnsi="Arial" w:cs="Arial"/>
      <w:b/>
      <w:bCs/>
      <w:kern w:val="32"/>
      <w:sz w:val="32"/>
      <w:szCs w:val="32"/>
    </w:rPr>
  </w:style>
  <w:style w:type="character" w:customStyle="1" w:styleId="Heading2Char">
    <w:name w:val="Heading 2 Char"/>
    <w:basedOn w:val="DefaultParagraphFont"/>
    <w:link w:val="Heading2"/>
    <w:rsid w:val="00215DCC"/>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215DCC"/>
    <w:rPr>
      <w:rFonts w:ascii="Arial" w:eastAsia="Times New Roman" w:hAnsi="Arial" w:cs="Arial"/>
      <w:b/>
      <w:bCs/>
      <w:sz w:val="26"/>
      <w:szCs w:val="26"/>
    </w:rPr>
  </w:style>
  <w:style w:type="character" w:customStyle="1" w:styleId="Heading4Char">
    <w:name w:val="Heading 4 Char"/>
    <w:basedOn w:val="DefaultParagraphFont"/>
    <w:link w:val="Heading4"/>
    <w:rsid w:val="00215DCC"/>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215DCC"/>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215DCC"/>
    <w:rPr>
      <w:rFonts w:ascii="Times New Roman" w:eastAsia="Times New Roman" w:hAnsi="Times New Roman" w:cs="Times New Roman"/>
      <w:b/>
      <w:bCs/>
    </w:rPr>
  </w:style>
  <w:style w:type="character" w:customStyle="1" w:styleId="Heading7Char">
    <w:name w:val="Heading 7 Char"/>
    <w:basedOn w:val="DefaultParagraphFont"/>
    <w:link w:val="Heading7"/>
    <w:rsid w:val="00215DCC"/>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215DC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215DCC"/>
    <w:rPr>
      <w:rFonts w:ascii="Arial" w:eastAsia="Times New Roman" w:hAnsi="Arial" w:cs="Arial"/>
    </w:rPr>
  </w:style>
  <w:style w:type="paragraph" w:styleId="Title">
    <w:name w:val="Title"/>
    <w:basedOn w:val="Normal"/>
    <w:link w:val="TitleChar"/>
    <w:qFormat/>
    <w:rsid w:val="00215DCC"/>
    <w:pPr>
      <w:jc w:val="center"/>
    </w:pPr>
    <w:rPr>
      <w:rFonts w:ascii="Comic Sans MS" w:hAnsi="Comic Sans MS"/>
      <w:b/>
      <w:bCs/>
      <w:color w:val="993366"/>
      <w:sz w:val="40"/>
    </w:rPr>
  </w:style>
  <w:style w:type="character" w:customStyle="1" w:styleId="TitleChar">
    <w:name w:val="Title Char"/>
    <w:basedOn w:val="DefaultParagraphFont"/>
    <w:link w:val="Title"/>
    <w:rsid w:val="00215DCC"/>
    <w:rPr>
      <w:rFonts w:ascii="Comic Sans MS" w:eastAsia="Times New Roman" w:hAnsi="Comic Sans MS" w:cs="Times New Roman"/>
      <w:b/>
      <w:bCs/>
      <w:color w:val="993366"/>
      <w:sz w:val="40"/>
      <w:szCs w:val="24"/>
    </w:rPr>
  </w:style>
  <w:style w:type="paragraph" w:customStyle="1" w:styleId="a">
    <w:name w:val="_"/>
    <w:basedOn w:val="Normal"/>
    <w:rsid w:val="00215DCC"/>
    <w:pPr>
      <w:widowControl w:val="0"/>
      <w:autoSpaceDE w:val="0"/>
      <w:autoSpaceDN w:val="0"/>
      <w:adjustRightInd w:val="0"/>
      <w:ind w:left="1620" w:hanging="450"/>
    </w:pPr>
    <w:rPr>
      <w:rFonts w:ascii="Arial" w:hAnsi="Arial"/>
      <w:sz w:val="20"/>
    </w:rPr>
  </w:style>
  <w:style w:type="paragraph" w:styleId="BodyText">
    <w:name w:val="Body Text"/>
    <w:basedOn w:val="Normal"/>
    <w:link w:val="BodyTextChar"/>
    <w:rsid w:val="00215DCC"/>
    <w:rPr>
      <w:i/>
      <w:iCs/>
    </w:rPr>
  </w:style>
  <w:style w:type="character" w:customStyle="1" w:styleId="BodyTextChar">
    <w:name w:val="Body Text Char"/>
    <w:basedOn w:val="DefaultParagraphFont"/>
    <w:link w:val="BodyText"/>
    <w:rsid w:val="00215DCC"/>
    <w:rPr>
      <w:rFonts w:ascii="Times New Roman" w:eastAsia="Times New Roman" w:hAnsi="Times New Roman" w:cs="Times New Roman"/>
      <w:i/>
      <w:iCs/>
      <w:sz w:val="24"/>
      <w:szCs w:val="24"/>
    </w:rPr>
  </w:style>
  <w:style w:type="paragraph" w:customStyle="1" w:styleId="IRMLevel1">
    <w:name w:val="IRM Level 1"/>
    <w:basedOn w:val="Heading2"/>
    <w:rsid w:val="00215DCC"/>
    <w:pPr>
      <w:numPr>
        <w:ilvl w:val="0"/>
        <w:numId w:val="1"/>
      </w:numPr>
      <w:spacing w:after="120"/>
    </w:pPr>
    <w:rPr>
      <w:b/>
      <w:bCs/>
      <w:sz w:val="24"/>
    </w:rPr>
  </w:style>
  <w:style w:type="paragraph" w:customStyle="1" w:styleId="IRMLevel2">
    <w:name w:val="IRM Level 2"/>
    <w:basedOn w:val="a"/>
    <w:rsid w:val="00215DCC"/>
    <w:pPr>
      <w:widowControl/>
      <w:numPr>
        <w:ilvl w:val="1"/>
        <w:numId w:val="1"/>
      </w:numPr>
      <w:tabs>
        <w:tab w:val="left" w:pos="1800"/>
        <w:tab w:val="left" w:pos="6840"/>
      </w:tabs>
      <w:spacing w:after="120"/>
    </w:pPr>
    <w:rPr>
      <w:rFonts w:ascii="Times New Roman" w:hAnsi="Times New Roman"/>
      <w:sz w:val="24"/>
    </w:rPr>
  </w:style>
  <w:style w:type="paragraph" w:styleId="ListParagraph">
    <w:name w:val="List Paragraph"/>
    <w:basedOn w:val="Normal"/>
    <w:qFormat/>
    <w:rsid w:val="00215DCC"/>
    <w:pPr>
      <w:spacing w:after="200" w:line="276" w:lineRule="auto"/>
      <w:ind w:left="720"/>
    </w:pPr>
    <w:rPr>
      <w:rFonts w:ascii="Calibri" w:hAnsi="Calibri"/>
      <w:sz w:val="22"/>
      <w:szCs w:val="22"/>
    </w:rPr>
  </w:style>
  <w:style w:type="paragraph" w:customStyle="1" w:styleId="LLSLevel2">
    <w:name w:val="LLS Level 2"/>
    <w:basedOn w:val="a"/>
    <w:rsid w:val="00215DCC"/>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215DCC"/>
    <w:pPr>
      <w:ind w:left="0"/>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2715</Words>
  <Characters>15480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5</cp:revision>
  <cp:lastPrinted>2010-01-07T07:36:00Z</cp:lastPrinted>
  <dcterms:created xsi:type="dcterms:W3CDTF">2009-01-11T15:28:00Z</dcterms:created>
  <dcterms:modified xsi:type="dcterms:W3CDTF">2010-01-07T07:43:00Z</dcterms:modified>
</cp:coreProperties>
</file>