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77FDD6" w14:textId="47E06FFF" w:rsidR="004053A3" w:rsidRPr="00C61E83" w:rsidRDefault="004053A3" w:rsidP="00DA2B38">
      <w:pPr>
        <w:jc w:val="right"/>
        <w:rPr>
          <w:rFonts w:ascii="Times New Roman" w:hAnsi="Times New Roman" w:cs="Times New Roman"/>
        </w:rPr>
      </w:pPr>
      <w:proofErr w:type="spellStart"/>
      <w:r w:rsidRPr="00C61E83">
        <w:rPr>
          <w:rFonts w:ascii="Times New Roman" w:hAnsi="Times New Roman" w:cs="Times New Roman"/>
        </w:rPr>
        <w:t>Lalipat</w:t>
      </w:r>
      <w:proofErr w:type="spellEnd"/>
      <w:r w:rsidRPr="00C61E83">
        <w:rPr>
          <w:rFonts w:ascii="Times New Roman" w:hAnsi="Times New Roman" w:cs="Times New Roman"/>
        </w:rPr>
        <w:t xml:space="preserve"> </w:t>
      </w:r>
      <w:proofErr w:type="spellStart"/>
      <w:r w:rsidRPr="00C61E83">
        <w:rPr>
          <w:rFonts w:ascii="Times New Roman" w:hAnsi="Times New Roman" w:cs="Times New Roman"/>
        </w:rPr>
        <w:t>Tachapattarawat</w:t>
      </w:r>
      <w:proofErr w:type="spellEnd"/>
    </w:p>
    <w:p w14:paraId="0C9193D1" w14:textId="061E8F80" w:rsidR="004053A3" w:rsidRPr="00C61E83" w:rsidRDefault="004053A3" w:rsidP="00DA2B38">
      <w:pPr>
        <w:jc w:val="right"/>
        <w:rPr>
          <w:rFonts w:ascii="Times New Roman" w:hAnsi="Times New Roman" w:cs="Times New Roman"/>
        </w:rPr>
      </w:pPr>
      <w:r w:rsidRPr="00C61E83">
        <w:rPr>
          <w:rFonts w:ascii="Times New Roman" w:hAnsi="Times New Roman" w:cs="Times New Roman"/>
        </w:rPr>
        <w:t>5504640607</w:t>
      </w:r>
    </w:p>
    <w:p w14:paraId="083576E3" w14:textId="5D73DB58" w:rsidR="004053A3" w:rsidRPr="00C61E83" w:rsidRDefault="004053A3" w:rsidP="00DA2B38">
      <w:pPr>
        <w:jc w:val="right"/>
        <w:rPr>
          <w:rFonts w:ascii="Times New Roman" w:hAnsi="Times New Roman" w:cs="Times New Roman"/>
        </w:rPr>
      </w:pPr>
      <w:r w:rsidRPr="00C61E83">
        <w:rPr>
          <w:rFonts w:ascii="Times New Roman" w:hAnsi="Times New Roman" w:cs="Times New Roman"/>
        </w:rPr>
        <w:t>EE441 Individual assignment</w:t>
      </w:r>
    </w:p>
    <w:p w14:paraId="1FEA7FDF" w14:textId="6C522F9A" w:rsidR="004053A3" w:rsidRPr="00C61E83" w:rsidRDefault="004053A3" w:rsidP="00DA2B38">
      <w:pPr>
        <w:jc w:val="right"/>
        <w:rPr>
          <w:rFonts w:ascii="Times New Roman" w:hAnsi="Times New Roman" w:cs="Times New Roman"/>
        </w:rPr>
      </w:pPr>
      <w:r w:rsidRPr="00C61E83">
        <w:rPr>
          <w:rFonts w:ascii="Times New Roman" w:hAnsi="Times New Roman" w:cs="Times New Roman"/>
        </w:rPr>
        <w:t>Country: New Zealand</w:t>
      </w:r>
    </w:p>
    <w:p w14:paraId="00E71674" w14:textId="77777777" w:rsidR="00DA2B38" w:rsidRDefault="00DA2B38" w:rsidP="00280C3A">
      <w:pPr>
        <w:spacing w:line="480" w:lineRule="auto"/>
        <w:rPr>
          <w:rFonts w:ascii="Times New Roman" w:hAnsi="Times New Roman" w:cs="Times New Roman"/>
          <w:u w:val="single"/>
        </w:rPr>
      </w:pPr>
    </w:p>
    <w:p w14:paraId="328AB79C" w14:textId="3758FF98" w:rsidR="0035350B" w:rsidRPr="00C61E83" w:rsidRDefault="00FA5058" w:rsidP="00280C3A">
      <w:pPr>
        <w:spacing w:line="480" w:lineRule="auto"/>
        <w:rPr>
          <w:rFonts w:ascii="Times New Roman" w:hAnsi="Times New Roman" w:cs="Times New Roman"/>
          <w:u w:val="single"/>
        </w:rPr>
      </w:pPr>
      <w:r w:rsidRPr="00C61E83">
        <w:rPr>
          <w:rFonts w:ascii="Times New Roman" w:hAnsi="Times New Roman" w:cs="Times New Roman"/>
          <w:u w:val="single"/>
        </w:rPr>
        <w:t>Overview picture of New Zealand</w:t>
      </w:r>
    </w:p>
    <w:p w14:paraId="0CAFD2BD" w14:textId="1C48D5F1" w:rsidR="005E647A" w:rsidRPr="00C61E83" w:rsidRDefault="005E647A" w:rsidP="00280C3A">
      <w:pPr>
        <w:spacing w:line="480" w:lineRule="auto"/>
        <w:ind w:firstLine="720"/>
        <w:rPr>
          <w:rFonts w:ascii="Times New Roman" w:hAnsi="Times New Roman" w:cs="Times New Roman"/>
        </w:rPr>
      </w:pPr>
      <w:r w:rsidRPr="00C61E83">
        <w:rPr>
          <w:rFonts w:ascii="Times New Roman" w:hAnsi="Times New Roman" w:cs="Times New Roman"/>
        </w:rPr>
        <w:t>“Safe, friendly and welcoming, New Zealand is a natural playground full of opportunities for unique experiences” (Studyinnewzealand.com, 2015) is what New Zealand claimed itself as a suitable place for anyone to further their education in this country. The recent survey from OECD had indicated that NZ Education is on the right track, great quality of teaching education and averagely earned high score on international education test. However, what made New Zealand became so strong on this point? Track back to Government, who always right behind to support and gradually develop better level of country’s education system.</w:t>
      </w:r>
    </w:p>
    <w:p w14:paraId="7BB11C70" w14:textId="6E92C6E5" w:rsidR="00A955EF" w:rsidRPr="00C61E83" w:rsidRDefault="005E647A" w:rsidP="00280C3A">
      <w:pPr>
        <w:spacing w:line="480" w:lineRule="auto"/>
        <w:ind w:firstLine="720"/>
        <w:rPr>
          <w:rFonts w:ascii="Times New Roman" w:eastAsia="Times New Roman" w:hAnsi="Times New Roman" w:cs="Times New Roman"/>
        </w:rPr>
      </w:pPr>
      <w:r w:rsidRPr="00C61E83">
        <w:rPr>
          <w:rFonts w:ascii="Times New Roman" w:hAnsi="Times New Roman" w:cs="Times New Roman"/>
        </w:rPr>
        <w:t>New Zealand is controlled under ‘Parliamentary representative democrat monarchy’ system, has Queen Elizabeth II as head of state and Prime Minister as head of government. Election for government was conducted every 3 years, recent one held on 2014 and current PM is John Key from National party</w:t>
      </w:r>
      <w:r w:rsidR="00001124">
        <w:rPr>
          <w:rFonts w:ascii="Times New Roman" w:hAnsi="Times New Roman" w:cs="Times New Roman"/>
        </w:rPr>
        <w:t xml:space="preserve"> </w:t>
      </w:r>
      <w:r w:rsidRPr="00C61E83">
        <w:rPr>
          <w:rFonts w:ascii="Times New Roman" w:hAnsi="Times New Roman" w:cs="Times New Roman"/>
        </w:rPr>
        <w:t xml:space="preserve">(New Zealand Government, 2015). Government believed that human recourse is one of an essential key to generate economic growth and raise standard of living. Hence, education is necessary in this process (Treasury.govt.nz, 2013). The country is considered to be the high-income country with income of $30,493 per capita </w:t>
      </w:r>
      <w:r w:rsidR="00351EC1" w:rsidRPr="00C61E83">
        <w:rPr>
          <w:rFonts w:ascii="Times New Roman" w:eastAsia="Times New Roman" w:hAnsi="Times New Roman" w:cs="Times New Roman"/>
        </w:rPr>
        <w:t>(Heritage.org, 2015)</w:t>
      </w:r>
      <w:r w:rsidRPr="00C61E83">
        <w:rPr>
          <w:rFonts w:ascii="Times New Roman" w:hAnsi="Times New Roman" w:cs="Times New Roman"/>
        </w:rPr>
        <w:t xml:space="preserve"> and the country is a member of OECD since 1973.</w:t>
      </w:r>
    </w:p>
    <w:p w14:paraId="549CDE09" w14:textId="6E1ABEFA" w:rsidR="00A955EF" w:rsidRPr="00C61E83" w:rsidRDefault="00A955EF" w:rsidP="00280C3A">
      <w:pPr>
        <w:spacing w:line="480" w:lineRule="auto"/>
        <w:rPr>
          <w:rFonts w:ascii="Times New Roman" w:hAnsi="Times New Roman" w:cs="Times New Roman"/>
        </w:rPr>
      </w:pPr>
      <w:r w:rsidRPr="00C61E83">
        <w:rPr>
          <w:rFonts w:ascii="Times New Roman" w:hAnsi="Times New Roman" w:cs="Times New Roman"/>
        </w:rPr>
        <w:t>Share on public spending</w:t>
      </w:r>
    </w:p>
    <w:p w14:paraId="18E8F43B" w14:textId="452C5DF1" w:rsidR="00A955EF" w:rsidRPr="00C61E83" w:rsidRDefault="00A955EF" w:rsidP="00280C3A">
      <w:pPr>
        <w:spacing w:line="480" w:lineRule="auto"/>
        <w:ind w:firstLine="720"/>
        <w:rPr>
          <w:rFonts w:ascii="Times New Roman" w:hAnsi="Times New Roman" w:cs="Times New Roman"/>
        </w:rPr>
      </w:pPr>
      <w:r w:rsidRPr="00C61E83">
        <w:rPr>
          <w:rFonts w:ascii="Times New Roman" w:hAnsi="Times New Roman" w:cs="Times New Roman"/>
        </w:rPr>
        <w:t xml:space="preserve">The total actual crown expenses or government expenditure for the year ended 30 June 2015 has been classified by functional is shown in figure 1 and classified by functional as a percentage of total government expenditure is shown in figure 2. For the year 2014/2015, the total expenses of 94,272 million NZD were allocated to </w:t>
      </w:r>
      <w:proofErr w:type="spellStart"/>
      <w:r w:rsidR="00ED3C2A" w:rsidRPr="00C61E83">
        <w:rPr>
          <w:rFonts w:ascii="Times New Roman" w:hAnsi="Times New Roman" w:cs="Times New Roman"/>
        </w:rPr>
        <w:t>i</w:t>
      </w:r>
      <w:proofErr w:type="spellEnd"/>
      <w:r w:rsidR="00ED3C2A" w:rsidRPr="00C61E83">
        <w:rPr>
          <w:rFonts w:ascii="Times New Roman" w:hAnsi="Times New Roman" w:cs="Times New Roman"/>
        </w:rPr>
        <w:t>.) Core</w:t>
      </w:r>
      <w:r w:rsidRPr="00C61E83">
        <w:rPr>
          <w:rFonts w:ascii="Times New Roman" w:hAnsi="Times New Roman" w:cs="Times New Roman"/>
        </w:rPr>
        <w:t xml:space="preserve"> crown expenses, </w:t>
      </w:r>
      <w:r w:rsidR="00ED3C2A" w:rsidRPr="00C61E83">
        <w:rPr>
          <w:rFonts w:ascii="Times New Roman" w:hAnsi="Times New Roman" w:cs="Times New Roman"/>
        </w:rPr>
        <w:t xml:space="preserve">ii.) </w:t>
      </w:r>
      <w:r w:rsidR="00ED3C2A" w:rsidRPr="00C61E83">
        <w:rPr>
          <w:rFonts w:ascii="Times New Roman" w:hAnsi="Times New Roman" w:cs="Times New Roman"/>
        </w:rPr>
        <w:lastRenderedPageBreak/>
        <w:t>Crown</w:t>
      </w:r>
      <w:r w:rsidRPr="00C61E83">
        <w:rPr>
          <w:rFonts w:ascii="Times New Roman" w:hAnsi="Times New Roman" w:cs="Times New Roman"/>
        </w:rPr>
        <w:t xml:space="preserve"> entities and </w:t>
      </w:r>
      <w:r w:rsidR="00ED3C2A" w:rsidRPr="00C61E83">
        <w:rPr>
          <w:rFonts w:ascii="Times New Roman" w:hAnsi="Times New Roman" w:cs="Times New Roman"/>
        </w:rPr>
        <w:t>iii.) State</w:t>
      </w:r>
      <w:r w:rsidRPr="00C61E83">
        <w:rPr>
          <w:rFonts w:ascii="Times New Roman" w:hAnsi="Times New Roman" w:cs="Times New Roman"/>
        </w:rPr>
        <w:t xml:space="preserve">-owned enterprise. Core crown expenses include all expenses on social security and welfare and GSF, health, education, core government services, law and order, </w:t>
      </w:r>
      <w:proofErr w:type="spellStart"/>
      <w:r w:rsidRPr="00C61E83">
        <w:rPr>
          <w:rFonts w:ascii="Times New Roman" w:hAnsi="Times New Roman" w:cs="Times New Roman"/>
        </w:rPr>
        <w:t>defence</w:t>
      </w:r>
      <w:proofErr w:type="spellEnd"/>
      <w:r w:rsidRPr="00C61E83">
        <w:rPr>
          <w:rFonts w:ascii="Times New Roman" w:hAnsi="Times New Roman" w:cs="Times New Roman"/>
        </w:rPr>
        <w:t>, transport and communications, economic and industrial services and heritage, culture and recreation. As shown in figure 1, government has the highest spending on social security and welfare and GSF for the total of 23,881 million NZD which accounted for 25% of total government expenditure as shown in figure 2. Following with health sector in the second highest and education sector in the third highest that have expenses of 15,058 million NZD and 12,879 million NZD which accounted for 16% and 14%, respectively.</w:t>
      </w:r>
    </w:p>
    <w:p w14:paraId="39BA21B1" w14:textId="66E66CA5" w:rsidR="004A43D6" w:rsidRPr="00C61E83" w:rsidRDefault="00ED3C2A" w:rsidP="00280C3A">
      <w:pPr>
        <w:spacing w:line="480" w:lineRule="auto"/>
        <w:rPr>
          <w:rFonts w:ascii="Times New Roman" w:hAnsi="Times New Roman" w:cs="Times New Roman"/>
        </w:rPr>
      </w:pPr>
      <w:r w:rsidRPr="00C61E83">
        <w:rPr>
          <w:rFonts w:ascii="Times New Roman" w:hAnsi="Times New Roman" w:cs="Times New Roman"/>
        </w:rPr>
        <w:tab/>
        <w:t>The core crown spending structure for the country has no significant changed in proportion</w:t>
      </w:r>
      <w:r w:rsidR="008D6FF5" w:rsidRPr="00C61E83">
        <w:rPr>
          <w:rFonts w:ascii="Times New Roman" w:hAnsi="Times New Roman" w:cs="Times New Roman"/>
        </w:rPr>
        <w:t xml:space="preserve"> to</w:t>
      </w:r>
      <w:r w:rsidRPr="00C61E83">
        <w:rPr>
          <w:rFonts w:ascii="Times New Roman" w:hAnsi="Times New Roman" w:cs="Times New Roman"/>
        </w:rPr>
        <w:t xml:space="preserve"> the overall</w:t>
      </w:r>
      <w:r w:rsidR="008D6FF5" w:rsidRPr="00C61E83">
        <w:rPr>
          <w:rFonts w:ascii="Times New Roman" w:hAnsi="Times New Roman" w:cs="Times New Roman"/>
        </w:rPr>
        <w:t xml:space="preserve"> government</w:t>
      </w:r>
      <w:r w:rsidRPr="00C61E83">
        <w:rPr>
          <w:rFonts w:ascii="Times New Roman" w:hAnsi="Times New Roman" w:cs="Times New Roman"/>
        </w:rPr>
        <w:t xml:space="preserve"> spending as can be seen in figure 3. </w:t>
      </w:r>
      <w:r w:rsidR="008D6FF5" w:rsidRPr="00C61E83">
        <w:rPr>
          <w:rFonts w:ascii="Times New Roman" w:hAnsi="Times New Roman" w:cs="Times New Roman"/>
        </w:rPr>
        <w:t xml:space="preserve">Range from 0 to 100 percent is used to see the cumulative expenditure on each core crown expenses in each particular year, varies from 2011 to 2015. On the top or 100 percent represents the overall amount of monetary allocation to core crown expenses. Most of the sectors spending are in the same range for the past 5 years except for the </w:t>
      </w:r>
      <w:r w:rsidR="00F24E7E" w:rsidRPr="00C61E83">
        <w:rPr>
          <w:rFonts w:ascii="Times New Roman" w:hAnsi="Times New Roman" w:cs="Times New Roman"/>
        </w:rPr>
        <w:t>heritage, culture and recreation sector that h nearly double declined in budget from 4,094 million NZD in 2011 to 2,633 million NZD in 2015. Apart from that, all the top 3 spending sectors</w:t>
      </w:r>
      <w:proofErr w:type="gramStart"/>
      <w:r w:rsidR="00F24E7E" w:rsidRPr="00C61E83">
        <w:rPr>
          <w:rFonts w:ascii="Times New Roman" w:hAnsi="Times New Roman" w:cs="Times New Roman"/>
        </w:rPr>
        <w:t>;</w:t>
      </w:r>
      <w:proofErr w:type="gramEnd"/>
      <w:r w:rsidR="00F24E7E" w:rsidRPr="00C61E83">
        <w:rPr>
          <w:rFonts w:ascii="Times New Roman" w:hAnsi="Times New Roman" w:cs="Times New Roman"/>
        </w:rPr>
        <w:t xml:space="preserve"> social security and welfare and GSF, health and education are increased in budget every year.</w:t>
      </w:r>
    </w:p>
    <w:p w14:paraId="30E2EDFA" w14:textId="77777777" w:rsidR="00001124" w:rsidRDefault="00001124" w:rsidP="00280C3A">
      <w:pPr>
        <w:spacing w:line="480" w:lineRule="auto"/>
        <w:rPr>
          <w:rFonts w:ascii="Times New Roman" w:hAnsi="Times New Roman" w:cs="Times New Roman"/>
          <w:u w:val="single"/>
        </w:rPr>
      </w:pPr>
    </w:p>
    <w:p w14:paraId="199E066F" w14:textId="1392C2E3" w:rsidR="00FA5058" w:rsidRPr="00C61E83" w:rsidRDefault="00FA5058" w:rsidP="00280C3A">
      <w:pPr>
        <w:spacing w:line="480" w:lineRule="auto"/>
        <w:rPr>
          <w:rFonts w:ascii="Times New Roman" w:hAnsi="Times New Roman" w:cs="Times New Roman"/>
          <w:u w:val="single"/>
        </w:rPr>
      </w:pPr>
      <w:r w:rsidRPr="00C61E83">
        <w:rPr>
          <w:rFonts w:ascii="Times New Roman" w:hAnsi="Times New Roman" w:cs="Times New Roman"/>
          <w:u w:val="single"/>
        </w:rPr>
        <w:t>Education expenditure</w:t>
      </w:r>
    </w:p>
    <w:p w14:paraId="4061BD60" w14:textId="77777777" w:rsidR="00190B69" w:rsidRPr="00C61E83" w:rsidRDefault="003D4550" w:rsidP="00280C3A">
      <w:pPr>
        <w:spacing w:line="480" w:lineRule="auto"/>
        <w:rPr>
          <w:rFonts w:ascii="Times New Roman" w:eastAsia="Times New Roman" w:hAnsi="Times New Roman" w:cs="Times New Roman"/>
        </w:rPr>
      </w:pPr>
      <w:r w:rsidRPr="00C61E83">
        <w:rPr>
          <w:rFonts w:ascii="Times New Roman" w:hAnsi="Times New Roman" w:cs="Times New Roman"/>
        </w:rPr>
        <w:tab/>
        <w:t xml:space="preserve">The </w:t>
      </w:r>
      <w:r w:rsidR="00EB740B" w:rsidRPr="00C61E83">
        <w:rPr>
          <w:rFonts w:ascii="Times New Roman" w:hAnsi="Times New Roman" w:cs="Times New Roman"/>
        </w:rPr>
        <w:t xml:space="preserve">forecasting of </w:t>
      </w:r>
      <w:r w:rsidRPr="00C61E83">
        <w:rPr>
          <w:rFonts w:ascii="Times New Roman" w:hAnsi="Times New Roman" w:cs="Times New Roman"/>
        </w:rPr>
        <w:t xml:space="preserve">government expenditure on education </w:t>
      </w:r>
      <w:r w:rsidR="00EB740B" w:rsidRPr="00C61E83">
        <w:rPr>
          <w:rFonts w:ascii="Times New Roman" w:hAnsi="Times New Roman" w:cs="Times New Roman"/>
        </w:rPr>
        <w:t xml:space="preserve">budget is quite accurate in the recent years </w:t>
      </w:r>
      <w:r w:rsidR="00190B69" w:rsidRPr="00C61E83">
        <w:rPr>
          <w:rFonts w:ascii="Times New Roman" w:eastAsia="Times New Roman" w:hAnsi="Times New Roman" w:cs="Times New Roman"/>
        </w:rPr>
        <w:t>(Treasury.govt.nz, 2015)</w:t>
      </w:r>
    </w:p>
    <w:p w14:paraId="17C52394" w14:textId="00F2A06A" w:rsidR="00280C3A" w:rsidRPr="00C61E83" w:rsidRDefault="008461E0" w:rsidP="00280C3A">
      <w:pPr>
        <w:spacing w:line="480" w:lineRule="auto"/>
        <w:rPr>
          <w:rFonts w:ascii="Times New Roman" w:hAnsi="Times New Roman" w:cs="Times New Roman"/>
        </w:rPr>
      </w:pPr>
      <w:r w:rsidRPr="00C61E83">
        <w:rPr>
          <w:rFonts w:ascii="Times New Roman" w:hAnsi="Times New Roman" w:cs="Times New Roman"/>
        </w:rPr>
        <w:tab/>
        <w:t>From figure 4, the total annual expenditure on education is gradually growing from the level of 8,000 million NZD to 12,000 million NZD in 2015. However, as a percentage of expenditure to GDP in figure 5, it can be interpreted that government has decided to constantly spend around 5 – 6 percent of GDP on education. Thus, for the entire decade, expenditure on education is moving stability in its suitable range, no noticeable fluctuation on this spending. Even during global financial crisis on 2008, New Zealand did not seems to get much impact and the expenditure was only slightly dropped from the year earlier and showed increased in the next year. Overall picture of this show well plan on public spending of New Zealand government, although election of new government, they still have steady plan for the future education.</w:t>
      </w:r>
    </w:p>
    <w:p w14:paraId="28709B83" w14:textId="59E88F90" w:rsidR="0035350B" w:rsidRPr="00C61E83" w:rsidRDefault="0035350B" w:rsidP="00280C3A">
      <w:pPr>
        <w:spacing w:line="480" w:lineRule="auto"/>
        <w:rPr>
          <w:rFonts w:ascii="Times New Roman" w:hAnsi="Times New Roman" w:cs="Times New Roman"/>
        </w:rPr>
      </w:pPr>
      <w:r w:rsidRPr="00C61E83">
        <w:rPr>
          <w:rFonts w:ascii="Times New Roman" w:hAnsi="Times New Roman" w:cs="Times New Roman"/>
        </w:rPr>
        <w:t>What does government provide on education?</w:t>
      </w:r>
    </w:p>
    <w:p w14:paraId="3C551989" w14:textId="0FE5331C" w:rsidR="00DA2B38" w:rsidRPr="00C61E83" w:rsidRDefault="0035350B" w:rsidP="00280C3A">
      <w:pPr>
        <w:spacing w:line="480" w:lineRule="auto"/>
        <w:rPr>
          <w:rFonts w:ascii="Times New Roman" w:eastAsia="Times New Roman" w:hAnsi="Times New Roman" w:cs="Times New Roman"/>
        </w:rPr>
      </w:pPr>
      <w:r w:rsidRPr="00C61E83">
        <w:rPr>
          <w:rFonts w:ascii="Times New Roman" w:hAnsi="Times New Roman" w:cs="Times New Roman"/>
        </w:rPr>
        <w:tab/>
        <w:t>By the New Zealand regulation, it is</w:t>
      </w:r>
      <w:r w:rsidR="00755CA9" w:rsidRPr="00C61E83">
        <w:rPr>
          <w:rFonts w:ascii="Times New Roman" w:hAnsi="Times New Roman" w:cs="Times New Roman"/>
        </w:rPr>
        <w:t xml:space="preserve"> compulsory to enforce children to go schooling when they are age of 6 to 16 or Year1 to Year12, note that in New Zealand education system there is 13 years of schooling for primary and secondary schools. Most of student who do not intend to attend the university would mostly drop out on Year12 thus New Zealand government provide funds for children ages of 5 to 19. The funds can be fully used in the public schools and can be partially used in private schools, hence, education system in New Zealand can be considered as supply side financing that has government as a major player of supply. Even though the early school education is not required in New Zealand, government still provide some support funding for children</w:t>
      </w:r>
      <w:r w:rsidR="00C610B4" w:rsidRPr="00C61E83">
        <w:rPr>
          <w:rFonts w:ascii="Times New Roman" w:hAnsi="Times New Roman" w:cs="Times New Roman"/>
        </w:rPr>
        <w:t xml:space="preserve"> ages of 3 to 5, thus, nearly 95% of children in the country go to ECE. Moreover for undergraduate programs, government also provide some funds and students can get loans for their education fees that can be repay after they have earnings. </w:t>
      </w:r>
      <w:r w:rsidRPr="00C61E83">
        <w:rPr>
          <w:rFonts w:ascii="Times New Roman" w:hAnsi="Times New Roman" w:cs="Times New Roman"/>
        </w:rPr>
        <w:t xml:space="preserve"> </w:t>
      </w:r>
      <w:r w:rsidR="00190B69" w:rsidRPr="00C61E83">
        <w:rPr>
          <w:rFonts w:ascii="Times New Roman" w:eastAsia="Times New Roman" w:hAnsi="Times New Roman" w:cs="Times New Roman"/>
        </w:rPr>
        <w:t>(Zealand, 2015)</w:t>
      </w:r>
    </w:p>
    <w:p w14:paraId="0CD06937" w14:textId="77777777" w:rsidR="00001124" w:rsidRDefault="00001124" w:rsidP="00280C3A">
      <w:pPr>
        <w:spacing w:line="480" w:lineRule="auto"/>
        <w:rPr>
          <w:rFonts w:ascii="Times New Roman" w:hAnsi="Times New Roman" w:cs="Times New Roman"/>
          <w:u w:val="single"/>
        </w:rPr>
      </w:pPr>
    </w:p>
    <w:p w14:paraId="2147E328" w14:textId="6EF0F1A2" w:rsidR="00A411FF" w:rsidRPr="00C61E83" w:rsidRDefault="00FA5058" w:rsidP="00280C3A">
      <w:pPr>
        <w:spacing w:line="480" w:lineRule="auto"/>
        <w:rPr>
          <w:rFonts w:ascii="Times New Roman" w:hAnsi="Times New Roman" w:cs="Times New Roman"/>
          <w:u w:val="single"/>
        </w:rPr>
      </w:pPr>
      <w:r w:rsidRPr="00C61E83">
        <w:rPr>
          <w:rFonts w:ascii="Times New Roman" w:hAnsi="Times New Roman" w:cs="Times New Roman"/>
          <w:u w:val="single"/>
        </w:rPr>
        <w:t>Issues on education sector</w:t>
      </w:r>
    </w:p>
    <w:p w14:paraId="4C99EAB2" w14:textId="77777777" w:rsidR="00280C3A" w:rsidRPr="00C61E83" w:rsidRDefault="00A411FF" w:rsidP="00280C3A">
      <w:pPr>
        <w:spacing w:line="480" w:lineRule="auto"/>
        <w:rPr>
          <w:rFonts w:ascii="Times New Roman" w:eastAsia="Times New Roman" w:hAnsi="Times New Roman" w:cs="Times New Roman"/>
        </w:rPr>
      </w:pPr>
      <w:r w:rsidRPr="00C61E83">
        <w:rPr>
          <w:rFonts w:ascii="Times New Roman" w:hAnsi="Times New Roman" w:cs="Times New Roman"/>
        </w:rPr>
        <w:tab/>
        <w:t xml:space="preserve">Education </w:t>
      </w:r>
      <w:r w:rsidR="00EC7B5E" w:rsidRPr="00C61E83">
        <w:rPr>
          <w:rFonts w:ascii="Times New Roman" w:hAnsi="Times New Roman" w:cs="Times New Roman"/>
        </w:rPr>
        <w:t xml:space="preserve">sector has been relied much since government expect that education will improve the living quality simultaneously with generate GDP higher than average GDP of OECD countries about </w:t>
      </w:r>
      <w:r w:rsidR="002C34EF" w:rsidRPr="00C61E83">
        <w:rPr>
          <w:rFonts w:ascii="Times New Roman" w:hAnsi="Times New Roman" w:cs="Times New Roman"/>
        </w:rPr>
        <w:t xml:space="preserve">3-17% within 55 years. </w:t>
      </w:r>
      <w:r w:rsidR="00190B69" w:rsidRPr="00C61E83">
        <w:rPr>
          <w:rFonts w:ascii="Times New Roman" w:eastAsia="Times New Roman" w:hAnsi="Times New Roman" w:cs="Times New Roman"/>
        </w:rPr>
        <w:t>(Treasury.govt.nz, 2015)</w:t>
      </w:r>
    </w:p>
    <w:p w14:paraId="0A689ADC" w14:textId="1A51C258" w:rsidR="004053A3" w:rsidRPr="00C61E83" w:rsidRDefault="004A43D6" w:rsidP="00280C3A">
      <w:pPr>
        <w:spacing w:line="480" w:lineRule="auto"/>
        <w:rPr>
          <w:rFonts w:ascii="Times New Roman" w:eastAsia="Times New Roman" w:hAnsi="Times New Roman" w:cs="Times New Roman"/>
        </w:rPr>
      </w:pPr>
      <w:r w:rsidRPr="00C61E83">
        <w:rPr>
          <w:rFonts w:ascii="Times New Roman" w:hAnsi="Times New Roman" w:cs="Times New Roman"/>
        </w:rPr>
        <w:tab/>
        <w:t xml:space="preserve">With the </w:t>
      </w:r>
      <w:r w:rsidR="00B025B2" w:rsidRPr="00C61E83">
        <w:rPr>
          <w:rFonts w:ascii="Times New Roman" w:hAnsi="Times New Roman" w:cs="Times New Roman"/>
        </w:rPr>
        <w:t xml:space="preserve">total </w:t>
      </w:r>
      <w:r w:rsidRPr="00C61E83">
        <w:rPr>
          <w:rFonts w:ascii="Times New Roman" w:hAnsi="Times New Roman" w:cs="Times New Roman"/>
        </w:rPr>
        <w:t>popu</w:t>
      </w:r>
      <w:r w:rsidR="00B025B2" w:rsidRPr="00C61E83">
        <w:rPr>
          <w:rFonts w:ascii="Times New Roman" w:hAnsi="Times New Roman" w:cs="Times New Roman"/>
        </w:rPr>
        <w:t>lation of 4.5 m</w:t>
      </w:r>
      <w:r w:rsidR="00877839" w:rsidRPr="00C61E83">
        <w:rPr>
          <w:rFonts w:ascii="Times New Roman" w:hAnsi="Times New Roman" w:cs="Times New Roman"/>
        </w:rPr>
        <w:t>illion, the government is able</w:t>
      </w:r>
      <w:r w:rsidRPr="00C61E83">
        <w:rPr>
          <w:rFonts w:ascii="Times New Roman" w:hAnsi="Times New Roman" w:cs="Times New Roman"/>
        </w:rPr>
        <w:t xml:space="preserve"> to enforce most of students to go </w:t>
      </w:r>
      <w:r w:rsidR="00877839" w:rsidRPr="00C61E83">
        <w:rPr>
          <w:rFonts w:ascii="Times New Roman" w:hAnsi="Times New Roman" w:cs="Times New Roman"/>
        </w:rPr>
        <w:t>schooling</w:t>
      </w:r>
      <w:r w:rsidR="006B4DDC" w:rsidRPr="00C61E83">
        <w:rPr>
          <w:rFonts w:ascii="Times New Roman" w:hAnsi="Times New Roman" w:cs="Times New Roman"/>
        </w:rPr>
        <w:t>. T</w:t>
      </w:r>
      <w:r w:rsidR="00877839" w:rsidRPr="00C61E83">
        <w:rPr>
          <w:rFonts w:ascii="Times New Roman" w:hAnsi="Times New Roman" w:cs="Times New Roman"/>
        </w:rPr>
        <w:t xml:space="preserve">he </w:t>
      </w:r>
      <w:r w:rsidR="006B4DDC" w:rsidRPr="00C61E83">
        <w:rPr>
          <w:rFonts w:ascii="Times New Roman" w:hAnsi="Times New Roman" w:cs="Times New Roman"/>
        </w:rPr>
        <w:t xml:space="preserve">net </w:t>
      </w:r>
      <w:r w:rsidR="00877839" w:rsidRPr="00C61E83">
        <w:rPr>
          <w:rFonts w:ascii="Times New Roman" w:hAnsi="Times New Roman" w:cs="Times New Roman"/>
        </w:rPr>
        <w:t xml:space="preserve">rate of enrollment in </w:t>
      </w:r>
      <w:r w:rsidR="006B4DDC" w:rsidRPr="00C61E83">
        <w:rPr>
          <w:rFonts w:ascii="Times New Roman" w:hAnsi="Times New Roman" w:cs="Times New Roman"/>
        </w:rPr>
        <w:t xml:space="preserve">both </w:t>
      </w:r>
      <w:r w:rsidR="00877839" w:rsidRPr="00C61E83">
        <w:rPr>
          <w:rFonts w:ascii="Times New Roman" w:hAnsi="Times New Roman" w:cs="Times New Roman"/>
        </w:rPr>
        <w:t>primar</w:t>
      </w:r>
      <w:r w:rsidR="006B4DDC" w:rsidRPr="00C61E83">
        <w:rPr>
          <w:rFonts w:ascii="Times New Roman" w:hAnsi="Times New Roman" w:cs="Times New Roman"/>
        </w:rPr>
        <w:t>y and secondary schools are 97.9</w:t>
      </w:r>
      <w:r w:rsidR="00877839" w:rsidRPr="00C61E83">
        <w:rPr>
          <w:rFonts w:ascii="Times New Roman" w:hAnsi="Times New Roman" w:cs="Times New Roman"/>
        </w:rPr>
        <w:t xml:space="preserve">% </w:t>
      </w:r>
      <w:r w:rsidR="00190B69" w:rsidRPr="00C61E83">
        <w:rPr>
          <w:rFonts w:ascii="Times New Roman" w:eastAsia="Times New Roman" w:hAnsi="Times New Roman" w:cs="Times New Roman"/>
        </w:rPr>
        <w:t>(Data.worldbank.org, 2015)</w:t>
      </w:r>
      <w:r w:rsidR="006B4DDC" w:rsidRPr="00C61E83">
        <w:rPr>
          <w:rFonts w:ascii="Times New Roman" w:hAnsi="Times New Roman" w:cs="Times New Roman"/>
        </w:rPr>
        <w:t xml:space="preserve"> </w:t>
      </w:r>
      <w:r w:rsidR="00877839" w:rsidRPr="00C61E83">
        <w:rPr>
          <w:rFonts w:ascii="Times New Roman" w:hAnsi="Times New Roman" w:cs="Times New Roman"/>
        </w:rPr>
        <w:t xml:space="preserve">and </w:t>
      </w:r>
      <w:r w:rsidR="00B223BE" w:rsidRPr="00C61E83">
        <w:rPr>
          <w:rFonts w:ascii="Times New Roman" w:hAnsi="Times New Roman" w:cs="Times New Roman"/>
        </w:rPr>
        <w:t xml:space="preserve">97.4% </w:t>
      </w:r>
      <w:r w:rsidR="00190B69" w:rsidRPr="00C61E83">
        <w:rPr>
          <w:rFonts w:ascii="Times New Roman" w:eastAsia="Times New Roman" w:hAnsi="Times New Roman" w:cs="Times New Roman"/>
        </w:rPr>
        <w:t>(Data.worldbank.org, 2015)</w:t>
      </w:r>
      <w:r w:rsidR="00B223BE" w:rsidRPr="00C61E83">
        <w:rPr>
          <w:rFonts w:ascii="Times New Roman" w:hAnsi="Times New Roman" w:cs="Times New Roman"/>
        </w:rPr>
        <w:t>, re</w:t>
      </w:r>
      <w:r w:rsidR="00190B69" w:rsidRPr="00C61E83">
        <w:rPr>
          <w:rFonts w:ascii="Times New Roman" w:hAnsi="Times New Roman" w:cs="Times New Roman"/>
        </w:rPr>
        <w:t>s</w:t>
      </w:r>
      <w:r w:rsidR="00B223BE" w:rsidRPr="00C61E83">
        <w:rPr>
          <w:rFonts w:ascii="Times New Roman" w:hAnsi="Times New Roman" w:cs="Times New Roman"/>
        </w:rPr>
        <w:t>pectively.</w:t>
      </w:r>
      <w:r w:rsidR="002B6085" w:rsidRPr="00C61E83">
        <w:rPr>
          <w:rFonts w:ascii="Times New Roman" w:hAnsi="Times New Roman" w:cs="Times New Roman"/>
        </w:rPr>
        <w:t xml:space="preserve"> T</w:t>
      </w:r>
      <w:r w:rsidR="006B4DDC" w:rsidRPr="00C61E83">
        <w:rPr>
          <w:rFonts w:ascii="Times New Roman" w:hAnsi="Times New Roman" w:cs="Times New Roman"/>
        </w:rPr>
        <w:t>his might be an illusion due to the number of international students increased every year</w:t>
      </w:r>
      <w:r w:rsidR="002B6085" w:rsidRPr="00C61E83">
        <w:rPr>
          <w:rFonts w:ascii="Times New Roman" w:hAnsi="Times New Roman" w:cs="Times New Roman"/>
        </w:rPr>
        <w:t xml:space="preserve"> </w:t>
      </w:r>
      <w:r w:rsidR="00190B69" w:rsidRPr="00C61E83">
        <w:rPr>
          <w:rFonts w:ascii="Times New Roman" w:eastAsia="Times New Roman" w:hAnsi="Times New Roman" w:cs="Times New Roman"/>
        </w:rPr>
        <w:t xml:space="preserve">(ICEF Monitor - Market intelligence for international student recruitment, 2015) </w:t>
      </w:r>
      <w:r w:rsidR="006B4DDC" w:rsidRPr="00C61E83">
        <w:rPr>
          <w:rFonts w:ascii="Times New Roman" w:hAnsi="Times New Roman" w:cs="Times New Roman"/>
        </w:rPr>
        <w:t xml:space="preserve">simultaneously with the number of domestic students declined in secondary due to the non-achieve in NCEA standard. National Certificate of Educational Achievement or NCEA is a requirement for student to be graduate from high school and </w:t>
      </w:r>
      <w:r w:rsidR="003D4550" w:rsidRPr="00C61E83">
        <w:rPr>
          <w:rFonts w:ascii="Times New Roman" w:hAnsi="Times New Roman" w:cs="Times New Roman"/>
        </w:rPr>
        <w:t>it is a minimum requirement to achieve NCEA level 1, 2 and 3 in order to entry the university.</w:t>
      </w:r>
      <w:r w:rsidR="002B6085" w:rsidRPr="00C61E83">
        <w:rPr>
          <w:rFonts w:ascii="Times New Roman" w:hAnsi="Times New Roman" w:cs="Times New Roman"/>
        </w:rPr>
        <w:t xml:space="preserve"> However, most of secondary schools seem to have no intention to control the number of international students attend their school since in generally, international student or student abroad pay 10 times higher on education fees and NCEA examinations.</w:t>
      </w:r>
      <w:r w:rsidR="00F91CEC" w:rsidRPr="00C61E83">
        <w:rPr>
          <w:rFonts w:ascii="Times New Roman" w:hAnsi="Times New Roman" w:cs="Times New Roman"/>
        </w:rPr>
        <w:t xml:space="preserve"> Immigration department of New Zealand has claimed that the country gets revenue from international education of 2 billion NZD each year, which it equals to one sixth of the government spending on education in 2015. </w:t>
      </w:r>
      <w:r w:rsidR="00A53201" w:rsidRPr="00C61E83">
        <w:rPr>
          <w:rFonts w:ascii="Times New Roman" w:eastAsia="Times New Roman" w:hAnsi="Times New Roman" w:cs="Times New Roman"/>
        </w:rPr>
        <w:t>(Immigration.govt.nz, 2015)</w:t>
      </w:r>
    </w:p>
    <w:p w14:paraId="6A099D2C" w14:textId="10D64240" w:rsidR="004053A3" w:rsidRPr="00C61E83" w:rsidRDefault="00E8517B" w:rsidP="00280C3A">
      <w:pPr>
        <w:spacing w:line="480" w:lineRule="auto"/>
        <w:rPr>
          <w:rFonts w:ascii="Times New Roman" w:hAnsi="Times New Roman" w:cs="Times New Roman"/>
        </w:rPr>
      </w:pPr>
      <w:r w:rsidRPr="00C61E83">
        <w:rPr>
          <w:rFonts w:ascii="Times New Roman" w:hAnsi="Times New Roman" w:cs="Times New Roman"/>
        </w:rPr>
        <w:tab/>
        <w:t xml:space="preserve">As mentioned above that New Zealand strongly believe in education system will lift up the country’s GDP thus the government requires the minimum education standard for every student to achieve NCEA level 2. Whether this will be possible to achieve would also rely on NCEA level 1 pass rate. Figure </w:t>
      </w:r>
      <w:r w:rsidR="001B6FBF" w:rsidRPr="00C61E83">
        <w:rPr>
          <w:rFonts w:ascii="Times New Roman" w:hAnsi="Times New Roman" w:cs="Times New Roman"/>
        </w:rPr>
        <w:t>6 is shown the pass rate on each NCEA level based on roll that is the percentage comes from calculating the number of students those pass on each level then divided by the total number of student who enroll the schooling on particular level. In order to enroll NCEA level 2, student must pass NCEA level 1 on the given course</w:t>
      </w:r>
      <w:r w:rsidR="006139D1" w:rsidRPr="00C61E83">
        <w:rPr>
          <w:rFonts w:ascii="Times New Roman" w:hAnsi="Times New Roman" w:cs="Times New Roman"/>
        </w:rPr>
        <w:t xml:space="preserve"> even though all the 3 levels pass rate have been increase consequently for 10 years but pass rate on NCEA level 1 is still below pass</w:t>
      </w:r>
      <w:r w:rsidR="00C31F0E" w:rsidRPr="00C61E83">
        <w:rPr>
          <w:rFonts w:ascii="Times New Roman" w:hAnsi="Times New Roman" w:cs="Times New Roman"/>
        </w:rPr>
        <w:t xml:space="preserve"> rate on NCEA level 2 on every year. </w:t>
      </w:r>
      <w:r w:rsidR="007C5E32" w:rsidRPr="00C61E83">
        <w:rPr>
          <w:rFonts w:ascii="Times New Roman" w:hAnsi="Times New Roman" w:cs="Times New Roman"/>
        </w:rPr>
        <w:t>As a consequence,</w:t>
      </w:r>
      <w:r w:rsidR="00280C3A" w:rsidRPr="00C61E83">
        <w:rPr>
          <w:rFonts w:ascii="Times New Roman" w:hAnsi="Times New Roman" w:cs="Times New Roman"/>
        </w:rPr>
        <w:t xml:space="preserve"> </w:t>
      </w:r>
      <w:r w:rsidR="007C5E32" w:rsidRPr="00C61E83">
        <w:rPr>
          <w:rFonts w:ascii="Times New Roman" w:hAnsi="Times New Roman" w:cs="Times New Roman"/>
        </w:rPr>
        <w:t>government has to implement the strategy to bring up all students to pass NCEA level 1 in order to make the achievement in NCEA level 2.</w:t>
      </w:r>
    </w:p>
    <w:p w14:paraId="52DC3249" w14:textId="06B857B0" w:rsidR="004053A3" w:rsidRPr="00C61E83" w:rsidRDefault="00134D5E" w:rsidP="00280C3A">
      <w:pPr>
        <w:spacing w:line="480" w:lineRule="auto"/>
        <w:rPr>
          <w:rFonts w:ascii="Times New Roman" w:eastAsia="Times New Roman" w:hAnsi="Times New Roman" w:cs="Times New Roman"/>
        </w:rPr>
      </w:pPr>
      <w:r w:rsidRPr="00C61E83">
        <w:rPr>
          <w:rFonts w:ascii="Times New Roman" w:hAnsi="Times New Roman" w:cs="Times New Roman"/>
        </w:rPr>
        <w:tab/>
        <w:t xml:space="preserve">One of the problems in passing NCEA examination is on mathematics or numeracy requirement. As it is known that mathematics of NZ students are not good as other students in the world </w:t>
      </w:r>
      <w:r w:rsidR="00A53201" w:rsidRPr="00C61E83">
        <w:rPr>
          <w:rFonts w:ascii="Times New Roman" w:eastAsia="Times New Roman" w:hAnsi="Times New Roman" w:cs="Times New Roman"/>
        </w:rPr>
        <w:t>(The New Zealand Herald, 2015)</w:t>
      </w:r>
      <w:r w:rsidRPr="00C61E83">
        <w:rPr>
          <w:rFonts w:ascii="Times New Roman" w:hAnsi="Times New Roman" w:cs="Times New Roman"/>
        </w:rPr>
        <w:t xml:space="preserve">, minister of education </w:t>
      </w:r>
      <w:r w:rsidR="009B784F" w:rsidRPr="00C61E83">
        <w:rPr>
          <w:rFonts w:ascii="Times New Roman" w:hAnsi="Times New Roman" w:cs="Times New Roman"/>
        </w:rPr>
        <w:t xml:space="preserve">really claimed that some of Year 11 student cannot do simply mathematics. </w:t>
      </w:r>
    </w:p>
    <w:p w14:paraId="32610AD8" w14:textId="77777777" w:rsidR="00001124" w:rsidRDefault="00001124" w:rsidP="00280C3A">
      <w:pPr>
        <w:spacing w:line="480" w:lineRule="auto"/>
        <w:rPr>
          <w:rFonts w:ascii="Times New Roman" w:hAnsi="Times New Roman" w:cs="Times New Roman"/>
          <w:u w:val="single"/>
        </w:rPr>
      </w:pPr>
    </w:p>
    <w:p w14:paraId="64820DFB" w14:textId="6908A485" w:rsidR="004053A3" w:rsidRPr="00C61E83" w:rsidRDefault="007C5E32" w:rsidP="00280C3A">
      <w:pPr>
        <w:spacing w:line="480" w:lineRule="auto"/>
        <w:rPr>
          <w:rFonts w:ascii="Times New Roman" w:hAnsi="Times New Roman" w:cs="Times New Roman"/>
          <w:u w:val="single"/>
        </w:rPr>
      </w:pPr>
      <w:r w:rsidRPr="00C61E83">
        <w:rPr>
          <w:rFonts w:ascii="Times New Roman" w:hAnsi="Times New Roman" w:cs="Times New Roman"/>
          <w:u w:val="single"/>
        </w:rPr>
        <w:t>Conclusion</w:t>
      </w:r>
    </w:p>
    <w:p w14:paraId="6C5F52DD" w14:textId="591C4FFB" w:rsidR="004053A3" w:rsidRPr="00C61E83" w:rsidRDefault="007C5E32" w:rsidP="00280C3A">
      <w:pPr>
        <w:spacing w:line="480" w:lineRule="auto"/>
        <w:rPr>
          <w:rFonts w:ascii="Times New Roman" w:eastAsia="Times New Roman" w:hAnsi="Times New Roman" w:cs="Times New Roman"/>
        </w:rPr>
      </w:pPr>
      <w:r w:rsidRPr="00C61E83">
        <w:rPr>
          <w:rFonts w:ascii="Times New Roman" w:hAnsi="Times New Roman" w:cs="Times New Roman"/>
        </w:rPr>
        <w:tab/>
      </w:r>
      <w:r w:rsidR="00A64B3A" w:rsidRPr="00C61E83">
        <w:rPr>
          <w:rFonts w:ascii="Times New Roman" w:hAnsi="Times New Roman" w:cs="Times New Roman"/>
        </w:rPr>
        <w:t xml:space="preserve">Even though there are increasing in number of international students in New Zealand, mostly Asian students abroad, but it was not considered to be significant flaw for the country since the international education still generate a great revenue for the country. The next issue is considered of the possibility that all the students will achieve in NCEA level 2 in the future. Government </w:t>
      </w:r>
      <w:r w:rsidR="009B784F" w:rsidRPr="00C61E83">
        <w:rPr>
          <w:rFonts w:ascii="Times New Roman" w:hAnsi="Times New Roman" w:cs="Times New Roman"/>
        </w:rPr>
        <w:t xml:space="preserve">claimed that it launched 70 million NZD to help specifically projects on mathematics. Those projects aimed to improve both students and teachers quality to achieve higher pass rate in examination. </w:t>
      </w:r>
      <w:r w:rsidR="00A53201" w:rsidRPr="00C61E83">
        <w:rPr>
          <w:rFonts w:ascii="Times New Roman" w:eastAsia="Times New Roman" w:hAnsi="Times New Roman" w:cs="Times New Roman"/>
        </w:rPr>
        <w:t>(The New Zealand Herald, 2015)</w:t>
      </w:r>
      <w:r w:rsidR="009B784F" w:rsidRPr="00C61E83">
        <w:rPr>
          <w:rFonts w:ascii="Times New Roman" w:hAnsi="Times New Roman" w:cs="Times New Roman"/>
        </w:rPr>
        <w:t xml:space="preserve"> Moreover, there is Tertiary Fees Funding Support for teacher to study in higher </w:t>
      </w:r>
      <w:r w:rsidR="001A0BB4" w:rsidRPr="00C61E83">
        <w:rPr>
          <w:rFonts w:ascii="Times New Roman" w:hAnsi="Times New Roman" w:cs="Times New Roman"/>
        </w:rPr>
        <w:t xml:space="preserve">education on </w:t>
      </w:r>
      <w:r w:rsidR="00A53201" w:rsidRPr="00C61E83">
        <w:rPr>
          <w:rFonts w:ascii="Times New Roman" w:hAnsi="Times New Roman" w:cs="Times New Roman"/>
        </w:rPr>
        <w:t>mathematics;</w:t>
      </w:r>
      <w:r w:rsidR="001A0BB4" w:rsidRPr="00C61E83">
        <w:rPr>
          <w:rFonts w:ascii="Times New Roman" w:hAnsi="Times New Roman" w:cs="Times New Roman"/>
        </w:rPr>
        <w:t xml:space="preserve"> the program has supported 600 teachers annually. </w:t>
      </w:r>
      <w:r w:rsidR="00A53201" w:rsidRPr="00C61E83">
        <w:rPr>
          <w:rFonts w:ascii="Times New Roman" w:eastAsia="Times New Roman" w:hAnsi="Times New Roman" w:cs="Times New Roman"/>
        </w:rPr>
        <w:t>(Nzmaths.co.nz, 2015)</w:t>
      </w:r>
    </w:p>
    <w:p w14:paraId="1FFACBB8" w14:textId="77777777" w:rsidR="004053A3" w:rsidRPr="00C61E83" w:rsidRDefault="004053A3" w:rsidP="00280C3A">
      <w:pPr>
        <w:spacing w:line="480" w:lineRule="auto"/>
        <w:rPr>
          <w:rFonts w:ascii="Times New Roman" w:hAnsi="Times New Roman" w:cs="Times New Roman"/>
        </w:rPr>
      </w:pPr>
    </w:p>
    <w:p w14:paraId="736606D1" w14:textId="77777777" w:rsidR="004053A3" w:rsidRPr="00C61E83" w:rsidRDefault="004053A3" w:rsidP="00280C3A">
      <w:pPr>
        <w:spacing w:line="480" w:lineRule="auto"/>
        <w:rPr>
          <w:rFonts w:ascii="Times New Roman" w:hAnsi="Times New Roman" w:cs="Times New Roman"/>
        </w:rPr>
      </w:pPr>
    </w:p>
    <w:p w14:paraId="2C2069E0" w14:textId="77777777" w:rsidR="004053A3" w:rsidRPr="00C61E83" w:rsidRDefault="004053A3" w:rsidP="00280C3A">
      <w:pPr>
        <w:spacing w:line="480" w:lineRule="auto"/>
        <w:rPr>
          <w:rFonts w:ascii="Times New Roman" w:hAnsi="Times New Roman" w:cs="Times New Roman"/>
        </w:rPr>
      </w:pPr>
    </w:p>
    <w:p w14:paraId="728A8A38" w14:textId="77777777" w:rsidR="004053A3" w:rsidRPr="00C61E83" w:rsidRDefault="004053A3" w:rsidP="00280C3A">
      <w:pPr>
        <w:spacing w:line="480" w:lineRule="auto"/>
        <w:rPr>
          <w:rFonts w:ascii="Times New Roman" w:hAnsi="Times New Roman" w:cs="Times New Roman"/>
        </w:rPr>
      </w:pPr>
    </w:p>
    <w:p w14:paraId="0B9C7B41" w14:textId="77777777" w:rsidR="00280C3A" w:rsidRPr="00C61E83" w:rsidRDefault="00280C3A" w:rsidP="00280C3A">
      <w:pPr>
        <w:spacing w:line="480" w:lineRule="auto"/>
        <w:rPr>
          <w:rFonts w:ascii="Times New Roman" w:hAnsi="Times New Roman" w:cs="Times New Roman"/>
        </w:rPr>
      </w:pPr>
    </w:p>
    <w:p w14:paraId="0D312689" w14:textId="77777777" w:rsidR="00280C3A" w:rsidRPr="00C61E83" w:rsidRDefault="00280C3A" w:rsidP="00280C3A">
      <w:pPr>
        <w:spacing w:line="480" w:lineRule="auto"/>
        <w:rPr>
          <w:rFonts w:ascii="Times New Roman" w:hAnsi="Times New Roman" w:cs="Times New Roman"/>
        </w:rPr>
      </w:pPr>
    </w:p>
    <w:p w14:paraId="31A018E8" w14:textId="77777777" w:rsidR="00280C3A" w:rsidRPr="00C61E83" w:rsidRDefault="00280C3A" w:rsidP="00280C3A">
      <w:pPr>
        <w:spacing w:line="480" w:lineRule="auto"/>
        <w:rPr>
          <w:rFonts w:ascii="Times New Roman" w:hAnsi="Times New Roman" w:cs="Times New Roman"/>
        </w:rPr>
      </w:pPr>
    </w:p>
    <w:p w14:paraId="4FE9CC38" w14:textId="77777777" w:rsidR="00001124" w:rsidRDefault="00001124" w:rsidP="00280C3A">
      <w:pPr>
        <w:spacing w:line="480" w:lineRule="auto"/>
        <w:rPr>
          <w:rFonts w:ascii="Times New Roman" w:hAnsi="Times New Roman" w:cs="Times New Roman"/>
        </w:rPr>
      </w:pPr>
    </w:p>
    <w:p w14:paraId="2E3533D5" w14:textId="23A183F1" w:rsidR="00A53201" w:rsidRPr="00C61E83" w:rsidRDefault="00A53201" w:rsidP="00280C3A">
      <w:pPr>
        <w:spacing w:line="480" w:lineRule="auto"/>
        <w:rPr>
          <w:rFonts w:ascii="Times New Roman" w:hAnsi="Times New Roman" w:cs="Times New Roman"/>
          <w:u w:val="single"/>
        </w:rPr>
      </w:pPr>
      <w:bookmarkStart w:id="0" w:name="_GoBack"/>
      <w:bookmarkEnd w:id="0"/>
      <w:r w:rsidRPr="00C61E83">
        <w:rPr>
          <w:rFonts w:ascii="Times New Roman" w:hAnsi="Times New Roman" w:cs="Times New Roman"/>
          <w:u w:val="single"/>
        </w:rPr>
        <w:t>Appendix A</w:t>
      </w:r>
    </w:p>
    <w:p w14:paraId="7DD624ED" w14:textId="539A95FE" w:rsidR="00C61E83" w:rsidRPr="00C61E83" w:rsidRDefault="00C61E83" w:rsidP="00280C3A">
      <w:pPr>
        <w:spacing w:line="480" w:lineRule="auto"/>
        <w:rPr>
          <w:rFonts w:ascii="Times New Roman" w:hAnsi="Times New Roman" w:cs="Times New Roman"/>
        </w:rPr>
      </w:pPr>
      <w:r w:rsidRPr="00C61E83">
        <w:rPr>
          <w:rFonts w:ascii="Times New Roman" w:hAnsi="Times New Roman" w:cs="Times New Roman"/>
        </w:rPr>
        <w:t>Figure 1. Government expenditure in 2015 (in million NZ Dollar)</w:t>
      </w:r>
    </w:p>
    <w:p w14:paraId="3CECE10C" w14:textId="59A72F80" w:rsidR="005C06C0" w:rsidRPr="00C61E83" w:rsidRDefault="00280C3A" w:rsidP="00280C3A">
      <w:pPr>
        <w:spacing w:line="480" w:lineRule="auto"/>
        <w:rPr>
          <w:rFonts w:ascii="Times New Roman" w:hAnsi="Times New Roman" w:cs="Times New Roman"/>
        </w:rPr>
      </w:pPr>
      <w:r w:rsidRPr="00C61E83">
        <w:rPr>
          <w:rFonts w:ascii="Times New Roman" w:hAnsi="Times New Roman" w:cs="Times New Roman"/>
          <w:noProof/>
        </w:rPr>
        <w:drawing>
          <wp:anchor distT="0" distB="0" distL="114300" distR="114300" simplePos="0" relativeHeight="251658240" behindDoc="0" locked="0" layoutInCell="1" allowOverlap="1" wp14:anchorId="00A3AF84" wp14:editId="0842B92E">
            <wp:simplePos x="0" y="0"/>
            <wp:positionH relativeFrom="column">
              <wp:align>left</wp:align>
            </wp:positionH>
            <wp:positionV relativeFrom="paragraph">
              <wp:align>top</wp:align>
            </wp:positionV>
            <wp:extent cx="5486400" cy="4213860"/>
            <wp:effectExtent l="0" t="0" r="25400" b="2794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roofErr w:type="gramStart"/>
      <w:r w:rsidR="00A53201" w:rsidRPr="00C61E83">
        <w:rPr>
          <w:rFonts w:ascii="Times New Roman" w:hAnsi="Times New Roman" w:cs="Times New Roman"/>
        </w:rPr>
        <w:t>Source</w:t>
      </w:r>
      <w:r w:rsidR="005C06C0" w:rsidRPr="00C61E83">
        <w:rPr>
          <w:rFonts w:ascii="Times New Roman" w:hAnsi="Times New Roman" w:cs="Times New Roman"/>
        </w:rPr>
        <w:t xml:space="preserve"> :</w:t>
      </w:r>
      <w:proofErr w:type="gramEnd"/>
      <w:r w:rsidR="005C06C0" w:rsidRPr="00C61E83">
        <w:rPr>
          <w:rFonts w:ascii="Times New Roman" w:hAnsi="Times New Roman" w:cs="Times New Roman"/>
        </w:rPr>
        <w:t xml:space="preserve"> http://www.treasury.govt.nz/government/data</w:t>
      </w:r>
    </w:p>
    <w:p w14:paraId="0D4AE0D0" w14:textId="77777777" w:rsidR="00C61E83" w:rsidRPr="00C61E83" w:rsidRDefault="00C61E83" w:rsidP="00280C3A">
      <w:pPr>
        <w:spacing w:line="480" w:lineRule="auto"/>
        <w:rPr>
          <w:rFonts w:ascii="Times New Roman" w:hAnsi="Times New Roman" w:cs="Times New Roman"/>
          <w:noProof/>
        </w:rPr>
      </w:pPr>
    </w:p>
    <w:p w14:paraId="0C9F4A5B" w14:textId="77777777" w:rsidR="00C61E83" w:rsidRPr="00C61E83" w:rsidRDefault="00C61E83" w:rsidP="00280C3A">
      <w:pPr>
        <w:spacing w:line="480" w:lineRule="auto"/>
        <w:rPr>
          <w:rFonts w:ascii="Times New Roman" w:hAnsi="Times New Roman" w:cs="Times New Roman"/>
          <w:noProof/>
        </w:rPr>
      </w:pPr>
    </w:p>
    <w:p w14:paraId="55F440C7" w14:textId="77777777" w:rsidR="00C61E83" w:rsidRPr="00C61E83" w:rsidRDefault="00C61E83" w:rsidP="00280C3A">
      <w:pPr>
        <w:spacing w:line="480" w:lineRule="auto"/>
        <w:rPr>
          <w:rFonts w:ascii="Times New Roman" w:hAnsi="Times New Roman" w:cs="Times New Roman"/>
          <w:noProof/>
        </w:rPr>
      </w:pPr>
    </w:p>
    <w:p w14:paraId="1665E338" w14:textId="77777777" w:rsidR="00C61E83" w:rsidRPr="00C61E83" w:rsidRDefault="00C61E83" w:rsidP="00280C3A">
      <w:pPr>
        <w:spacing w:line="480" w:lineRule="auto"/>
        <w:rPr>
          <w:rFonts w:ascii="Times New Roman" w:hAnsi="Times New Roman" w:cs="Times New Roman"/>
          <w:noProof/>
        </w:rPr>
      </w:pPr>
    </w:p>
    <w:p w14:paraId="5DCA9569" w14:textId="77777777" w:rsidR="00C61E83" w:rsidRPr="00C61E83" w:rsidRDefault="00C61E83" w:rsidP="00280C3A">
      <w:pPr>
        <w:spacing w:line="480" w:lineRule="auto"/>
        <w:rPr>
          <w:rFonts w:ascii="Times New Roman" w:hAnsi="Times New Roman" w:cs="Times New Roman"/>
          <w:noProof/>
        </w:rPr>
      </w:pPr>
    </w:p>
    <w:p w14:paraId="3FD2D495" w14:textId="77777777" w:rsidR="00C61E83" w:rsidRPr="00C61E83" w:rsidRDefault="00C61E83" w:rsidP="00280C3A">
      <w:pPr>
        <w:spacing w:line="480" w:lineRule="auto"/>
        <w:rPr>
          <w:rFonts w:ascii="Times New Roman" w:hAnsi="Times New Roman" w:cs="Times New Roman"/>
          <w:noProof/>
        </w:rPr>
      </w:pPr>
    </w:p>
    <w:p w14:paraId="16322023" w14:textId="77777777" w:rsidR="00C61E83" w:rsidRPr="00C61E83" w:rsidRDefault="00C61E83" w:rsidP="00280C3A">
      <w:pPr>
        <w:spacing w:line="480" w:lineRule="auto"/>
        <w:rPr>
          <w:rFonts w:ascii="Times New Roman" w:hAnsi="Times New Roman" w:cs="Times New Roman"/>
          <w:noProof/>
        </w:rPr>
      </w:pPr>
    </w:p>
    <w:p w14:paraId="1C07A78C" w14:textId="77777777" w:rsidR="00C61E83" w:rsidRPr="00C61E83" w:rsidRDefault="00C61E83" w:rsidP="00280C3A">
      <w:pPr>
        <w:spacing w:line="480" w:lineRule="auto"/>
        <w:rPr>
          <w:rFonts w:ascii="Times New Roman" w:hAnsi="Times New Roman" w:cs="Times New Roman"/>
          <w:noProof/>
        </w:rPr>
      </w:pPr>
    </w:p>
    <w:p w14:paraId="6CB36E9D" w14:textId="77777777" w:rsidR="00C61E83" w:rsidRPr="00C61E83" w:rsidRDefault="00C61E83" w:rsidP="00280C3A">
      <w:pPr>
        <w:spacing w:line="480" w:lineRule="auto"/>
        <w:rPr>
          <w:rFonts w:ascii="Times New Roman" w:hAnsi="Times New Roman" w:cs="Times New Roman"/>
          <w:noProof/>
        </w:rPr>
      </w:pPr>
    </w:p>
    <w:p w14:paraId="3AA76530" w14:textId="77777777" w:rsidR="00C61E83" w:rsidRPr="00C61E83" w:rsidRDefault="00C61E83" w:rsidP="00280C3A">
      <w:pPr>
        <w:spacing w:line="480" w:lineRule="auto"/>
        <w:rPr>
          <w:rFonts w:ascii="Times New Roman" w:hAnsi="Times New Roman" w:cs="Times New Roman"/>
          <w:noProof/>
        </w:rPr>
      </w:pPr>
    </w:p>
    <w:p w14:paraId="35C52F02" w14:textId="42E1A87F" w:rsidR="00480AD9" w:rsidRPr="00C61E83" w:rsidRDefault="00966F3C" w:rsidP="00C61E83">
      <w:pPr>
        <w:spacing w:line="480" w:lineRule="auto"/>
        <w:rPr>
          <w:rFonts w:ascii="Times New Roman" w:hAnsi="Times New Roman" w:cs="Times New Roman"/>
        </w:rPr>
      </w:pPr>
      <w:r w:rsidRPr="00C61E83">
        <w:rPr>
          <w:rFonts w:ascii="Times New Roman" w:hAnsi="Times New Roman" w:cs="Times New Roman"/>
          <w:noProof/>
        </w:rPr>
        <w:t xml:space="preserve">Figure 2. Government expenditure </w:t>
      </w:r>
      <w:r w:rsidR="00F24E7E" w:rsidRPr="00C61E83">
        <w:rPr>
          <w:rFonts w:ascii="Times New Roman" w:hAnsi="Times New Roman" w:cs="Times New Roman"/>
          <w:noProof/>
        </w:rPr>
        <w:t>in 2015 as</w:t>
      </w:r>
      <w:r w:rsidR="0040571F" w:rsidRPr="00C61E83">
        <w:rPr>
          <w:rFonts w:ascii="Times New Roman" w:hAnsi="Times New Roman" w:cs="Times New Roman"/>
          <w:noProof/>
        </w:rPr>
        <w:t xml:space="preserve"> percentage of total expenditure</w:t>
      </w:r>
    </w:p>
    <w:p w14:paraId="453940F3" w14:textId="11272FCD" w:rsidR="00E74AA8" w:rsidRPr="00C61E83" w:rsidRDefault="00966F3C" w:rsidP="00280C3A">
      <w:pPr>
        <w:spacing w:line="480" w:lineRule="auto"/>
        <w:rPr>
          <w:rFonts w:ascii="Times New Roman" w:hAnsi="Times New Roman" w:cs="Times New Roman"/>
        </w:rPr>
      </w:pPr>
      <w:r w:rsidRPr="00C61E83">
        <w:rPr>
          <w:rFonts w:ascii="Times New Roman" w:hAnsi="Times New Roman" w:cs="Times New Roman"/>
          <w:noProof/>
        </w:rPr>
        <w:drawing>
          <wp:inline distT="0" distB="0" distL="0" distR="0" wp14:anchorId="0306F4D6" wp14:editId="6609E39B">
            <wp:extent cx="5486400" cy="3200400"/>
            <wp:effectExtent l="0" t="0" r="25400" b="254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roofErr w:type="gramStart"/>
      <w:r w:rsidR="005C06C0" w:rsidRPr="00C61E83">
        <w:rPr>
          <w:rFonts w:ascii="Times New Roman" w:hAnsi="Times New Roman" w:cs="Times New Roman"/>
        </w:rPr>
        <w:t>Source :</w:t>
      </w:r>
      <w:proofErr w:type="gramEnd"/>
      <w:r w:rsidR="005C06C0" w:rsidRPr="00C61E83">
        <w:rPr>
          <w:rFonts w:ascii="Times New Roman" w:hAnsi="Times New Roman" w:cs="Times New Roman"/>
        </w:rPr>
        <w:t xml:space="preserve"> </w:t>
      </w:r>
      <w:hyperlink r:id="rId10" w:history="1">
        <w:r w:rsidR="005C06C0" w:rsidRPr="00C61E83">
          <w:rPr>
            <w:rStyle w:val="Hyperlink"/>
            <w:rFonts w:ascii="Times New Roman" w:hAnsi="Times New Roman" w:cs="Times New Roman"/>
          </w:rPr>
          <w:t>http://www.treasury.govt.nz/government/data</w:t>
        </w:r>
      </w:hyperlink>
    </w:p>
    <w:p w14:paraId="2DC1EDDA" w14:textId="389D67C7" w:rsidR="007C5E32" w:rsidRPr="00C61E83" w:rsidRDefault="00966F3C" w:rsidP="00280C3A">
      <w:pPr>
        <w:spacing w:line="480" w:lineRule="auto"/>
        <w:rPr>
          <w:rFonts w:ascii="Times New Roman" w:hAnsi="Times New Roman" w:cs="Times New Roman"/>
        </w:rPr>
      </w:pPr>
      <w:r w:rsidRPr="00C61E83">
        <w:rPr>
          <w:rFonts w:ascii="Times New Roman" w:hAnsi="Times New Roman" w:cs="Times New Roman"/>
        </w:rPr>
        <w:t>Figure 3</w:t>
      </w:r>
      <w:r w:rsidR="006F523D" w:rsidRPr="00C61E83">
        <w:rPr>
          <w:rFonts w:ascii="Times New Roman" w:hAnsi="Times New Roman" w:cs="Times New Roman"/>
        </w:rPr>
        <w:t xml:space="preserve">. </w:t>
      </w:r>
      <w:r w:rsidR="00B5133A" w:rsidRPr="00C61E83">
        <w:rPr>
          <w:rFonts w:ascii="Times New Roman" w:hAnsi="Times New Roman" w:cs="Times New Roman"/>
        </w:rPr>
        <w:t>Time series of government expenditure on core crown expenses from 2011-2015</w:t>
      </w:r>
    </w:p>
    <w:p w14:paraId="36FD837D" w14:textId="673C58CA" w:rsidR="00E74AA8" w:rsidRPr="00C61E83" w:rsidRDefault="00024106" w:rsidP="00280C3A">
      <w:pPr>
        <w:spacing w:line="480" w:lineRule="auto"/>
        <w:rPr>
          <w:rFonts w:ascii="Times New Roman" w:hAnsi="Times New Roman" w:cs="Times New Roman"/>
        </w:rPr>
      </w:pPr>
      <w:r w:rsidRPr="00C61E83">
        <w:rPr>
          <w:rFonts w:ascii="Times New Roman" w:hAnsi="Times New Roman" w:cs="Times New Roman"/>
          <w:noProof/>
        </w:rPr>
        <w:drawing>
          <wp:inline distT="0" distB="0" distL="0" distR="0" wp14:anchorId="2EB0287E" wp14:editId="1B7FAB76">
            <wp:extent cx="5486400" cy="4051300"/>
            <wp:effectExtent l="0" t="0" r="2540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roofErr w:type="gramStart"/>
      <w:r w:rsidR="005C06C0" w:rsidRPr="00C61E83">
        <w:rPr>
          <w:rFonts w:ascii="Times New Roman" w:hAnsi="Times New Roman" w:cs="Times New Roman"/>
        </w:rPr>
        <w:t>Source :</w:t>
      </w:r>
      <w:proofErr w:type="gramEnd"/>
      <w:r w:rsidR="005C06C0" w:rsidRPr="00C61E83">
        <w:rPr>
          <w:rFonts w:ascii="Times New Roman" w:hAnsi="Times New Roman" w:cs="Times New Roman"/>
        </w:rPr>
        <w:t xml:space="preserve"> </w:t>
      </w:r>
      <w:hyperlink r:id="rId12" w:history="1">
        <w:r w:rsidR="005C06C0" w:rsidRPr="00C61E83">
          <w:rPr>
            <w:rStyle w:val="Hyperlink"/>
            <w:rFonts w:ascii="Times New Roman" w:hAnsi="Times New Roman" w:cs="Times New Roman"/>
          </w:rPr>
          <w:t>http://www.treasury.govt.nz/government/data</w:t>
        </w:r>
      </w:hyperlink>
    </w:p>
    <w:p w14:paraId="34313783" w14:textId="0BE17C40" w:rsidR="006F6C79" w:rsidRPr="00C61E83" w:rsidRDefault="00517564" w:rsidP="00280C3A">
      <w:pPr>
        <w:tabs>
          <w:tab w:val="left" w:pos="8253"/>
        </w:tabs>
        <w:spacing w:line="480" w:lineRule="auto"/>
        <w:rPr>
          <w:rFonts w:ascii="Times New Roman" w:hAnsi="Times New Roman" w:cs="Times New Roman"/>
        </w:rPr>
      </w:pPr>
      <w:r w:rsidRPr="00C61E83">
        <w:rPr>
          <w:rFonts w:ascii="Times New Roman" w:hAnsi="Times New Roman" w:cs="Times New Roman"/>
        </w:rPr>
        <w:t>Figure 4. Time series of government expenditure on education from 2005 to 2015</w:t>
      </w:r>
    </w:p>
    <w:p w14:paraId="47C97AC6" w14:textId="6468676F" w:rsidR="00C304B3" w:rsidRPr="00C61E83" w:rsidRDefault="000959BC" w:rsidP="00280C3A">
      <w:pPr>
        <w:tabs>
          <w:tab w:val="left" w:pos="8253"/>
        </w:tabs>
        <w:spacing w:line="480" w:lineRule="auto"/>
        <w:rPr>
          <w:rFonts w:ascii="Times New Roman" w:hAnsi="Times New Roman" w:cs="Times New Roman"/>
        </w:rPr>
      </w:pPr>
      <w:r w:rsidRPr="00C61E83">
        <w:rPr>
          <w:rFonts w:ascii="Times New Roman" w:hAnsi="Times New Roman" w:cs="Times New Roman"/>
          <w:noProof/>
        </w:rPr>
        <w:drawing>
          <wp:inline distT="0" distB="0" distL="0" distR="0" wp14:anchorId="38B6661C" wp14:editId="0B8F946E">
            <wp:extent cx="5486400" cy="3200400"/>
            <wp:effectExtent l="0" t="0" r="25400" b="254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roofErr w:type="gramStart"/>
      <w:r w:rsidR="005C06C0" w:rsidRPr="00C61E83">
        <w:rPr>
          <w:rFonts w:ascii="Times New Roman" w:hAnsi="Times New Roman" w:cs="Times New Roman"/>
        </w:rPr>
        <w:t>Source :</w:t>
      </w:r>
      <w:proofErr w:type="gramEnd"/>
      <w:r w:rsidR="005C06C0" w:rsidRPr="00C61E83">
        <w:rPr>
          <w:rFonts w:ascii="Times New Roman" w:hAnsi="Times New Roman" w:cs="Times New Roman"/>
        </w:rPr>
        <w:t xml:space="preserve"> </w:t>
      </w:r>
      <w:hyperlink r:id="rId14" w:history="1">
        <w:r w:rsidR="005C06C0" w:rsidRPr="00C61E83">
          <w:rPr>
            <w:rStyle w:val="Hyperlink"/>
            <w:rFonts w:ascii="Times New Roman" w:hAnsi="Times New Roman" w:cs="Times New Roman"/>
          </w:rPr>
          <w:t>http://www.treasury.govt.nz/government/data</w:t>
        </w:r>
      </w:hyperlink>
      <w:r w:rsidR="006B1BB9" w:rsidRPr="00C61E83">
        <w:rPr>
          <w:rFonts w:ascii="Times New Roman" w:hAnsi="Times New Roman" w:cs="Times New Roman"/>
        </w:rPr>
        <w:tab/>
      </w:r>
    </w:p>
    <w:p w14:paraId="5F2B6F16" w14:textId="1B64A2E1" w:rsidR="006F6C79" w:rsidRPr="00C61E83" w:rsidRDefault="00517564" w:rsidP="00280C3A">
      <w:pPr>
        <w:spacing w:line="480" w:lineRule="auto"/>
        <w:rPr>
          <w:rFonts w:ascii="Times New Roman" w:hAnsi="Times New Roman" w:cs="Times New Roman"/>
        </w:rPr>
      </w:pPr>
      <w:r w:rsidRPr="00C61E83">
        <w:rPr>
          <w:rFonts w:ascii="Times New Roman" w:hAnsi="Times New Roman" w:cs="Times New Roman"/>
        </w:rPr>
        <w:t>Figure 5. T</w:t>
      </w:r>
      <w:r w:rsidR="00B96FF0" w:rsidRPr="00C61E83">
        <w:rPr>
          <w:rFonts w:ascii="Times New Roman" w:hAnsi="Times New Roman" w:cs="Times New Roman"/>
        </w:rPr>
        <w:t>ime</w:t>
      </w:r>
      <w:r w:rsidR="00C304B3" w:rsidRPr="00C61E83">
        <w:rPr>
          <w:rFonts w:ascii="Times New Roman" w:hAnsi="Times New Roman" w:cs="Times New Roman"/>
        </w:rPr>
        <w:t xml:space="preserve"> series of the </w:t>
      </w:r>
      <w:r w:rsidRPr="00C61E83">
        <w:rPr>
          <w:rFonts w:ascii="Times New Roman" w:hAnsi="Times New Roman" w:cs="Times New Roman"/>
        </w:rPr>
        <w:t>expenditure on education</w:t>
      </w:r>
      <w:r w:rsidR="00C304B3" w:rsidRPr="00C61E83">
        <w:rPr>
          <w:rFonts w:ascii="Times New Roman" w:hAnsi="Times New Roman" w:cs="Times New Roman"/>
        </w:rPr>
        <w:t xml:space="preserve"> as percentage of GDP</w:t>
      </w:r>
      <w:r w:rsidRPr="00C61E83">
        <w:rPr>
          <w:rFonts w:ascii="Times New Roman" w:hAnsi="Times New Roman" w:cs="Times New Roman"/>
        </w:rPr>
        <w:t xml:space="preserve"> from 2</w:t>
      </w:r>
      <w:r w:rsidR="007C5E32" w:rsidRPr="00C61E83">
        <w:rPr>
          <w:rFonts w:ascii="Times New Roman" w:hAnsi="Times New Roman" w:cs="Times New Roman"/>
        </w:rPr>
        <w:t>005 to 2015</w:t>
      </w:r>
    </w:p>
    <w:p w14:paraId="0CA69B56" w14:textId="27618CF6" w:rsidR="00EA4334" w:rsidRPr="00C61E83" w:rsidRDefault="00EA4334" w:rsidP="00280C3A">
      <w:pPr>
        <w:spacing w:line="480" w:lineRule="auto"/>
        <w:rPr>
          <w:rFonts w:ascii="Times New Roman" w:hAnsi="Times New Roman" w:cs="Times New Roman"/>
        </w:rPr>
      </w:pPr>
      <w:r w:rsidRPr="00C61E83">
        <w:rPr>
          <w:rFonts w:ascii="Times New Roman" w:hAnsi="Times New Roman" w:cs="Times New Roman"/>
          <w:noProof/>
        </w:rPr>
        <w:drawing>
          <wp:inline distT="0" distB="0" distL="0" distR="0" wp14:anchorId="416E2391" wp14:editId="69C47373">
            <wp:extent cx="5486400" cy="3200400"/>
            <wp:effectExtent l="0" t="0" r="25400" b="254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roofErr w:type="gramStart"/>
      <w:r w:rsidR="005C06C0" w:rsidRPr="00C61E83">
        <w:rPr>
          <w:rFonts w:ascii="Times New Roman" w:hAnsi="Times New Roman" w:cs="Times New Roman"/>
        </w:rPr>
        <w:t>Source :</w:t>
      </w:r>
      <w:proofErr w:type="gramEnd"/>
      <w:r w:rsidR="005C06C0" w:rsidRPr="00C61E83">
        <w:rPr>
          <w:rFonts w:ascii="Times New Roman" w:hAnsi="Times New Roman" w:cs="Times New Roman"/>
        </w:rPr>
        <w:t xml:space="preserve"> </w:t>
      </w:r>
      <w:hyperlink r:id="rId16" w:history="1">
        <w:r w:rsidR="005C06C0" w:rsidRPr="00C61E83">
          <w:rPr>
            <w:rStyle w:val="Hyperlink"/>
            <w:rFonts w:ascii="Times New Roman" w:hAnsi="Times New Roman" w:cs="Times New Roman"/>
          </w:rPr>
          <w:t>http://www.treasury.govt.nz/government/data</w:t>
        </w:r>
      </w:hyperlink>
    </w:p>
    <w:p w14:paraId="1454F268" w14:textId="77777777" w:rsidR="00C61E83" w:rsidRPr="00C61E83" w:rsidRDefault="00C61E83" w:rsidP="00280C3A">
      <w:pPr>
        <w:spacing w:line="480" w:lineRule="auto"/>
        <w:rPr>
          <w:rFonts w:ascii="Times New Roman" w:hAnsi="Times New Roman" w:cs="Times New Roman"/>
        </w:rPr>
      </w:pPr>
    </w:p>
    <w:p w14:paraId="19E43489" w14:textId="77777777" w:rsidR="00C61E83" w:rsidRPr="00C61E83" w:rsidRDefault="00C61E83" w:rsidP="00280C3A">
      <w:pPr>
        <w:spacing w:line="480" w:lineRule="auto"/>
        <w:rPr>
          <w:rFonts w:ascii="Times New Roman" w:hAnsi="Times New Roman" w:cs="Times New Roman"/>
        </w:rPr>
      </w:pPr>
    </w:p>
    <w:p w14:paraId="37FC5053" w14:textId="4AB5CF79" w:rsidR="006139D1" w:rsidRPr="00C61E83" w:rsidRDefault="00E8517B" w:rsidP="00280C3A">
      <w:pPr>
        <w:spacing w:line="480" w:lineRule="auto"/>
        <w:rPr>
          <w:rFonts w:ascii="Times New Roman" w:hAnsi="Times New Roman" w:cs="Times New Roman"/>
        </w:rPr>
      </w:pPr>
      <w:r w:rsidRPr="00C61E83">
        <w:rPr>
          <w:rFonts w:ascii="Times New Roman" w:hAnsi="Times New Roman" w:cs="Times New Roman"/>
        </w:rPr>
        <w:t>Figure 6. Time series NCEA</w:t>
      </w:r>
      <w:r w:rsidR="00280C3A" w:rsidRPr="00C61E83">
        <w:rPr>
          <w:rFonts w:ascii="Times New Roman" w:hAnsi="Times New Roman" w:cs="Times New Roman"/>
        </w:rPr>
        <w:t xml:space="preserve"> pass rate (roll) from 2005-2014</w:t>
      </w:r>
    </w:p>
    <w:p w14:paraId="53265550" w14:textId="6412C4D4" w:rsidR="00C304B3" w:rsidRPr="00C61E83" w:rsidRDefault="00E8517B" w:rsidP="00280C3A">
      <w:pPr>
        <w:spacing w:line="480" w:lineRule="auto"/>
        <w:rPr>
          <w:rFonts w:ascii="Times New Roman" w:hAnsi="Times New Roman" w:cs="Times New Roman"/>
        </w:rPr>
      </w:pPr>
      <w:r w:rsidRPr="00C61E83">
        <w:rPr>
          <w:rFonts w:ascii="Times New Roman" w:hAnsi="Times New Roman" w:cs="Times New Roman"/>
          <w:noProof/>
        </w:rPr>
        <w:drawing>
          <wp:inline distT="0" distB="0" distL="0" distR="0" wp14:anchorId="20FC6029" wp14:editId="038980DA">
            <wp:extent cx="5486400" cy="3636433"/>
            <wp:effectExtent l="0" t="0" r="25400" b="2159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roofErr w:type="gramStart"/>
      <w:r w:rsidR="006139D1" w:rsidRPr="00C61E83">
        <w:rPr>
          <w:rFonts w:ascii="Times New Roman" w:hAnsi="Times New Roman" w:cs="Times New Roman"/>
        </w:rPr>
        <w:t>Source :</w:t>
      </w:r>
      <w:proofErr w:type="gramEnd"/>
      <w:r w:rsidR="006139D1" w:rsidRPr="00C61E83">
        <w:rPr>
          <w:rFonts w:ascii="Times New Roman" w:hAnsi="Times New Roman" w:cs="Times New Roman"/>
        </w:rPr>
        <w:t xml:space="preserve"> </w:t>
      </w:r>
      <w:hyperlink r:id="rId18" w:history="1">
        <w:r w:rsidR="006139D1" w:rsidRPr="00C61E83">
          <w:rPr>
            <w:rStyle w:val="Hyperlink"/>
            <w:rFonts w:ascii="Times New Roman" w:hAnsi="Times New Roman" w:cs="Times New Roman"/>
          </w:rPr>
          <w:t>http://www.stuff.co.nz/national/education/69946881/ncea-results--by-the-numbers</w:t>
        </w:r>
      </w:hyperlink>
    </w:p>
    <w:p w14:paraId="52ED3263" w14:textId="77777777" w:rsidR="00C61E83" w:rsidRPr="00C61E83" w:rsidRDefault="00C61E83" w:rsidP="00280C3A">
      <w:pPr>
        <w:spacing w:line="480" w:lineRule="auto"/>
        <w:rPr>
          <w:rFonts w:ascii="Times New Roman" w:hAnsi="Times New Roman" w:cs="Times New Roman"/>
        </w:rPr>
      </w:pPr>
    </w:p>
    <w:p w14:paraId="70B2D634" w14:textId="77777777" w:rsidR="00C61E83" w:rsidRPr="00C61E83" w:rsidRDefault="00C61E83" w:rsidP="00280C3A">
      <w:pPr>
        <w:spacing w:line="480" w:lineRule="auto"/>
        <w:rPr>
          <w:rFonts w:ascii="Times New Roman" w:hAnsi="Times New Roman" w:cs="Times New Roman"/>
        </w:rPr>
      </w:pPr>
    </w:p>
    <w:p w14:paraId="17D08BB8" w14:textId="77777777" w:rsidR="00C61E83" w:rsidRPr="00C61E83" w:rsidRDefault="00C61E83" w:rsidP="00280C3A">
      <w:pPr>
        <w:spacing w:line="480" w:lineRule="auto"/>
        <w:rPr>
          <w:rFonts w:ascii="Times New Roman" w:hAnsi="Times New Roman" w:cs="Times New Roman"/>
        </w:rPr>
      </w:pPr>
    </w:p>
    <w:p w14:paraId="368CCB04" w14:textId="77777777" w:rsidR="00C61E83" w:rsidRPr="00C61E83" w:rsidRDefault="00C61E83" w:rsidP="00280C3A">
      <w:pPr>
        <w:spacing w:line="480" w:lineRule="auto"/>
        <w:rPr>
          <w:rFonts w:ascii="Times New Roman" w:hAnsi="Times New Roman" w:cs="Times New Roman"/>
        </w:rPr>
      </w:pPr>
    </w:p>
    <w:p w14:paraId="525522A2" w14:textId="77777777" w:rsidR="00C61E83" w:rsidRPr="00C61E83" w:rsidRDefault="00C61E83" w:rsidP="00280C3A">
      <w:pPr>
        <w:spacing w:line="480" w:lineRule="auto"/>
        <w:rPr>
          <w:rFonts w:ascii="Times New Roman" w:hAnsi="Times New Roman" w:cs="Times New Roman"/>
        </w:rPr>
      </w:pPr>
    </w:p>
    <w:p w14:paraId="271E73F3" w14:textId="77777777" w:rsidR="00C61E83" w:rsidRPr="00C61E83" w:rsidRDefault="00C61E83" w:rsidP="00280C3A">
      <w:pPr>
        <w:spacing w:line="480" w:lineRule="auto"/>
        <w:rPr>
          <w:rFonts w:ascii="Times New Roman" w:hAnsi="Times New Roman" w:cs="Times New Roman"/>
        </w:rPr>
      </w:pPr>
    </w:p>
    <w:p w14:paraId="5652F59C" w14:textId="77777777" w:rsidR="00C61E83" w:rsidRPr="00C61E83" w:rsidRDefault="00C61E83" w:rsidP="00280C3A">
      <w:pPr>
        <w:spacing w:line="480" w:lineRule="auto"/>
        <w:rPr>
          <w:rFonts w:ascii="Times New Roman" w:hAnsi="Times New Roman" w:cs="Times New Roman"/>
        </w:rPr>
      </w:pPr>
    </w:p>
    <w:p w14:paraId="47A554B0" w14:textId="77777777" w:rsidR="00C61E83" w:rsidRPr="00C61E83" w:rsidRDefault="00C61E83" w:rsidP="00280C3A">
      <w:pPr>
        <w:spacing w:line="480" w:lineRule="auto"/>
        <w:rPr>
          <w:rFonts w:ascii="Times New Roman" w:hAnsi="Times New Roman" w:cs="Times New Roman"/>
        </w:rPr>
      </w:pPr>
    </w:p>
    <w:p w14:paraId="2CAEB6CF" w14:textId="77777777" w:rsidR="00C61E83" w:rsidRPr="00C61E83" w:rsidRDefault="00C61E83" w:rsidP="00280C3A">
      <w:pPr>
        <w:spacing w:line="480" w:lineRule="auto"/>
        <w:rPr>
          <w:rFonts w:ascii="Times New Roman" w:hAnsi="Times New Roman" w:cs="Times New Roman"/>
        </w:rPr>
      </w:pPr>
    </w:p>
    <w:p w14:paraId="45A7F8FE" w14:textId="77777777" w:rsidR="00C61E83" w:rsidRPr="00C61E83" w:rsidRDefault="00C61E83" w:rsidP="00280C3A">
      <w:pPr>
        <w:spacing w:line="480" w:lineRule="auto"/>
        <w:rPr>
          <w:rFonts w:ascii="Times New Roman" w:hAnsi="Times New Roman" w:cs="Times New Roman"/>
        </w:rPr>
      </w:pPr>
    </w:p>
    <w:p w14:paraId="58080149" w14:textId="77777777" w:rsidR="00C61E83" w:rsidRPr="00C61E83" w:rsidRDefault="00C61E83" w:rsidP="00280C3A">
      <w:pPr>
        <w:spacing w:line="480" w:lineRule="auto"/>
        <w:rPr>
          <w:rFonts w:ascii="Times New Roman" w:hAnsi="Times New Roman" w:cs="Times New Roman"/>
        </w:rPr>
      </w:pPr>
    </w:p>
    <w:p w14:paraId="462645A1" w14:textId="77777777" w:rsidR="00C61E83" w:rsidRPr="00C61E83" w:rsidRDefault="00C61E83" w:rsidP="00280C3A">
      <w:pPr>
        <w:spacing w:line="480" w:lineRule="auto"/>
        <w:rPr>
          <w:rFonts w:ascii="Times New Roman" w:hAnsi="Times New Roman" w:cs="Times New Roman"/>
        </w:rPr>
      </w:pPr>
    </w:p>
    <w:p w14:paraId="454A11D9" w14:textId="77777777" w:rsidR="00C61E83" w:rsidRPr="00C61E83" w:rsidRDefault="00C61E83" w:rsidP="00280C3A">
      <w:pPr>
        <w:spacing w:line="480" w:lineRule="auto"/>
        <w:rPr>
          <w:rFonts w:ascii="Times New Roman" w:hAnsi="Times New Roman" w:cs="Times New Roman"/>
        </w:rPr>
      </w:pPr>
    </w:p>
    <w:p w14:paraId="612AC291" w14:textId="77777777" w:rsidR="00C61E83" w:rsidRPr="00C61E83" w:rsidRDefault="00C61E83" w:rsidP="00C61E83">
      <w:pPr>
        <w:spacing w:after="100" w:afterAutospacing="1" w:line="360" w:lineRule="atLeast"/>
        <w:outlineLvl w:val="1"/>
        <w:rPr>
          <w:rFonts w:ascii="Times New Roman" w:eastAsia="Times New Roman" w:hAnsi="Times New Roman" w:cs="Times New Roman"/>
          <w:color w:val="000000"/>
          <w:u w:val="single"/>
        </w:rPr>
      </w:pPr>
      <w:r w:rsidRPr="00C61E83">
        <w:rPr>
          <w:rFonts w:ascii="Times New Roman" w:eastAsia="Times New Roman" w:hAnsi="Times New Roman" w:cs="Times New Roman"/>
          <w:color w:val="000000"/>
          <w:u w:val="single"/>
        </w:rPr>
        <w:t>References</w:t>
      </w:r>
    </w:p>
    <w:p w14:paraId="4077164F" w14:textId="77777777" w:rsidR="00C61E83" w:rsidRPr="00C61E83" w:rsidRDefault="00C61E83" w:rsidP="00C61E83">
      <w:pPr>
        <w:spacing w:after="180" w:line="360" w:lineRule="atLeast"/>
        <w:ind w:left="450" w:hanging="450"/>
        <w:rPr>
          <w:rFonts w:ascii="Times New Roman" w:hAnsi="Times New Roman" w:cs="Times New Roman"/>
          <w:color w:val="000000"/>
        </w:rPr>
      </w:pPr>
      <w:r w:rsidRPr="00C61E83">
        <w:rPr>
          <w:rFonts w:ascii="Times New Roman" w:hAnsi="Times New Roman" w:cs="Times New Roman"/>
          <w:color w:val="000000"/>
        </w:rPr>
        <w:t>Data.worldbank.org</w:t>
      </w:r>
      <w:proofErr w:type="gramStart"/>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w:t>
      </w:r>
      <w:proofErr w:type="gramStart"/>
      <w:r w:rsidRPr="00C61E83">
        <w:rPr>
          <w:rFonts w:ascii="Times New Roman" w:hAnsi="Times New Roman" w:cs="Times New Roman"/>
          <w:color w:val="000000"/>
        </w:rPr>
        <w:t>(2015). </w:t>
      </w:r>
      <w:r w:rsidRPr="00C61E83">
        <w:rPr>
          <w:rFonts w:ascii="Times New Roman" w:hAnsi="Times New Roman" w:cs="Times New Roman"/>
          <w:i/>
          <w:iCs/>
          <w:color w:val="000000"/>
        </w:rPr>
        <w:t>Net enrolment rate, primary, both sexes (%) | Data | Graph</w:t>
      </w:r>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Retrieved 6 January 2016, from http://data.worldbank.org/indicator/SE.PRM.NENR/countries/NZ--XS</w:t>
      </w:r>
      <w:proofErr w:type="gramStart"/>
      <w:r w:rsidRPr="00C61E83">
        <w:rPr>
          <w:rFonts w:ascii="Times New Roman" w:hAnsi="Times New Roman" w:cs="Times New Roman"/>
          <w:color w:val="000000"/>
        </w:rPr>
        <w:t>?display</w:t>
      </w:r>
      <w:proofErr w:type="gramEnd"/>
      <w:r w:rsidRPr="00C61E83">
        <w:rPr>
          <w:rFonts w:ascii="Times New Roman" w:hAnsi="Times New Roman" w:cs="Times New Roman"/>
          <w:color w:val="000000"/>
        </w:rPr>
        <w:t>=graph</w:t>
      </w:r>
    </w:p>
    <w:p w14:paraId="339FA22D" w14:textId="77777777" w:rsidR="00C61E83" w:rsidRPr="00C61E83" w:rsidRDefault="00C61E83" w:rsidP="00C61E83">
      <w:pPr>
        <w:spacing w:after="180" w:line="360" w:lineRule="atLeast"/>
        <w:ind w:left="450" w:hanging="450"/>
        <w:rPr>
          <w:rFonts w:ascii="Times New Roman" w:hAnsi="Times New Roman" w:cs="Times New Roman"/>
          <w:color w:val="000000"/>
        </w:rPr>
      </w:pPr>
      <w:r w:rsidRPr="00C61E83">
        <w:rPr>
          <w:rFonts w:ascii="Times New Roman" w:hAnsi="Times New Roman" w:cs="Times New Roman"/>
          <w:color w:val="000000"/>
        </w:rPr>
        <w:t>Data.worldbank.org</w:t>
      </w:r>
      <w:proofErr w:type="gramStart"/>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(2015). </w:t>
      </w:r>
      <w:r w:rsidRPr="00C61E83">
        <w:rPr>
          <w:rFonts w:ascii="Times New Roman" w:hAnsi="Times New Roman" w:cs="Times New Roman"/>
          <w:i/>
          <w:iCs/>
          <w:color w:val="000000"/>
        </w:rPr>
        <w:t>Net enrolment rate, secondary, both sexes (%) | Data | Graph</w:t>
      </w:r>
      <w:r w:rsidRPr="00C61E83">
        <w:rPr>
          <w:rFonts w:ascii="Times New Roman" w:hAnsi="Times New Roman" w:cs="Times New Roman"/>
          <w:color w:val="000000"/>
        </w:rPr>
        <w:t>. Retrieved 6 January 2016, from http://data.worldbank.org/indicator/SE.SEC.NENR/countries/NZ--XS</w:t>
      </w:r>
      <w:proofErr w:type="gramStart"/>
      <w:r w:rsidRPr="00C61E83">
        <w:rPr>
          <w:rFonts w:ascii="Times New Roman" w:hAnsi="Times New Roman" w:cs="Times New Roman"/>
          <w:color w:val="000000"/>
        </w:rPr>
        <w:t>?display</w:t>
      </w:r>
      <w:proofErr w:type="gramEnd"/>
      <w:r w:rsidRPr="00C61E83">
        <w:rPr>
          <w:rFonts w:ascii="Times New Roman" w:hAnsi="Times New Roman" w:cs="Times New Roman"/>
          <w:color w:val="000000"/>
        </w:rPr>
        <w:t>=graph</w:t>
      </w:r>
    </w:p>
    <w:p w14:paraId="0E1D6B26" w14:textId="77777777" w:rsidR="00C61E83" w:rsidRPr="00C61E83" w:rsidRDefault="00C61E83" w:rsidP="00C61E83">
      <w:pPr>
        <w:spacing w:after="180" w:line="360" w:lineRule="atLeast"/>
        <w:ind w:left="450" w:hanging="450"/>
        <w:rPr>
          <w:rFonts w:ascii="Times New Roman" w:hAnsi="Times New Roman" w:cs="Times New Roman"/>
          <w:color w:val="000000"/>
        </w:rPr>
      </w:pPr>
      <w:r w:rsidRPr="00C61E83">
        <w:rPr>
          <w:rFonts w:ascii="Times New Roman" w:hAnsi="Times New Roman" w:cs="Times New Roman"/>
          <w:color w:val="000000"/>
        </w:rPr>
        <w:t>Heritage.org</w:t>
      </w:r>
      <w:proofErr w:type="gramStart"/>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(2015). </w:t>
      </w:r>
      <w:r w:rsidRPr="00C61E83">
        <w:rPr>
          <w:rFonts w:ascii="Times New Roman" w:hAnsi="Times New Roman" w:cs="Times New Roman"/>
          <w:i/>
          <w:iCs/>
          <w:color w:val="000000"/>
        </w:rPr>
        <w:t xml:space="preserve">New Zealand Economy: Population, GDP, Inflation, Business, Trade, FDI, </w:t>
      </w:r>
      <w:proofErr w:type="gramStart"/>
      <w:r w:rsidRPr="00C61E83">
        <w:rPr>
          <w:rFonts w:ascii="Times New Roman" w:hAnsi="Times New Roman" w:cs="Times New Roman"/>
          <w:i/>
          <w:iCs/>
          <w:color w:val="000000"/>
        </w:rPr>
        <w:t>Corruption</w:t>
      </w:r>
      <w:proofErr w:type="gramEnd"/>
      <w:r w:rsidRPr="00C61E83">
        <w:rPr>
          <w:rFonts w:ascii="Times New Roman" w:hAnsi="Times New Roman" w:cs="Times New Roman"/>
          <w:color w:val="000000"/>
        </w:rPr>
        <w:t>. Retrieved 5 January 2016, from http://www.heritage.org/index/country/newzealand</w:t>
      </w:r>
    </w:p>
    <w:p w14:paraId="19A43945" w14:textId="77777777" w:rsidR="00C61E83" w:rsidRPr="00C61E83" w:rsidRDefault="00C61E83" w:rsidP="00C61E83">
      <w:pPr>
        <w:spacing w:after="180" w:line="360" w:lineRule="atLeast"/>
        <w:ind w:left="450" w:hanging="450"/>
        <w:rPr>
          <w:rFonts w:ascii="Times New Roman" w:hAnsi="Times New Roman" w:cs="Times New Roman"/>
          <w:color w:val="000000"/>
        </w:rPr>
      </w:pPr>
      <w:r w:rsidRPr="00C61E83">
        <w:rPr>
          <w:rFonts w:ascii="Times New Roman" w:hAnsi="Times New Roman" w:cs="Times New Roman"/>
          <w:color w:val="000000"/>
        </w:rPr>
        <w:t>ICEF Monitor - Market intelligence for international student recruitment</w:t>
      </w:r>
      <w:proofErr w:type="gramStart"/>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(2015). </w:t>
      </w:r>
      <w:r w:rsidRPr="00C61E83">
        <w:rPr>
          <w:rFonts w:ascii="Times New Roman" w:hAnsi="Times New Roman" w:cs="Times New Roman"/>
          <w:i/>
          <w:iCs/>
          <w:color w:val="000000"/>
        </w:rPr>
        <w:t>New Zealand’s international enrolment up 12% as number of prospective domestic students falls - ICEF Monitor - Market intelligence for international student recruitment</w:t>
      </w:r>
      <w:r w:rsidRPr="00C61E83">
        <w:rPr>
          <w:rFonts w:ascii="Times New Roman" w:hAnsi="Times New Roman" w:cs="Times New Roman"/>
          <w:color w:val="000000"/>
        </w:rPr>
        <w:t>. Retrieved 6 January 2016, from http://monitor.icef.com/2015/02/new-zealands-international-enrolment-12-number-prospective-domestic-students-falls/</w:t>
      </w:r>
    </w:p>
    <w:p w14:paraId="4C35C2D7" w14:textId="77777777" w:rsidR="00C61E83" w:rsidRPr="00C61E83" w:rsidRDefault="00C61E83" w:rsidP="00C61E83">
      <w:pPr>
        <w:spacing w:after="180" w:line="360" w:lineRule="atLeast"/>
        <w:ind w:left="450" w:hanging="450"/>
        <w:rPr>
          <w:rFonts w:ascii="Times New Roman" w:hAnsi="Times New Roman" w:cs="Times New Roman"/>
          <w:color w:val="000000"/>
        </w:rPr>
      </w:pPr>
      <w:r w:rsidRPr="00C61E83">
        <w:rPr>
          <w:rFonts w:ascii="Times New Roman" w:hAnsi="Times New Roman" w:cs="Times New Roman"/>
          <w:color w:val="000000"/>
        </w:rPr>
        <w:t>Immigration.govt.nz</w:t>
      </w:r>
      <w:proofErr w:type="gramStart"/>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(2015)</w:t>
      </w:r>
      <w:proofErr w:type="gramStart"/>
      <w:r w:rsidRPr="00C61E83">
        <w:rPr>
          <w:rFonts w:ascii="Times New Roman" w:hAnsi="Times New Roman" w:cs="Times New Roman"/>
          <w:color w:val="000000"/>
        </w:rPr>
        <w:t>. </w:t>
      </w:r>
      <w:r w:rsidRPr="00C61E83">
        <w:rPr>
          <w:rFonts w:ascii="Times New Roman" w:hAnsi="Times New Roman" w:cs="Times New Roman"/>
          <w:i/>
          <w:iCs/>
          <w:color w:val="000000"/>
        </w:rPr>
        <w:t>Student factsheet</w:t>
      </w:r>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Retrieved 6 January 2016, from http://www.immigration.govt.nz/migrant/general/generalinformation/media/studentfact.htm</w:t>
      </w:r>
    </w:p>
    <w:p w14:paraId="4580837A" w14:textId="77777777" w:rsidR="00C61E83" w:rsidRPr="00C61E83" w:rsidRDefault="00C61E83" w:rsidP="00C61E83">
      <w:pPr>
        <w:spacing w:after="180" w:line="360" w:lineRule="atLeast"/>
        <w:ind w:left="450" w:hanging="450"/>
        <w:rPr>
          <w:rFonts w:ascii="Times New Roman" w:hAnsi="Times New Roman" w:cs="Times New Roman"/>
          <w:color w:val="000000"/>
        </w:rPr>
      </w:pPr>
      <w:r w:rsidRPr="00C61E83">
        <w:rPr>
          <w:rFonts w:ascii="Times New Roman" w:hAnsi="Times New Roman" w:cs="Times New Roman"/>
          <w:color w:val="000000"/>
        </w:rPr>
        <w:t>Nzmaths.co.nz</w:t>
      </w:r>
      <w:proofErr w:type="gramStart"/>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(2015). </w:t>
      </w:r>
      <w:r w:rsidRPr="00C61E83">
        <w:rPr>
          <w:rFonts w:ascii="Times New Roman" w:hAnsi="Times New Roman" w:cs="Times New Roman"/>
          <w:i/>
          <w:iCs/>
          <w:color w:val="000000"/>
        </w:rPr>
        <w:t xml:space="preserve">Tertiary Fees Funding Support: Mathematics - Primary and Intermediate Teachers | </w:t>
      </w:r>
      <w:proofErr w:type="spellStart"/>
      <w:r w:rsidRPr="00C61E83">
        <w:rPr>
          <w:rFonts w:ascii="Times New Roman" w:hAnsi="Times New Roman" w:cs="Times New Roman"/>
          <w:i/>
          <w:iCs/>
          <w:color w:val="000000"/>
        </w:rPr>
        <w:t>nzmaths</w:t>
      </w:r>
      <w:proofErr w:type="spellEnd"/>
      <w:r w:rsidRPr="00C61E83">
        <w:rPr>
          <w:rFonts w:ascii="Times New Roman" w:hAnsi="Times New Roman" w:cs="Times New Roman"/>
          <w:color w:val="000000"/>
        </w:rPr>
        <w:t>. Retrieved 7 January 2016, from http://nzmaths.co.nz/tertiary-fees-funding-support-mathematics-primary-and-intermediate-teachers</w:t>
      </w:r>
    </w:p>
    <w:p w14:paraId="6E40C332" w14:textId="77777777" w:rsidR="00C61E83" w:rsidRPr="00C61E83" w:rsidRDefault="00C61E83" w:rsidP="00C61E83">
      <w:pPr>
        <w:spacing w:after="180" w:line="360" w:lineRule="atLeast"/>
        <w:ind w:left="450" w:hanging="450"/>
        <w:rPr>
          <w:rFonts w:ascii="Times New Roman" w:hAnsi="Times New Roman" w:cs="Times New Roman"/>
          <w:color w:val="000000"/>
        </w:rPr>
      </w:pPr>
      <w:r w:rsidRPr="00C61E83">
        <w:rPr>
          <w:rFonts w:ascii="Times New Roman" w:hAnsi="Times New Roman" w:cs="Times New Roman"/>
          <w:color w:val="000000"/>
        </w:rPr>
        <w:t>The New Zealand Herald</w:t>
      </w:r>
      <w:proofErr w:type="gramStart"/>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(2015)</w:t>
      </w:r>
      <w:proofErr w:type="gramStart"/>
      <w:r w:rsidRPr="00C61E83">
        <w:rPr>
          <w:rFonts w:ascii="Times New Roman" w:hAnsi="Times New Roman" w:cs="Times New Roman"/>
          <w:color w:val="000000"/>
        </w:rPr>
        <w:t>. </w:t>
      </w:r>
      <w:r w:rsidRPr="00C61E83">
        <w:rPr>
          <w:rFonts w:ascii="Times New Roman" w:hAnsi="Times New Roman" w:cs="Times New Roman"/>
          <w:i/>
          <w:iCs/>
          <w:color w:val="000000"/>
        </w:rPr>
        <w:t xml:space="preserve">Back-to-basics call on </w:t>
      </w:r>
      <w:proofErr w:type="spellStart"/>
      <w:r w:rsidRPr="00C61E83">
        <w:rPr>
          <w:rFonts w:ascii="Times New Roman" w:hAnsi="Times New Roman" w:cs="Times New Roman"/>
          <w:i/>
          <w:iCs/>
          <w:color w:val="000000"/>
        </w:rPr>
        <w:t>maths</w:t>
      </w:r>
      <w:proofErr w:type="spellEnd"/>
      <w:r w:rsidRPr="00C61E83">
        <w:rPr>
          <w:rFonts w:ascii="Times New Roman" w:hAnsi="Times New Roman" w:cs="Times New Roman"/>
          <w:i/>
          <w:iCs/>
          <w:color w:val="000000"/>
        </w:rPr>
        <w:t xml:space="preserve"> - National - NZ Herald News</w:t>
      </w:r>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Retrieved 7 January 2016, from http://www.nzherald.co.nz/nz/news/article.cfm</w:t>
      </w:r>
      <w:proofErr w:type="gramStart"/>
      <w:r w:rsidRPr="00C61E83">
        <w:rPr>
          <w:rFonts w:ascii="Times New Roman" w:hAnsi="Times New Roman" w:cs="Times New Roman"/>
          <w:color w:val="000000"/>
        </w:rPr>
        <w:t>?c</w:t>
      </w:r>
      <w:proofErr w:type="gramEnd"/>
      <w:r w:rsidRPr="00C61E83">
        <w:rPr>
          <w:rFonts w:ascii="Times New Roman" w:hAnsi="Times New Roman" w:cs="Times New Roman"/>
          <w:color w:val="000000"/>
        </w:rPr>
        <w:t>_id=1&amp;objectid=11459426</w:t>
      </w:r>
    </w:p>
    <w:p w14:paraId="458D5A3D" w14:textId="77777777" w:rsidR="00C61E83" w:rsidRPr="00C61E83" w:rsidRDefault="00C61E83" w:rsidP="00C61E83">
      <w:pPr>
        <w:spacing w:after="180" w:line="360" w:lineRule="atLeast"/>
        <w:ind w:left="450" w:hanging="450"/>
        <w:rPr>
          <w:rFonts w:ascii="Times New Roman" w:hAnsi="Times New Roman" w:cs="Times New Roman"/>
          <w:color w:val="000000"/>
        </w:rPr>
      </w:pPr>
      <w:r w:rsidRPr="00C61E83">
        <w:rPr>
          <w:rFonts w:ascii="Times New Roman" w:hAnsi="Times New Roman" w:cs="Times New Roman"/>
          <w:color w:val="000000"/>
        </w:rPr>
        <w:t>The New Zealand Herald</w:t>
      </w:r>
      <w:proofErr w:type="gramStart"/>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(2015). </w:t>
      </w:r>
      <w:r w:rsidRPr="00C61E83">
        <w:rPr>
          <w:rFonts w:ascii="Times New Roman" w:hAnsi="Times New Roman" w:cs="Times New Roman"/>
          <w:i/>
          <w:iCs/>
          <w:color w:val="000000"/>
        </w:rPr>
        <w:t xml:space="preserve">Education Minister: There's a problem with </w:t>
      </w:r>
      <w:proofErr w:type="spellStart"/>
      <w:r w:rsidRPr="00C61E83">
        <w:rPr>
          <w:rFonts w:ascii="Times New Roman" w:hAnsi="Times New Roman" w:cs="Times New Roman"/>
          <w:i/>
          <w:iCs/>
          <w:color w:val="000000"/>
        </w:rPr>
        <w:t>maths</w:t>
      </w:r>
      <w:proofErr w:type="spellEnd"/>
      <w:r w:rsidRPr="00C61E83">
        <w:rPr>
          <w:rFonts w:ascii="Times New Roman" w:hAnsi="Times New Roman" w:cs="Times New Roman"/>
          <w:i/>
          <w:iCs/>
          <w:color w:val="000000"/>
        </w:rPr>
        <w:t xml:space="preserve"> in NZ - National - NZ Herald News</w:t>
      </w:r>
      <w:r w:rsidRPr="00C61E83">
        <w:rPr>
          <w:rFonts w:ascii="Times New Roman" w:hAnsi="Times New Roman" w:cs="Times New Roman"/>
          <w:color w:val="000000"/>
        </w:rPr>
        <w:t>. Retrieved 6 January 2016, from http://www.nzherald.co.nz/nz/news/article.cfm</w:t>
      </w:r>
      <w:proofErr w:type="gramStart"/>
      <w:r w:rsidRPr="00C61E83">
        <w:rPr>
          <w:rFonts w:ascii="Times New Roman" w:hAnsi="Times New Roman" w:cs="Times New Roman"/>
          <w:color w:val="000000"/>
        </w:rPr>
        <w:t>?c</w:t>
      </w:r>
      <w:proofErr w:type="gramEnd"/>
      <w:r w:rsidRPr="00C61E83">
        <w:rPr>
          <w:rFonts w:ascii="Times New Roman" w:hAnsi="Times New Roman" w:cs="Times New Roman"/>
          <w:color w:val="000000"/>
        </w:rPr>
        <w:t>_id=1&amp;objectid=11459924</w:t>
      </w:r>
    </w:p>
    <w:p w14:paraId="5ACBA06A" w14:textId="77777777" w:rsidR="00C61E83" w:rsidRPr="00C61E83" w:rsidRDefault="00C61E83" w:rsidP="00C61E83">
      <w:pPr>
        <w:spacing w:after="180" w:line="360" w:lineRule="atLeast"/>
        <w:ind w:left="450" w:hanging="450"/>
        <w:rPr>
          <w:rFonts w:ascii="Times New Roman" w:hAnsi="Times New Roman" w:cs="Times New Roman"/>
          <w:color w:val="000000"/>
        </w:rPr>
      </w:pPr>
      <w:r w:rsidRPr="00C61E83">
        <w:rPr>
          <w:rFonts w:ascii="Times New Roman" w:hAnsi="Times New Roman" w:cs="Times New Roman"/>
          <w:color w:val="000000"/>
        </w:rPr>
        <w:t>Treasury.govt.nz</w:t>
      </w:r>
      <w:proofErr w:type="gramStart"/>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(2015). </w:t>
      </w:r>
      <w:r w:rsidRPr="00C61E83">
        <w:rPr>
          <w:rFonts w:ascii="Times New Roman" w:hAnsi="Times New Roman" w:cs="Times New Roman"/>
          <w:i/>
          <w:iCs/>
          <w:color w:val="000000"/>
        </w:rPr>
        <w:t>Analysis of Expenses by Functional Classification for the year ended 30 June 2015 - Financial Statements of the Government of New Zealand for the Year Ended 30 June 2015 — The Treasury - New Zealand</w:t>
      </w:r>
      <w:r w:rsidRPr="00C61E83">
        <w:rPr>
          <w:rFonts w:ascii="Times New Roman" w:hAnsi="Times New Roman" w:cs="Times New Roman"/>
          <w:color w:val="000000"/>
        </w:rPr>
        <w:t>. Retrieved 7 January 2016, from http://www.treasury.govt.nz/government/financialstatements/yearend/jun15/18.htm</w:t>
      </w:r>
    </w:p>
    <w:p w14:paraId="50D5DC92" w14:textId="77777777" w:rsidR="00C61E83" w:rsidRPr="00C61E83" w:rsidRDefault="00C61E83" w:rsidP="00C61E83">
      <w:pPr>
        <w:spacing w:after="180" w:line="360" w:lineRule="atLeast"/>
        <w:ind w:left="450" w:hanging="450"/>
        <w:rPr>
          <w:rFonts w:ascii="Times New Roman" w:hAnsi="Times New Roman" w:cs="Times New Roman"/>
          <w:color w:val="000000"/>
        </w:rPr>
      </w:pPr>
      <w:r w:rsidRPr="00C61E83">
        <w:rPr>
          <w:rFonts w:ascii="Times New Roman" w:hAnsi="Times New Roman" w:cs="Times New Roman"/>
          <w:color w:val="000000"/>
        </w:rPr>
        <w:t>Treasury.govt.nz</w:t>
      </w:r>
      <w:proofErr w:type="gramStart"/>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(2015)</w:t>
      </w:r>
      <w:proofErr w:type="gramStart"/>
      <w:r w:rsidRPr="00C61E83">
        <w:rPr>
          <w:rFonts w:ascii="Times New Roman" w:hAnsi="Times New Roman" w:cs="Times New Roman"/>
          <w:color w:val="000000"/>
        </w:rPr>
        <w:t>. </w:t>
      </w:r>
      <w:r w:rsidRPr="00C61E83">
        <w:rPr>
          <w:rFonts w:ascii="Times New Roman" w:hAnsi="Times New Roman" w:cs="Times New Roman"/>
          <w:i/>
          <w:iCs/>
          <w:color w:val="000000"/>
        </w:rPr>
        <w:t>Data - Fiscal Time Series - Historical Fiscal Indicators 1972-2014 - Government Finances — The Treasury - New Zealand</w:t>
      </w:r>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Retrieved 6 January 2016, from http://www.treasury.govt.nz/government/data</w:t>
      </w:r>
    </w:p>
    <w:p w14:paraId="377BB39E" w14:textId="77777777" w:rsidR="00C61E83" w:rsidRPr="00C61E83" w:rsidRDefault="00C61E83" w:rsidP="00C61E83">
      <w:pPr>
        <w:spacing w:after="180" w:line="360" w:lineRule="atLeast"/>
        <w:ind w:left="450" w:hanging="450"/>
        <w:rPr>
          <w:rFonts w:ascii="Times New Roman" w:hAnsi="Times New Roman" w:cs="Times New Roman"/>
          <w:color w:val="000000"/>
        </w:rPr>
      </w:pPr>
      <w:r w:rsidRPr="00C61E83">
        <w:rPr>
          <w:rFonts w:ascii="Times New Roman" w:hAnsi="Times New Roman" w:cs="Times New Roman"/>
          <w:color w:val="000000"/>
        </w:rPr>
        <w:t>Treasury.govt.nz</w:t>
      </w:r>
      <w:proofErr w:type="gramStart"/>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(2015). </w:t>
      </w:r>
      <w:r w:rsidRPr="00C61E83">
        <w:rPr>
          <w:rFonts w:ascii="Times New Roman" w:hAnsi="Times New Roman" w:cs="Times New Roman"/>
          <w:i/>
          <w:iCs/>
          <w:color w:val="000000"/>
        </w:rPr>
        <w:t xml:space="preserve">Economic Leadership: When Business Isn’t Usual - Speech by Gabriel </w:t>
      </w:r>
      <w:proofErr w:type="spellStart"/>
      <w:r w:rsidRPr="00C61E83">
        <w:rPr>
          <w:rFonts w:ascii="Times New Roman" w:hAnsi="Times New Roman" w:cs="Times New Roman"/>
          <w:i/>
          <w:iCs/>
          <w:color w:val="000000"/>
        </w:rPr>
        <w:t>Makhlouf</w:t>
      </w:r>
      <w:proofErr w:type="spellEnd"/>
      <w:r w:rsidRPr="00C61E83">
        <w:rPr>
          <w:rFonts w:ascii="Times New Roman" w:hAnsi="Times New Roman" w:cs="Times New Roman"/>
          <w:i/>
          <w:iCs/>
          <w:color w:val="000000"/>
        </w:rPr>
        <w:t>, Secretary to the Treasury - 20 March 2012 — The Treasury - New Zealand</w:t>
      </w:r>
      <w:r w:rsidRPr="00C61E83">
        <w:rPr>
          <w:rFonts w:ascii="Times New Roman" w:hAnsi="Times New Roman" w:cs="Times New Roman"/>
          <w:color w:val="000000"/>
        </w:rPr>
        <w:t>. Retrieved 5 January 2016, from http://www.treasury.govt.nz/publications/media-speeches/speeches/economicleadership</w:t>
      </w:r>
    </w:p>
    <w:p w14:paraId="1FA6816D" w14:textId="77777777" w:rsidR="00C61E83" w:rsidRPr="00C61E83" w:rsidRDefault="00C61E83" w:rsidP="00C61E83">
      <w:pPr>
        <w:spacing w:after="180" w:line="360" w:lineRule="atLeast"/>
        <w:ind w:left="450" w:hanging="450"/>
        <w:rPr>
          <w:rFonts w:ascii="Times New Roman" w:hAnsi="Times New Roman" w:cs="Times New Roman"/>
          <w:color w:val="000000"/>
        </w:rPr>
      </w:pPr>
      <w:proofErr w:type="gramStart"/>
      <w:r w:rsidRPr="00C61E83">
        <w:rPr>
          <w:rFonts w:ascii="Times New Roman" w:hAnsi="Times New Roman" w:cs="Times New Roman"/>
          <w:color w:val="000000"/>
        </w:rPr>
        <w:t>Zealand, E. (2015).</w:t>
      </w:r>
      <w:proofErr w:type="gramEnd"/>
      <w:r w:rsidRPr="00C61E83">
        <w:rPr>
          <w:rFonts w:ascii="Times New Roman" w:hAnsi="Times New Roman" w:cs="Times New Roman"/>
          <w:color w:val="000000"/>
        </w:rPr>
        <w:t> </w:t>
      </w:r>
      <w:proofErr w:type="gramStart"/>
      <w:r w:rsidRPr="00C61E83">
        <w:rPr>
          <w:rFonts w:ascii="Times New Roman" w:hAnsi="Times New Roman" w:cs="Times New Roman"/>
          <w:i/>
          <w:iCs/>
          <w:color w:val="000000"/>
        </w:rPr>
        <w:t>Education in New Zealand</w:t>
      </w:r>
      <w:r w:rsidRPr="00C61E83">
        <w:rPr>
          <w:rFonts w:ascii="Times New Roman" w:hAnsi="Times New Roman" w:cs="Times New Roman"/>
          <w:color w:val="000000"/>
        </w:rPr>
        <w:t>.</w:t>
      </w:r>
      <w:proofErr w:type="gramEnd"/>
      <w:r w:rsidRPr="00C61E83">
        <w:rPr>
          <w:rFonts w:ascii="Times New Roman" w:hAnsi="Times New Roman" w:cs="Times New Roman"/>
          <w:color w:val="000000"/>
        </w:rPr>
        <w:t> </w:t>
      </w:r>
      <w:proofErr w:type="gramStart"/>
      <w:r w:rsidRPr="00C61E83">
        <w:rPr>
          <w:rFonts w:ascii="Times New Roman" w:hAnsi="Times New Roman" w:cs="Times New Roman"/>
          <w:i/>
          <w:iCs/>
          <w:color w:val="000000"/>
        </w:rPr>
        <w:t>Education in New Zealand</w:t>
      </w:r>
      <w:r w:rsidRPr="00C61E83">
        <w:rPr>
          <w:rFonts w:ascii="Times New Roman" w:hAnsi="Times New Roman" w:cs="Times New Roman"/>
          <w:color w:val="000000"/>
        </w:rPr>
        <w:t>.</w:t>
      </w:r>
      <w:proofErr w:type="gramEnd"/>
      <w:r w:rsidRPr="00C61E83">
        <w:rPr>
          <w:rFonts w:ascii="Times New Roman" w:hAnsi="Times New Roman" w:cs="Times New Roman"/>
          <w:color w:val="000000"/>
        </w:rPr>
        <w:t xml:space="preserve"> Retrieved 5 January 2016, from http://www.education.govt.nz/home/education-in-nz/</w:t>
      </w:r>
    </w:p>
    <w:p w14:paraId="7EC38DD5" w14:textId="77777777" w:rsidR="00C61E83" w:rsidRPr="00C61E83" w:rsidRDefault="00C61E83" w:rsidP="00C61E83">
      <w:pPr>
        <w:spacing w:line="480" w:lineRule="auto"/>
        <w:rPr>
          <w:rFonts w:ascii="Times New Roman" w:hAnsi="Times New Roman" w:cs="Times New Roman"/>
        </w:rPr>
      </w:pPr>
    </w:p>
    <w:sectPr w:rsidR="00C61E83" w:rsidRPr="00C61E83" w:rsidSect="00C57222">
      <w:head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CDCA59" w14:textId="77777777" w:rsidR="00DA2B38" w:rsidRDefault="00DA2B38" w:rsidP="00DA2B38">
      <w:r>
        <w:separator/>
      </w:r>
    </w:p>
  </w:endnote>
  <w:endnote w:type="continuationSeparator" w:id="0">
    <w:p w14:paraId="715B338B" w14:textId="77777777" w:rsidR="00DA2B38" w:rsidRDefault="00DA2B38" w:rsidP="00DA2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76F67" w14:textId="77777777" w:rsidR="00DA2B38" w:rsidRDefault="00DA2B38" w:rsidP="00DA2B38">
      <w:r>
        <w:separator/>
      </w:r>
    </w:p>
  </w:footnote>
  <w:footnote w:type="continuationSeparator" w:id="0">
    <w:p w14:paraId="446B99AA" w14:textId="77777777" w:rsidR="00DA2B38" w:rsidRDefault="00DA2B38" w:rsidP="00DA2B3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240DAA" w14:textId="77777777" w:rsidR="00DA2B38" w:rsidRDefault="00DA2B3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4202A"/>
    <w:multiLevelType w:val="hybridMultilevel"/>
    <w:tmpl w:val="9C504194"/>
    <w:lvl w:ilvl="0" w:tplc="C0C0FF08">
      <w:start w:val="2"/>
      <w:numFmt w:val="bullet"/>
      <w:lvlText w:val="-"/>
      <w:lvlJc w:val="left"/>
      <w:pPr>
        <w:ind w:left="960" w:hanging="360"/>
      </w:pPr>
      <w:rPr>
        <w:rFonts w:ascii="Times New Roman" w:eastAsiaTheme="minorEastAsia" w:hAnsi="Times New Roman" w:cs="Times New Roman" w:hint="default"/>
      </w:rPr>
    </w:lvl>
    <w:lvl w:ilvl="1" w:tplc="04090003" w:tentative="1">
      <w:start w:val="1"/>
      <w:numFmt w:val="bullet"/>
      <w:lvlText w:val="o"/>
      <w:lvlJc w:val="left"/>
      <w:pPr>
        <w:ind w:left="1680" w:hanging="360"/>
      </w:pPr>
      <w:rPr>
        <w:rFonts w:ascii="Courier New" w:hAnsi="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
    <w:nsid w:val="32BB5DB7"/>
    <w:multiLevelType w:val="hybridMultilevel"/>
    <w:tmpl w:val="5C0EF410"/>
    <w:lvl w:ilvl="0" w:tplc="03DE9EF2">
      <w:start w:val="2"/>
      <w:numFmt w:val="bullet"/>
      <w:lvlText w:val="-"/>
      <w:lvlJc w:val="left"/>
      <w:pPr>
        <w:ind w:left="960" w:hanging="360"/>
      </w:pPr>
      <w:rPr>
        <w:rFonts w:ascii="Times New Roman" w:eastAsiaTheme="minorEastAsia" w:hAnsi="Times New Roman" w:cs="Times New Roman" w:hint="default"/>
      </w:rPr>
    </w:lvl>
    <w:lvl w:ilvl="1" w:tplc="04090003" w:tentative="1">
      <w:start w:val="1"/>
      <w:numFmt w:val="bullet"/>
      <w:lvlText w:val="o"/>
      <w:lvlJc w:val="left"/>
      <w:pPr>
        <w:ind w:left="1680" w:hanging="360"/>
      </w:pPr>
      <w:rPr>
        <w:rFonts w:ascii="Courier New" w:hAnsi="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
    <w:nsid w:val="4F036763"/>
    <w:multiLevelType w:val="hybridMultilevel"/>
    <w:tmpl w:val="6C9AAF6A"/>
    <w:lvl w:ilvl="0" w:tplc="D4B233B8">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222"/>
    <w:rsid w:val="00001124"/>
    <w:rsid w:val="00024106"/>
    <w:rsid w:val="000959BC"/>
    <w:rsid w:val="000B5EF4"/>
    <w:rsid w:val="000B74D1"/>
    <w:rsid w:val="000F4422"/>
    <w:rsid w:val="00134D5E"/>
    <w:rsid w:val="00190B69"/>
    <w:rsid w:val="001A0BB4"/>
    <w:rsid w:val="001B6FBF"/>
    <w:rsid w:val="001D6C74"/>
    <w:rsid w:val="00280C3A"/>
    <w:rsid w:val="002B6085"/>
    <w:rsid w:val="002C34EF"/>
    <w:rsid w:val="002C7C96"/>
    <w:rsid w:val="00351EC1"/>
    <w:rsid w:val="0035350B"/>
    <w:rsid w:val="00365448"/>
    <w:rsid w:val="00366D41"/>
    <w:rsid w:val="003D4550"/>
    <w:rsid w:val="003D4AC4"/>
    <w:rsid w:val="004053A3"/>
    <w:rsid w:val="0040571F"/>
    <w:rsid w:val="00410361"/>
    <w:rsid w:val="00415AAD"/>
    <w:rsid w:val="00480AD9"/>
    <w:rsid w:val="004A244D"/>
    <w:rsid w:val="004A43D6"/>
    <w:rsid w:val="00517080"/>
    <w:rsid w:val="00517564"/>
    <w:rsid w:val="005C06C0"/>
    <w:rsid w:val="005E647A"/>
    <w:rsid w:val="006139D1"/>
    <w:rsid w:val="006B1BB9"/>
    <w:rsid w:val="006B4DDC"/>
    <w:rsid w:val="006F523D"/>
    <w:rsid w:val="006F6C79"/>
    <w:rsid w:val="00755CA9"/>
    <w:rsid w:val="007615D9"/>
    <w:rsid w:val="007A0C60"/>
    <w:rsid w:val="007C5E32"/>
    <w:rsid w:val="007E7051"/>
    <w:rsid w:val="007F7F0B"/>
    <w:rsid w:val="00830419"/>
    <w:rsid w:val="008461E0"/>
    <w:rsid w:val="00867F8A"/>
    <w:rsid w:val="00877839"/>
    <w:rsid w:val="008D6FF5"/>
    <w:rsid w:val="00966F3C"/>
    <w:rsid w:val="009A7391"/>
    <w:rsid w:val="009B784F"/>
    <w:rsid w:val="009C79A9"/>
    <w:rsid w:val="009F62A3"/>
    <w:rsid w:val="00A106E1"/>
    <w:rsid w:val="00A20DE9"/>
    <w:rsid w:val="00A411FF"/>
    <w:rsid w:val="00A53201"/>
    <w:rsid w:val="00A64B3A"/>
    <w:rsid w:val="00A955EF"/>
    <w:rsid w:val="00AD578F"/>
    <w:rsid w:val="00B025B2"/>
    <w:rsid w:val="00B223BE"/>
    <w:rsid w:val="00B4575D"/>
    <w:rsid w:val="00B5133A"/>
    <w:rsid w:val="00B96FF0"/>
    <w:rsid w:val="00C304B3"/>
    <w:rsid w:val="00C31F0E"/>
    <w:rsid w:val="00C57222"/>
    <w:rsid w:val="00C610B4"/>
    <w:rsid w:val="00C61E83"/>
    <w:rsid w:val="00C6304C"/>
    <w:rsid w:val="00C97EDD"/>
    <w:rsid w:val="00CE0DB6"/>
    <w:rsid w:val="00D734E7"/>
    <w:rsid w:val="00DA2B38"/>
    <w:rsid w:val="00DB1F27"/>
    <w:rsid w:val="00E417F2"/>
    <w:rsid w:val="00E74AA8"/>
    <w:rsid w:val="00E8517B"/>
    <w:rsid w:val="00EA4334"/>
    <w:rsid w:val="00EB740B"/>
    <w:rsid w:val="00EC4FA4"/>
    <w:rsid w:val="00EC7B5E"/>
    <w:rsid w:val="00ED3C2A"/>
    <w:rsid w:val="00ED3F3A"/>
    <w:rsid w:val="00F24E7E"/>
    <w:rsid w:val="00F32B19"/>
    <w:rsid w:val="00F91CEC"/>
    <w:rsid w:val="00FA5058"/>
    <w:rsid w:val="00FF68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8576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61E83"/>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F0B"/>
    <w:pPr>
      <w:ind w:left="720"/>
      <w:contextualSpacing/>
    </w:pPr>
  </w:style>
  <w:style w:type="paragraph" w:styleId="BalloonText">
    <w:name w:val="Balloon Text"/>
    <w:basedOn w:val="Normal"/>
    <w:link w:val="BalloonTextChar"/>
    <w:uiPriority w:val="99"/>
    <w:semiHidden/>
    <w:unhideWhenUsed/>
    <w:rsid w:val="00366D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6D41"/>
    <w:rPr>
      <w:rFonts w:ascii="Lucida Grande" w:hAnsi="Lucida Grande" w:cs="Lucida Grande"/>
      <w:sz w:val="18"/>
      <w:szCs w:val="18"/>
    </w:rPr>
  </w:style>
  <w:style w:type="character" w:styleId="Hyperlink">
    <w:name w:val="Hyperlink"/>
    <w:basedOn w:val="DefaultParagraphFont"/>
    <w:uiPriority w:val="99"/>
    <w:unhideWhenUsed/>
    <w:rsid w:val="004053A3"/>
    <w:rPr>
      <w:color w:val="0000FF" w:themeColor="hyperlink"/>
      <w:u w:val="single"/>
    </w:rPr>
  </w:style>
  <w:style w:type="character" w:customStyle="1" w:styleId="selectable">
    <w:name w:val="selectable"/>
    <w:basedOn w:val="DefaultParagraphFont"/>
    <w:rsid w:val="00351EC1"/>
  </w:style>
  <w:style w:type="character" w:styleId="FollowedHyperlink">
    <w:name w:val="FollowedHyperlink"/>
    <w:basedOn w:val="DefaultParagraphFont"/>
    <w:uiPriority w:val="99"/>
    <w:semiHidden/>
    <w:unhideWhenUsed/>
    <w:rsid w:val="00A53201"/>
    <w:rPr>
      <w:color w:val="800080" w:themeColor="followedHyperlink"/>
      <w:u w:val="single"/>
    </w:rPr>
  </w:style>
  <w:style w:type="character" w:customStyle="1" w:styleId="Heading2Char">
    <w:name w:val="Heading 2 Char"/>
    <w:basedOn w:val="DefaultParagraphFont"/>
    <w:link w:val="Heading2"/>
    <w:uiPriority w:val="9"/>
    <w:rsid w:val="00C61E83"/>
    <w:rPr>
      <w:rFonts w:ascii="Times" w:hAnsi="Times"/>
      <w:b/>
      <w:bCs/>
      <w:sz w:val="36"/>
      <w:szCs w:val="36"/>
    </w:rPr>
  </w:style>
  <w:style w:type="paragraph" w:styleId="NormalWeb">
    <w:name w:val="Normal (Web)"/>
    <w:basedOn w:val="Normal"/>
    <w:uiPriority w:val="99"/>
    <w:semiHidden/>
    <w:unhideWhenUsed/>
    <w:rsid w:val="00C61E8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C61E83"/>
  </w:style>
  <w:style w:type="paragraph" w:styleId="Header">
    <w:name w:val="header"/>
    <w:basedOn w:val="Normal"/>
    <w:link w:val="HeaderChar"/>
    <w:uiPriority w:val="99"/>
    <w:unhideWhenUsed/>
    <w:rsid w:val="00DA2B38"/>
    <w:pPr>
      <w:tabs>
        <w:tab w:val="center" w:pos="4320"/>
        <w:tab w:val="right" w:pos="8640"/>
      </w:tabs>
    </w:pPr>
  </w:style>
  <w:style w:type="character" w:customStyle="1" w:styleId="HeaderChar">
    <w:name w:val="Header Char"/>
    <w:basedOn w:val="DefaultParagraphFont"/>
    <w:link w:val="Header"/>
    <w:uiPriority w:val="99"/>
    <w:rsid w:val="00DA2B38"/>
  </w:style>
  <w:style w:type="paragraph" w:styleId="Footer">
    <w:name w:val="footer"/>
    <w:basedOn w:val="Normal"/>
    <w:link w:val="FooterChar"/>
    <w:uiPriority w:val="99"/>
    <w:unhideWhenUsed/>
    <w:rsid w:val="00DA2B38"/>
    <w:pPr>
      <w:tabs>
        <w:tab w:val="center" w:pos="4320"/>
        <w:tab w:val="right" w:pos="8640"/>
      </w:tabs>
    </w:pPr>
  </w:style>
  <w:style w:type="character" w:customStyle="1" w:styleId="FooterChar">
    <w:name w:val="Footer Char"/>
    <w:basedOn w:val="DefaultParagraphFont"/>
    <w:link w:val="Footer"/>
    <w:uiPriority w:val="99"/>
    <w:rsid w:val="00DA2B3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61E83"/>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F0B"/>
    <w:pPr>
      <w:ind w:left="720"/>
      <w:contextualSpacing/>
    </w:pPr>
  </w:style>
  <w:style w:type="paragraph" w:styleId="BalloonText">
    <w:name w:val="Balloon Text"/>
    <w:basedOn w:val="Normal"/>
    <w:link w:val="BalloonTextChar"/>
    <w:uiPriority w:val="99"/>
    <w:semiHidden/>
    <w:unhideWhenUsed/>
    <w:rsid w:val="00366D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6D41"/>
    <w:rPr>
      <w:rFonts w:ascii="Lucida Grande" w:hAnsi="Lucida Grande" w:cs="Lucida Grande"/>
      <w:sz w:val="18"/>
      <w:szCs w:val="18"/>
    </w:rPr>
  </w:style>
  <w:style w:type="character" w:styleId="Hyperlink">
    <w:name w:val="Hyperlink"/>
    <w:basedOn w:val="DefaultParagraphFont"/>
    <w:uiPriority w:val="99"/>
    <w:unhideWhenUsed/>
    <w:rsid w:val="004053A3"/>
    <w:rPr>
      <w:color w:val="0000FF" w:themeColor="hyperlink"/>
      <w:u w:val="single"/>
    </w:rPr>
  </w:style>
  <w:style w:type="character" w:customStyle="1" w:styleId="selectable">
    <w:name w:val="selectable"/>
    <w:basedOn w:val="DefaultParagraphFont"/>
    <w:rsid w:val="00351EC1"/>
  </w:style>
  <w:style w:type="character" w:styleId="FollowedHyperlink">
    <w:name w:val="FollowedHyperlink"/>
    <w:basedOn w:val="DefaultParagraphFont"/>
    <w:uiPriority w:val="99"/>
    <w:semiHidden/>
    <w:unhideWhenUsed/>
    <w:rsid w:val="00A53201"/>
    <w:rPr>
      <w:color w:val="800080" w:themeColor="followedHyperlink"/>
      <w:u w:val="single"/>
    </w:rPr>
  </w:style>
  <w:style w:type="character" w:customStyle="1" w:styleId="Heading2Char">
    <w:name w:val="Heading 2 Char"/>
    <w:basedOn w:val="DefaultParagraphFont"/>
    <w:link w:val="Heading2"/>
    <w:uiPriority w:val="9"/>
    <w:rsid w:val="00C61E83"/>
    <w:rPr>
      <w:rFonts w:ascii="Times" w:hAnsi="Times"/>
      <w:b/>
      <w:bCs/>
      <w:sz w:val="36"/>
      <w:szCs w:val="36"/>
    </w:rPr>
  </w:style>
  <w:style w:type="paragraph" w:styleId="NormalWeb">
    <w:name w:val="Normal (Web)"/>
    <w:basedOn w:val="Normal"/>
    <w:uiPriority w:val="99"/>
    <w:semiHidden/>
    <w:unhideWhenUsed/>
    <w:rsid w:val="00C61E8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C61E83"/>
  </w:style>
  <w:style w:type="paragraph" w:styleId="Header">
    <w:name w:val="header"/>
    <w:basedOn w:val="Normal"/>
    <w:link w:val="HeaderChar"/>
    <w:uiPriority w:val="99"/>
    <w:unhideWhenUsed/>
    <w:rsid w:val="00DA2B38"/>
    <w:pPr>
      <w:tabs>
        <w:tab w:val="center" w:pos="4320"/>
        <w:tab w:val="right" w:pos="8640"/>
      </w:tabs>
    </w:pPr>
  </w:style>
  <w:style w:type="character" w:customStyle="1" w:styleId="HeaderChar">
    <w:name w:val="Header Char"/>
    <w:basedOn w:val="DefaultParagraphFont"/>
    <w:link w:val="Header"/>
    <w:uiPriority w:val="99"/>
    <w:rsid w:val="00DA2B38"/>
  </w:style>
  <w:style w:type="paragraph" w:styleId="Footer">
    <w:name w:val="footer"/>
    <w:basedOn w:val="Normal"/>
    <w:link w:val="FooterChar"/>
    <w:uiPriority w:val="99"/>
    <w:unhideWhenUsed/>
    <w:rsid w:val="00DA2B38"/>
    <w:pPr>
      <w:tabs>
        <w:tab w:val="center" w:pos="4320"/>
        <w:tab w:val="right" w:pos="8640"/>
      </w:tabs>
    </w:pPr>
  </w:style>
  <w:style w:type="character" w:customStyle="1" w:styleId="FooterChar">
    <w:name w:val="Footer Char"/>
    <w:basedOn w:val="DefaultParagraphFont"/>
    <w:link w:val="Footer"/>
    <w:uiPriority w:val="99"/>
    <w:rsid w:val="00DA2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30358">
      <w:bodyDiv w:val="1"/>
      <w:marLeft w:val="0"/>
      <w:marRight w:val="0"/>
      <w:marTop w:val="0"/>
      <w:marBottom w:val="0"/>
      <w:divBdr>
        <w:top w:val="none" w:sz="0" w:space="0" w:color="auto"/>
        <w:left w:val="none" w:sz="0" w:space="0" w:color="auto"/>
        <w:bottom w:val="none" w:sz="0" w:space="0" w:color="auto"/>
        <w:right w:val="none" w:sz="0" w:space="0" w:color="auto"/>
      </w:divBdr>
    </w:div>
    <w:div w:id="240796429">
      <w:bodyDiv w:val="1"/>
      <w:marLeft w:val="0"/>
      <w:marRight w:val="0"/>
      <w:marTop w:val="0"/>
      <w:marBottom w:val="0"/>
      <w:divBdr>
        <w:top w:val="none" w:sz="0" w:space="0" w:color="auto"/>
        <w:left w:val="none" w:sz="0" w:space="0" w:color="auto"/>
        <w:bottom w:val="none" w:sz="0" w:space="0" w:color="auto"/>
        <w:right w:val="none" w:sz="0" w:space="0" w:color="auto"/>
      </w:divBdr>
    </w:div>
    <w:div w:id="336080345">
      <w:bodyDiv w:val="1"/>
      <w:marLeft w:val="0"/>
      <w:marRight w:val="0"/>
      <w:marTop w:val="0"/>
      <w:marBottom w:val="0"/>
      <w:divBdr>
        <w:top w:val="none" w:sz="0" w:space="0" w:color="auto"/>
        <w:left w:val="none" w:sz="0" w:space="0" w:color="auto"/>
        <w:bottom w:val="none" w:sz="0" w:space="0" w:color="auto"/>
        <w:right w:val="none" w:sz="0" w:space="0" w:color="auto"/>
      </w:divBdr>
    </w:div>
    <w:div w:id="692995803">
      <w:bodyDiv w:val="1"/>
      <w:marLeft w:val="0"/>
      <w:marRight w:val="0"/>
      <w:marTop w:val="0"/>
      <w:marBottom w:val="0"/>
      <w:divBdr>
        <w:top w:val="none" w:sz="0" w:space="0" w:color="auto"/>
        <w:left w:val="none" w:sz="0" w:space="0" w:color="auto"/>
        <w:bottom w:val="none" w:sz="0" w:space="0" w:color="auto"/>
        <w:right w:val="none" w:sz="0" w:space="0" w:color="auto"/>
      </w:divBdr>
    </w:div>
    <w:div w:id="694189056">
      <w:bodyDiv w:val="1"/>
      <w:marLeft w:val="0"/>
      <w:marRight w:val="0"/>
      <w:marTop w:val="0"/>
      <w:marBottom w:val="0"/>
      <w:divBdr>
        <w:top w:val="none" w:sz="0" w:space="0" w:color="auto"/>
        <w:left w:val="none" w:sz="0" w:space="0" w:color="auto"/>
        <w:bottom w:val="none" w:sz="0" w:space="0" w:color="auto"/>
        <w:right w:val="none" w:sz="0" w:space="0" w:color="auto"/>
      </w:divBdr>
    </w:div>
    <w:div w:id="830407958">
      <w:bodyDiv w:val="1"/>
      <w:marLeft w:val="0"/>
      <w:marRight w:val="0"/>
      <w:marTop w:val="0"/>
      <w:marBottom w:val="0"/>
      <w:divBdr>
        <w:top w:val="none" w:sz="0" w:space="0" w:color="auto"/>
        <w:left w:val="none" w:sz="0" w:space="0" w:color="auto"/>
        <w:bottom w:val="none" w:sz="0" w:space="0" w:color="auto"/>
        <w:right w:val="none" w:sz="0" w:space="0" w:color="auto"/>
      </w:divBdr>
    </w:div>
    <w:div w:id="845051282">
      <w:bodyDiv w:val="1"/>
      <w:marLeft w:val="0"/>
      <w:marRight w:val="0"/>
      <w:marTop w:val="0"/>
      <w:marBottom w:val="0"/>
      <w:divBdr>
        <w:top w:val="none" w:sz="0" w:space="0" w:color="auto"/>
        <w:left w:val="none" w:sz="0" w:space="0" w:color="auto"/>
        <w:bottom w:val="none" w:sz="0" w:space="0" w:color="auto"/>
        <w:right w:val="none" w:sz="0" w:space="0" w:color="auto"/>
      </w:divBdr>
    </w:div>
    <w:div w:id="1446340224">
      <w:bodyDiv w:val="1"/>
      <w:marLeft w:val="0"/>
      <w:marRight w:val="0"/>
      <w:marTop w:val="0"/>
      <w:marBottom w:val="0"/>
      <w:divBdr>
        <w:top w:val="none" w:sz="0" w:space="0" w:color="auto"/>
        <w:left w:val="none" w:sz="0" w:space="0" w:color="auto"/>
        <w:bottom w:val="none" w:sz="0" w:space="0" w:color="auto"/>
        <w:right w:val="none" w:sz="0" w:space="0" w:color="auto"/>
      </w:divBdr>
    </w:div>
    <w:div w:id="1450735403">
      <w:bodyDiv w:val="1"/>
      <w:marLeft w:val="0"/>
      <w:marRight w:val="0"/>
      <w:marTop w:val="0"/>
      <w:marBottom w:val="0"/>
      <w:divBdr>
        <w:top w:val="none" w:sz="0" w:space="0" w:color="auto"/>
        <w:left w:val="none" w:sz="0" w:space="0" w:color="auto"/>
        <w:bottom w:val="none" w:sz="0" w:space="0" w:color="auto"/>
        <w:right w:val="none" w:sz="0" w:space="0" w:color="auto"/>
      </w:divBdr>
    </w:div>
    <w:div w:id="1586920965">
      <w:bodyDiv w:val="1"/>
      <w:marLeft w:val="0"/>
      <w:marRight w:val="0"/>
      <w:marTop w:val="0"/>
      <w:marBottom w:val="0"/>
      <w:divBdr>
        <w:top w:val="none" w:sz="0" w:space="0" w:color="auto"/>
        <w:left w:val="none" w:sz="0" w:space="0" w:color="auto"/>
        <w:bottom w:val="none" w:sz="0" w:space="0" w:color="auto"/>
        <w:right w:val="none" w:sz="0" w:space="0" w:color="auto"/>
      </w:divBdr>
    </w:div>
    <w:div w:id="1675958318">
      <w:bodyDiv w:val="1"/>
      <w:marLeft w:val="0"/>
      <w:marRight w:val="0"/>
      <w:marTop w:val="0"/>
      <w:marBottom w:val="0"/>
      <w:divBdr>
        <w:top w:val="none" w:sz="0" w:space="0" w:color="auto"/>
        <w:left w:val="none" w:sz="0" w:space="0" w:color="auto"/>
        <w:bottom w:val="none" w:sz="0" w:space="0" w:color="auto"/>
        <w:right w:val="none" w:sz="0" w:space="0" w:color="auto"/>
      </w:divBdr>
    </w:div>
    <w:div w:id="2006087695">
      <w:bodyDiv w:val="1"/>
      <w:marLeft w:val="0"/>
      <w:marRight w:val="0"/>
      <w:marTop w:val="0"/>
      <w:marBottom w:val="0"/>
      <w:divBdr>
        <w:top w:val="none" w:sz="0" w:space="0" w:color="auto"/>
        <w:left w:val="none" w:sz="0" w:space="0" w:color="auto"/>
        <w:bottom w:val="none" w:sz="0" w:space="0" w:color="auto"/>
        <w:right w:val="none" w:sz="0" w:space="0" w:color="auto"/>
      </w:divBdr>
    </w:div>
    <w:div w:id="2035180900">
      <w:bodyDiv w:val="1"/>
      <w:marLeft w:val="0"/>
      <w:marRight w:val="0"/>
      <w:marTop w:val="0"/>
      <w:marBottom w:val="0"/>
      <w:divBdr>
        <w:top w:val="none" w:sz="0" w:space="0" w:color="auto"/>
        <w:left w:val="none" w:sz="0" w:space="0" w:color="auto"/>
        <w:bottom w:val="none" w:sz="0" w:space="0" w:color="auto"/>
        <w:right w:val="none" w:sz="0" w:space="0" w:color="auto"/>
      </w:divBdr>
    </w:div>
    <w:div w:id="21263908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treasury.govt.nz/government/data" TargetMode="External"/><Relationship Id="rId11" Type="http://schemas.openxmlformats.org/officeDocument/2006/relationships/chart" Target="charts/chart3.xml"/><Relationship Id="rId12" Type="http://schemas.openxmlformats.org/officeDocument/2006/relationships/hyperlink" Target="http://www.treasury.govt.nz/government/data" TargetMode="External"/><Relationship Id="rId13" Type="http://schemas.openxmlformats.org/officeDocument/2006/relationships/chart" Target="charts/chart4.xml"/><Relationship Id="rId14" Type="http://schemas.openxmlformats.org/officeDocument/2006/relationships/hyperlink" Target="http://www.treasury.govt.nz/government/data" TargetMode="External"/><Relationship Id="rId15" Type="http://schemas.openxmlformats.org/officeDocument/2006/relationships/chart" Target="charts/chart5.xml"/><Relationship Id="rId16" Type="http://schemas.openxmlformats.org/officeDocument/2006/relationships/hyperlink" Target="http://www.treasury.govt.nz/government/data" TargetMode="External"/><Relationship Id="rId17" Type="http://schemas.openxmlformats.org/officeDocument/2006/relationships/chart" Target="charts/chart6.xml"/><Relationship Id="rId18" Type="http://schemas.openxmlformats.org/officeDocument/2006/relationships/hyperlink" Target="http://www.stuff.co.nz/national/education/69946881/ncea-results--by-the-numbers" TargetMode="Externa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Government</a:t>
            </a:r>
            <a:r>
              <a:rPr lang="en-US" baseline="0"/>
              <a:t> expenditure</a:t>
            </a:r>
          </a:p>
        </c:rich>
      </c:tx>
      <c:layout/>
      <c:overlay val="0"/>
    </c:title>
    <c:autoTitleDeleted val="0"/>
    <c:plotArea>
      <c:layout/>
      <c:barChart>
        <c:barDir val="col"/>
        <c:grouping val="clustered"/>
        <c:varyColors val="0"/>
        <c:ser>
          <c:idx val="0"/>
          <c:order val="0"/>
          <c:tx>
            <c:strRef>
              <c:f>Sheet1!$B$1</c:f>
              <c:strCache>
                <c:ptCount val="1"/>
                <c:pt idx="0">
                  <c:v>Social security and welfare, GSF</c:v>
                </c:pt>
              </c:strCache>
            </c:strRef>
          </c:tx>
          <c:invertIfNegative val="0"/>
          <c:cat>
            <c:numRef>
              <c:f>Sheet1!$A$2</c:f>
              <c:numCache>
                <c:formatCode>General</c:formatCode>
                <c:ptCount val="1"/>
                <c:pt idx="0">
                  <c:v>2015.0</c:v>
                </c:pt>
              </c:numCache>
            </c:numRef>
          </c:cat>
          <c:val>
            <c:numRef>
              <c:f>Sheet1!$B$2</c:f>
              <c:numCache>
                <c:formatCode>_-* #,##0_-;\-* #,##0_-;_-* "-"??_-;_-@_-</c:formatCode>
                <c:ptCount val="1"/>
                <c:pt idx="0">
                  <c:v>23881.0</c:v>
                </c:pt>
              </c:numCache>
            </c:numRef>
          </c:val>
        </c:ser>
        <c:ser>
          <c:idx val="1"/>
          <c:order val="1"/>
          <c:tx>
            <c:strRef>
              <c:f>Sheet1!$C$1</c:f>
              <c:strCache>
                <c:ptCount val="1"/>
                <c:pt idx="0">
                  <c:v>Health</c:v>
                </c:pt>
              </c:strCache>
            </c:strRef>
          </c:tx>
          <c:invertIfNegative val="0"/>
          <c:cat>
            <c:numRef>
              <c:f>Sheet1!$A$2</c:f>
              <c:numCache>
                <c:formatCode>General</c:formatCode>
                <c:ptCount val="1"/>
                <c:pt idx="0">
                  <c:v>2015.0</c:v>
                </c:pt>
              </c:numCache>
            </c:numRef>
          </c:cat>
          <c:val>
            <c:numRef>
              <c:f>Sheet1!$C$2</c:f>
              <c:numCache>
                <c:formatCode>_-* #,##0_-;\-* #,##0_-;_-* "-"??_-;_-@_-</c:formatCode>
                <c:ptCount val="1"/>
                <c:pt idx="0">
                  <c:v>15058.0</c:v>
                </c:pt>
              </c:numCache>
            </c:numRef>
          </c:val>
        </c:ser>
        <c:ser>
          <c:idx val="2"/>
          <c:order val="2"/>
          <c:tx>
            <c:strRef>
              <c:f>Sheet1!$D$1</c:f>
              <c:strCache>
                <c:ptCount val="1"/>
                <c:pt idx="0">
                  <c:v>Education</c:v>
                </c:pt>
              </c:strCache>
            </c:strRef>
          </c:tx>
          <c:invertIfNegative val="0"/>
          <c:cat>
            <c:numRef>
              <c:f>Sheet1!$A$2</c:f>
              <c:numCache>
                <c:formatCode>General</c:formatCode>
                <c:ptCount val="1"/>
                <c:pt idx="0">
                  <c:v>2015.0</c:v>
                </c:pt>
              </c:numCache>
            </c:numRef>
          </c:cat>
          <c:val>
            <c:numRef>
              <c:f>Sheet1!$D$2</c:f>
              <c:numCache>
                <c:formatCode>_-* #,##0_-;\-* #,##0_-;_-* "-"??_-;_-@_-</c:formatCode>
                <c:ptCount val="1"/>
                <c:pt idx="0">
                  <c:v>12879.0</c:v>
                </c:pt>
              </c:numCache>
            </c:numRef>
          </c:val>
        </c:ser>
        <c:ser>
          <c:idx val="3"/>
          <c:order val="3"/>
          <c:tx>
            <c:strRef>
              <c:f>Sheet1!$E$1</c:f>
              <c:strCache>
                <c:ptCount val="1"/>
                <c:pt idx="0">
                  <c:v>Core Government Services</c:v>
                </c:pt>
              </c:strCache>
            </c:strRef>
          </c:tx>
          <c:invertIfNegative val="0"/>
          <c:cat>
            <c:numRef>
              <c:f>Sheet1!$A$2</c:f>
              <c:numCache>
                <c:formatCode>General</c:formatCode>
                <c:ptCount val="1"/>
                <c:pt idx="0">
                  <c:v>2015.0</c:v>
                </c:pt>
              </c:numCache>
            </c:numRef>
          </c:cat>
          <c:val>
            <c:numRef>
              <c:f>Sheet1!$E$2</c:f>
              <c:numCache>
                <c:formatCode>_-* #,##0_-;\-* #,##0_-;_-* "-"??_-;_-@_-</c:formatCode>
                <c:ptCount val="1"/>
                <c:pt idx="0">
                  <c:v>4134.0</c:v>
                </c:pt>
              </c:numCache>
            </c:numRef>
          </c:val>
        </c:ser>
        <c:ser>
          <c:idx val="4"/>
          <c:order val="4"/>
          <c:tx>
            <c:strRef>
              <c:f>Sheet1!$F$1</c:f>
              <c:strCache>
                <c:ptCount val="1"/>
                <c:pt idx="0">
                  <c:v>Law and order</c:v>
                </c:pt>
              </c:strCache>
            </c:strRef>
          </c:tx>
          <c:invertIfNegative val="0"/>
          <c:cat>
            <c:numRef>
              <c:f>Sheet1!$A$2</c:f>
              <c:numCache>
                <c:formatCode>General</c:formatCode>
                <c:ptCount val="1"/>
                <c:pt idx="0">
                  <c:v>2015.0</c:v>
                </c:pt>
              </c:numCache>
            </c:numRef>
          </c:cat>
          <c:val>
            <c:numRef>
              <c:f>Sheet1!$F$2</c:f>
              <c:numCache>
                <c:formatCode>_-* #,##0_-;\-* #,##0_-;_-* "-"??_-;_-@_-</c:formatCode>
                <c:ptCount val="1"/>
                <c:pt idx="0">
                  <c:v>3515.0</c:v>
                </c:pt>
              </c:numCache>
            </c:numRef>
          </c:val>
        </c:ser>
        <c:ser>
          <c:idx val="5"/>
          <c:order val="5"/>
          <c:tx>
            <c:strRef>
              <c:f>Sheet1!$G$1</c:f>
              <c:strCache>
                <c:ptCount val="1"/>
                <c:pt idx="0">
                  <c:v>Defence</c:v>
                </c:pt>
              </c:strCache>
            </c:strRef>
          </c:tx>
          <c:invertIfNegative val="0"/>
          <c:cat>
            <c:numRef>
              <c:f>Sheet1!$A$2</c:f>
              <c:numCache>
                <c:formatCode>General</c:formatCode>
                <c:ptCount val="1"/>
                <c:pt idx="0">
                  <c:v>2015.0</c:v>
                </c:pt>
              </c:numCache>
            </c:numRef>
          </c:cat>
          <c:val>
            <c:numRef>
              <c:f>Sheet1!$G$2</c:f>
              <c:numCache>
                <c:formatCode>_-* #,##0_-;\-* #,##0_-;_-* "-"??_-;_-@_-</c:formatCode>
                <c:ptCount val="1"/>
                <c:pt idx="0">
                  <c:v>1961.0</c:v>
                </c:pt>
              </c:numCache>
            </c:numRef>
          </c:val>
        </c:ser>
        <c:ser>
          <c:idx val="6"/>
          <c:order val="6"/>
          <c:tx>
            <c:strRef>
              <c:f>Sheet1!$H$1</c:f>
              <c:strCache>
                <c:ptCount val="1"/>
                <c:pt idx="0">
                  <c:v>Transport and communications</c:v>
                </c:pt>
              </c:strCache>
            </c:strRef>
          </c:tx>
          <c:invertIfNegative val="0"/>
          <c:cat>
            <c:numRef>
              <c:f>Sheet1!$A$2</c:f>
              <c:numCache>
                <c:formatCode>General</c:formatCode>
                <c:ptCount val="1"/>
                <c:pt idx="0">
                  <c:v>2015.0</c:v>
                </c:pt>
              </c:numCache>
            </c:numRef>
          </c:cat>
          <c:val>
            <c:numRef>
              <c:f>Sheet1!$H$2</c:f>
              <c:numCache>
                <c:formatCode>_-* #,##0_-;\-* #,##0_-;_-* "-"??_-;_-@_-</c:formatCode>
                <c:ptCount val="1"/>
                <c:pt idx="0">
                  <c:v>2291.0</c:v>
                </c:pt>
              </c:numCache>
            </c:numRef>
          </c:val>
        </c:ser>
        <c:ser>
          <c:idx val="7"/>
          <c:order val="7"/>
          <c:tx>
            <c:strRef>
              <c:f>Sheet1!$I$1</c:f>
              <c:strCache>
                <c:ptCount val="1"/>
                <c:pt idx="0">
                  <c:v>Economic and Industrial Services</c:v>
                </c:pt>
              </c:strCache>
            </c:strRef>
          </c:tx>
          <c:invertIfNegative val="0"/>
          <c:cat>
            <c:numRef>
              <c:f>Sheet1!$A$2</c:f>
              <c:numCache>
                <c:formatCode>General</c:formatCode>
                <c:ptCount val="1"/>
                <c:pt idx="0">
                  <c:v>2015.0</c:v>
                </c:pt>
              </c:numCache>
            </c:numRef>
          </c:cat>
          <c:val>
            <c:numRef>
              <c:f>Sheet1!$I$2</c:f>
              <c:numCache>
                <c:formatCode>_-* #,##0_-;\-* #,##0_-;_-* "-"??_-;_-@_-</c:formatCode>
                <c:ptCount val="1"/>
                <c:pt idx="0">
                  <c:v>2228.0</c:v>
                </c:pt>
              </c:numCache>
            </c:numRef>
          </c:val>
        </c:ser>
        <c:ser>
          <c:idx val="8"/>
          <c:order val="8"/>
          <c:tx>
            <c:strRef>
              <c:f>Sheet1!$J$1</c:f>
              <c:strCache>
                <c:ptCount val="1"/>
                <c:pt idx="0">
                  <c:v>Heritage, culture and recreation; Primary Services, Housing and community development, Other</c:v>
                </c:pt>
              </c:strCache>
            </c:strRef>
          </c:tx>
          <c:invertIfNegative val="0"/>
          <c:cat>
            <c:numRef>
              <c:f>Sheet1!$A$2</c:f>
              <c:numCache>
                <c:formatCode>General</c:formatCode>
                <c:ptCount val="1"/>
                <c:pt idx="0">
                  <c:v>2015.0</c:v>
                </c:pt>
              </c:numCache>
            </c:numRef>
          </c:cat>
          <c:val>
            <c:numRef>
              <c:f>Sheet1!$J$2</c:f>
              <c:numCache>
                <c:formatCode>_-* #,##0_-;\-* #,##0_-;_-* "-"??_-;_-@_-</c:formatCode>
                <c:ptCount val="1"/>
                <c:pt idx="0">
                  <c:v>2633.0</c:v>
                </c:pt>
              </c:numCache>
            </c:numRef>
          </c:val>
        </c:ser>
        <c:dLbls>
          <c:showLegendKey val="0"/>
          <c:showVal val="0"/>
          <c:showCatName val="0"/>
          <c:showSerName val="0"/>
          <c:showPercent val="0"/>
          <c:showBubbleSize val="0"/>
        </c:dLbls>
        <c:gapWidth val="150"/>
        <c:axId val="-2140550200"/>
        <c:axId val="-2089309096"/>
      </c:barChart>
      <c:catAx>
        <c:axId val="-2140550200"/>
        <c:scaling>
          <c:orientation val="minMax"/>
        </c:scaling>
        <c:delete val="0"/>
        <c:axPos val="b"/>
        <c:numFmt formatCode="General" sourceLinked="1"/>
        <c:majorTickMark val="none"/>
        <c:minorTickMark val="none"/>
        <c:tickLblPos val="nextTo"/>
        <c:crossAx val="-2089309096"/>
        <c:crosses val="autoZero"/>
        <c:auto val="1"/>
        <c:lblAlgn val="ctr"/>
        <c:lblOffset val="100"/>
        <c:noMultiLvlLbl val="0"/>
      </c:catAx>
      <c:valAx>
        <c:axId val="-2089309096"/>
        <c:scaling>
          <c:orientation val="minMax"/>
        </c:scaling>
        <c:delete val="0"/>
        <c:axPos val="l"/>
        <c:majorGridlines/>
        <c:title>
          <c:tx>
            <c:rich>
              <a:bodyPr/>
              <a:lstStyle/>
              <a:p>
                <a:pPr>
                  <a:defRPr/>
                </a:pPr>
                <a:r>
                  <a:rPr lang="en-US"/>
                  <a:t>Spending</a:t>
                </a:r>
                <a:r>
                  <a:rPr lang="en-US" baseline="0"/>
                  <a:t> in million NZD</a:t>
                </a:r>
                <a:endParaRPr lang="en-US"/>
              </a:p>
            </c:rich>
          </c:tx>
          <c:layout/>
          <c:overlay val="0"/>
        </c:title>
        <c:numFmt formatCode="_-* #,##0_-;\-* #,##0_-;_-* &quot;-&quot;??_-;_-@_-" sourceLinked="1"/>
        <c:majorTickMark val="out"/>
        <c:minorTickMark val="none"/>
        <c:tickLblPos val="nextTo"/>
        <c:crossAx val="-2140550200"/>
        <c:crosses val="autoZero"/>
        <c:crossBetween val="between"/>
      </c:valAx>
    </c:plotArea>
    <c:legend>
      <c:legendPos val="r"/>
      <c:layout>
        <c:manualLayout>
          <c:xMode val="edge"/>
          <c:yMode val="edge"/>
          <c:x val="0.621416776027996"/>
          <c:y val="0.106119330020456"/>
          <c:w val="0.378583223972003"/>
          <c:h val="0.873665715566042"/>
        </c:manualLayout>
      </c:layout>
      <c:overlay val="0"/>
      <c:txPr>
        <a:bodyPr/>
        <a:lstStyle/>
        <a:p>
          <a:pPr algn="l">
            <a:defRPr sz="900">
              <a:latin typeface="Times New Roman"/>
              <a:cs typeface="Times New Roman"/>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layout/>
      <c:overlay val="0"/>
    </c:title>
    <c:autoTitleDeleted val="0"/>
    <c:plotArea>
      <c:layout>
        <c:manualLayout>
          <c:layoutTarget val="inner"/>
          <c:xMode val="edge"/>
          <c:yMode val="edge"/>
          <c:x val="0.0823858996792068"/>
          <c:y val="0.175039057617798"/>
          <c:w val="0.418627515310586"/>
          <c:h val="0.717647169103862"/>
        </c:manualLayout>
      </c:layout>
      <c:pieChart>
        <c:varyColors val="1"/>
        <c:ser>
          <c:idx val="0"/>
          <c:order val="0"/>
          <c:tx>
            <c:strRef>
              <c:f>Sheet1!$B$1</c:f>
              <c:strCache>
                <c:ptCount val="1"/>
                <c:pt idx="0">
                  <c:v>Government Expenditure for year 2015</c:v>
                </c:pt>
              </c:strCache>
            </c:strRef>
          </c:tx>
          <c:dLbls>
            <c:showLegendKey val="0"/>
            <c:showVal val="0"/>
            <c:showCatName val="0"/>
            <c:showSerName val="0"/>
            <c:showPercent val="1"/>
            <c:showBubbleSize val="0"/>
            <c:showLeaderLines val="1"/>
          </c:dLbls>
          <c:cat>
            <c:strRef>
              <c:f>Sheet1!$A$2:$A$12</c:f>
              <c:strCache>
                <c:ptCount val="11"/>
                <c:pt idx="0">
                  <c:v>Social security and welfare, GSF</c:v>
                </c:pt>
                <c:pt idx="1">
                  <c:v>Health</c:v>
                </c:pt>
                <c:pt idx="2">
                  <c:v>Education</c:v>
                </c:pt>
                <c:pt idx="3">
                  <c:v>Core Government Services</c:v>
                </c:pt>
                <c:pt idx="4">
                  <c:v>Law and order</c:v>
                </c:pt>
                <c:pt idx="5">
                  <c:v>Defence</c:v>
                </c:pt>
                <c:pt idx="6">
                  <c:v>Transport and communications</c:v>
                </c:pt>
                <c:pt idx="7">
                  <c:v>Economic and Industrial Services</c:v>
                </c:pt>
                <c:pt idx="8">
                  <c:v>Heritage, culture and recreation; Primary Services, Housing and community development, Other</c:v>
                </c:pt>
                <c:pt idx="9">
                  <c:v>Finance costs</c:v>
                </c:pt>
                <c:pt idx="10">
                  <c:v>Crown entities and SOEs</c:v>
                </c:pt>
              </c:strCache>
            </c:strRef>
          </c:cat>
          <c:val>
            <c:numRef>
              <c:f>Sheet1!$B$2:$B$12</c:f>
              <c:numCache>
                <c:formatCode>General</c:formatCode>
                <c:ptCount val="11"/>
                <c:pt idx="0">
                  <c:v>25.33</c:v>
                </c:pt>
                <c:pt idx="1">
                  <c:v>15.97</c:v>
                </c:pt>
                <c:pt idx="2">
                  <c:v>13.66</c:v>
                </c:pt>
                <c:pt idx="3">
                  <c:v>4.39</c:v>
                </c:pt>
                <c:pt idx="4">
                  <c:v>3.73</c:v>
                </c:pt>
                <c:pt idx="5">
                  <c:v>2.08</c:v>
                </c:pt>
                <c:pt idx="6">
                  <c:v>2.43</c:v>
                </c:pt>
                <c:pt idx="7">
                  <c:v>2.36</c:v>
                </c:pt>
                <c:pt idx="8">
                  <c:v>2.79</c:v>
                </c:pt>
                <c:pt idx="9">
                  <c:v>4.01</c:v>
                </c:pt>
                <c:pt idx="10">
                  <c:v>23.24</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519564924176145"/>
          <c:y val="0.140923947006624"/>
          <c:w val="0.475805446194226"/>
          <c:h val="0.831298275215598"/>
        </c:manualLayout>
      </c:layout>
      <c:overlay val="0"/>
      <c:txPr>
        <a:bodyPr/>
        <a:lstStyle/>
        <a:p>
          <a:pPr>
            <a:defRPr sz="900">
              <a:latin typeface="Times New Roman"/>
              <a:cs typeface="Times New Roman"/>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percentStacked"/>
        <c:varyColors val="0"/>
        <c:ser>
          <c:idx val="0"/>
          <c:order val="0"/>
          <c:tx>
            <c:strRef>
              <c:f>Sheet1!$B$1</c:f>
              <c:strCache>
                <c:ptCount val="1"/>
                <c:pt idx="0">
                  <c:v>Social security and welfare, GSF</c:v>
                </c:pt>
              </c:strCache>
            </c:strRef>
          </c:tx>
          <c:invertIfNegative val="0"/>
          <c:cat>
            <c:numRef>
              <c:f>Sheet1!$A$2:$A$6</c:f>
              <c:numCache>
                <c:formatCode>General</c:formatCode>
                <c:ptCount val="5"/>
                <c:pt idx="0">
                  <c:v>2011.0</c:v>
                </c:pt>
                <c:pt idx="1">
                  <c:v>2012.0</c:v>
                </c:pt>
                <c:pt idx="2">
                  <c:v>2013.0</c:v>
                </c:pt>
                <c:pt idx="3">
                  <c:v>2014.0</c:v>
                </c:pt>
                <c:pt idx="4">
                  <c:v>2015.0</c:v>
                </c:pt>
              </c:numCache>
            </c:numRef>
          </c:cat>
          <c:val>
            <c:numRef>
              <c:f>Sheet1!$B$2:$B$6</c:f>
              <c:numCache>
                <c:formatCode>_-* #,##0.00_-;\-* #,##0.00_-;_-* "-"??_-;_-@_-</c:formatCode>
                <c:ptCount val="5"/>
                <c:pt idx="0">
                  <c:v>22029.0</c:v>
                </c:pt>
                <c:pt idx="1">
                  <c:v>22148.0</c:v>
                </c:pt>
                <c:pt idx="2">
                  <c:v>22737.0</c:v>
                </c:pt>
                <c:pt idx="3">
                  <c:v>23308.0</c:v>
                </c:pt>
                <c:pt idx="4">
                  <c:v>23881.0</c:v>
                </c:pt>
              </c:numCache>
            </c:numRef>
          </c:val>
        </c:ser>
        <c:ser>
          <c:idx val="1"/>
          <c:order val="1"/>
          <c:tx>
            <c:strRef>
              <c:f>Sheet1!$C$1</c:f>
              <c:strCache>
                <c:ptCount val="1"/>
                <c:pt idx="0">
                  <c:v>Health</c:v>
                </c:pt>
              </c:strCache>
            </c:strRef>
          </c:tx>
          <c:invertIfNegative val="0"/>
          <c:cat>
            <c:numRef>
              <c:f>Sheet1!$A$2:$A$6</c:f>
              <c:numCache>
                <c:formatCode>General</c:formatCode>
                <c:ptCount val="5"/>
                <c:pt idx="0">
                  <c:v>2011.0</c:v>
                </c:pt>
                <c:pt idx="1">
                  <c:v>2012.0</c:v>
                </c:pt>
                <c:pt idx="2">
                  <c:v>2013.0</c:v>
                </c:pt>
                <c:pt idx="3">
                  <c:v>2014.0</c:v>
                </c:pt>
                <c:pt idx="4">
                  <c:v>2015.0</c:v>
                </c:pt>
              </c:numCache>
            </c:numRef>
          </c:cat>
          <c:val>
            <c:numRef>
              <c:f>Sheet1!$C$2:$C$6</c:f>
              <c:numCache>
                <c:formatCode>_-* #,##0.00_-;\-* #,##0.00_-;_-* "-"??_-;_-@_-</c:formatCode>
                <c:ptCount val="5"/>
                <c:pt idx="0">
                  <c:v>13753.0</c:v>
                </c:pt>
                <c:pt idx="1">
                  <c:v>14160.0</c:v>
                </c:pt>
                <c:pt idx="2">
                  <c:v>14498.0</c:v>
                </c:pt>
                <c:pt idx="3">
                  <c:v>14898.0</c:v>
                </c:pt>
                <c:pt idx="4">
                  <c:v>15058.0</c:v>
                </c:pt>
              </c:numCache>
            </c:numRef>
          </c:val>
        </c:ser>
        <c:ser>
          <c:idx val="2"/>
          <c:order val="2"/>
          <c:tx>
            <c:strRef>
              <c:f>Sheet1!$D$1</c:f>
              <c:strCache>
                <c:ptCount val="1"/>
                <c:pt idx="0">
                  <c:v>Education</c:v>
                </c:pt>
              </c:strCache>
            </c:strRef>
          </c:tx>
          <c:invertIfNegative val="0"/>
          <c:cat>
            <c:numRef>
              <c:f>Sheet1!$A$2:$A$6</c:f>
              <c:numCache>
                <c:formatCode>General</c:formatCode>
                <c:ptCount val="5"/>
                <c:pt idx="0">
                  <c:v>2011.0</c:v>
                </c:pt>
                <c:pt idx="1">
                  <c:v>2012.0</c:v>
                </c:pt>
                <c:pt idx="2">
                  <c:v>2013.0</c:v>
                </c:pt>
                <c:pt idx="3">
                  <c:v>2014.0</c:v>
                </c:pt>
                <c:pt idx="4">
                  <c:v>2015.0</c:v>
                </c:pt>
              </c:numCache>
            </c:numRef>
          </c:cat>
          <c:val>
            <c:numRef>
              <c:f>Sheet1!$D$2:$D$6</c:f>
              <c:numCache>
                <c:formatCode>_-* #,##0.00_-;\-* #,##0.00_-;_-* "-"??_-;_-@_-</c:formatCode>
                <c:ptCount val="5"/>
                <c:pt idx="0">
                  <c:v>11650.0</c:v>
                </c:pt>
                <c:pt idx="1">
                  <c:v>11654.0</c:v>
                </c:pt>
                <c:pt idx="2">
                  <c:v>12504.0</c:v>
                </c:pt>
                <c:pt idx="3">
                  <c:v>12300.0</c:v>
                </c:pt>
                <c:pt idx="4">
                  <c:v>12879.0</c:v>
                </c:pt>
              </c:numCache>
            </c:numRef>
          </c:val>
        </c:ser>
        <c:ser>
          <c:idx val="3"/>
          <c:order val="3"/>
          <c:tx>
            <c:strRef>
              <c:f>Sheet1!$E$1</c:f>
              <c:strCache>
                <c:ptCount val="1"/>
                <c:pt idx="0">
                  <c:v>Core Government Services</c:v>
                </c:pt>
              </c:strCache>
            </c:strRef>
          </c:tx>
          <c:invertIfNegative val="0"/>
          <c:cat>
            <c:numRef>
              <c:f>Sheet1!$A$2:$A$6</c:f>
              <c:numCache>
                <c:formatCode>General</c:formatCode>
                <c:ptCount val="5"/>
                <c:pt idx="0">
                  <c:v>2011.0</c:v>
                </c:pt>
                <c:pt idx="1">
                  <c:v>2012.0</c:v>
                </c:pt>
                <c:pt idx="2">
                  <c:v>2013.0</c:v>
                </c:pt>
                <c:pt idx="3">
                  <c:v>2014.0</c:v>
                </c:pt>
                <c:pt idx="4">
                  <c:v>2015.0</c:v>
                </c:pt>
              </c:numCache>
            </c:numRef>
          </c:cat>
          <c:val>
            <c:numRef>
              <c:f>Sheet1!$E$2:$E$6</c:f>
              <c:numCache>
                <c:formatCode>_-* #,##0.00_-;\-* #,##0.00_-;_-* "-"??_-;_-@_-</c:formatCode>
                <c:ptCount val="5"/>
                <c:pt idx="0">
                  <c:v>5563.0</c:v>
                </c:pt>
                <c:pt idx="1">
                  <c:v>5428.0</c:v>
                </c:pt>
                <c:pt idx="2">
                  <c:v>4294.0</c:v>
                </c:pt>
                <c:pt idx="3">
                  <c:v>4502.0</c:v>
                </c:pt>
                <c:pt idx="4">
                  <c:v>4134.0</c:v>
                </c:pt>
              </c:numCache>
            </c:numRef>
          </c:val>
        </c:ser>
        <c:ser>
          <c:idx val="4"/>
          <c:order val="4"/>
          <c:tx>
            <c:strRef>
              <c:f>Sheet1!$F$1</c:f>
              <c:strCache>
                <c:ptCount val="1"/>
                <c:pt idx="0">
                  <c:v>Law and order</c:v>
                </c:pt>
              </c:strCache>
            </c:strRef>
          </c:tx>
          <c:invertIfNegative val="0"/>
          <c:cat>
            <c:numRef>
              <c:f>Sheet1!$A$2:$A$6</c:f>
              <c:numCache>
                <c:formatCode>General</c:formatCode>
                <c:ptCount val="5"/>
                <c:pt idx="0">
                  <c:v>2011.0</c:v>
                </c:pt>
                <c:pt idx="1">
                  <c:v>2012.0</c:v>
                </c:pt>
                <c:pt idx="2">
                  <c:v>2013.0</c:v>
                </c:pt>
                <c:pt idx="3">
                  <c:v>2014.0</c:v>
                </c:pt>
                <c:pt idx="4">
                  <c:v>2015.0</c:v>
                </c:pt>
              </c:numCache>
            </c:numRef>
          </c:cat>
          <c:val>
            <c:numRef>
              <c:f>Sheet1!$F$2:$F$6</c:f>
              <c:numCache>
                <c:formatCode>_-* #,##0.00_-;\-* #,##0.00_-;_-* "-"??_-;_-@_-</c:formatCode>
                <c:ptCount val="5"/>
                <c:pt idx="0">
                  <c:v>3312.0</c:v>
                </c:pt>
                <c:pt idx="1">
                  <c:v>3338.0</c:v>
                </c:pt>
                <c:pt idx="2">
                  <c:v>3394.0</c:v>
                </c:pt>
                <c:pt idx="3">
                  <c:v>3463.0</c:v>
                </c:pt>
                <c:pt idx="4">
                  <c:v>3515.0</c:v>
                </c:pt>
              </c:numCache>
            </c:numRef>
          </c:val>
        </c:ser>
        <c:ser>
          <c:idx val="5"/>
          <c:order val="5"/>
          <c:tx>
            <c:strRef>
              <c:f>Sheet1!$G$1</c:f>
              <c:strCache>
                <c:ptCount val="1"/>
                <c:pt idx="0">
                  <c:v>Defence</c:v>
                </c:pt>
              </c:strCache>
            </c:strRef>
          </c:tx>
          <c:invertIfNegative val="0"/>
          <c:cat>
            <c:numRef>
              <c:f>Sheet1!$A$2:$A$6</c:f>
              <c:numCache>
                <c:formatCode>General</c:formatCode>
                <c:ptCount val="5"/>
                <c:pt idx="0">
                  <c:v>2011.0</c:v>
                </c:pt>
                <c:pt idx="1">
                  <c:v>2012.0</c:v>
                </c:pt>
                <c:pt idx="2">
                  <c:v>2013.0</c:v>
                </c:pt>
                <c:pt idx="3">
                  <c:v>2014.0</c:v>
                </c:pt>
                <c:pt idx="4">
                  <c:v>2015.0</c:v>
                </c:pt>
              </c:numCache>
            </c:numRef>
          </c:cat>
          <c:val>
            <c:numRef>
              <c:f>Sheet1!$G$2:$G$6</c:f>
              <c:numCache>
                <c:formatCode>_-* #,##0.00_-;\-* #,##0.00_-;_-* "-"??_-;_-@_-</c:formatCode>
                <c:ptCount val="5"/>
                <c:pt idx="0">
                  <c:v>1809.0</c:v>
                </c:pt>
                <c:pt idx="1">
                  <c:v>1736.0</c:v>
                </c:pt>
                <c:pt idx="2">
                  <c:v>1804.0</c:v>
                </c:pt>
                <c:pt idx="3">
                  <c:v>1811.0</c:v>
                </c:pt>
                <c:pt idx="4">
                  <c:v>1961.0</c:v>
                </c:pt>
              </c:numCache>
            </c:numRef>
          </c:val>
        </c:ser>
        <c:ser>
          <c:idx val="6"/>
          <c:order val="6"/>
          <c:tx>
            <c:strRef>
              <c:f>Sheet1!$H$1</c:f>
              <c:strCache>
                <c:ptCount val="1"/>
                <c:pt idx="0">
                  <c:v>Transport and communications</c:v>
                </c:pt>
              </c:strCache>
            </c:strRef>
          </c:tx>
          <c:invertIfNegative val="0"/>
          <c:cat>
            <c:numRef>
              <c:f>Sheet1!$A$2:$A$6</c:f>
              <c:numCache>
                <c:formatCode>General</c:formatCode>
                <c:ptCount val="5"/>
                <c:pt idx="0">
                  <c:v>2011.0</c:v>
                </c:pt>
                <c:pt idx="1">
                  <c:v>2012.0</c:v>
                </c:pt>
                <c:pt idx="2">
                  <c:v>2013.0</c:v>
                </c:pt>
                <c:pt idx="3">
                  <c:v>2014.0</c:v>
                </c:pt>
                <c:pt idx="4">
                  <c:v>2015.0</c:v>
                </c:pt>
              </c:numCache>
            </c:numRef>
          </c:cat>
          <c:val>
            <c:numRef>
              <c:f>Sheet1!$H$2:$H$6</c:f>
              <c:numCache>
                <c:formatCode>_-* #,##0.00_-;\-* #,##0.00_-;_-* "-"??_-;_-@_-</c:formatCode>
                <c:ptCount val="5"/>
                <c:pt idx="0">
                  <c:v>2281.0</c:v>
                </c:pt>
                <c:pt idx="1">
                  <c:v>2232.0</c:v>
                </c:pt>
                <c:pt idx="2">
                  <c:v>2255.0</c:v>
                </c:pt>
                <c:pt idx="3">
                  <c:v>2237.0</c:v>
                </c:pt>
                <c:pt idx="4">
                  <c:v>2291.0</c:v>
                </c:pt>
              </c:numCache>
            </c:numRef>
          </c:val>
        </c:ser>
        <c:ser>
          <c:idx val="7"/>
          <c:order val="7"/>
          <c:tx>
            <c:strRef>
              <c:f>Sheet1!$I$1</c:f>
              <c:strCache>
                <c:ptCount val="1"/>
                <c:pt idx="0">
                  <c:v>Economic and Industrial Services</c:v>
                </c:pt>
              </c:strCache>
            </c:strRef>
          </c:tx>
          <c:invertIfNegative val="0"/>
          <c:cat>
            <c:numRef>
              <c:f>Sheet1!$A$2:$A$6</c:f>
              <c:numCache>
                <c:formatCode>General</c:formatCode>
                <c:ptCount val="5"/>
                <c:pt idx="0">
                  <c:v>2011.0</c:v>
                </c:pt>
                <c:pt idx="1">
                  <c:v>2012.0</c:v>
                </c:pt>
                <c:pt idx="2">
                  <c:v>2013.0</c:v>
                </c:pt>
                <c:pt idx="3">
                  <c:v>2014.0</c:v>
                </c:pt>
                <c:pt idx="4">
                  <c:v>2015.0</c:v>
                </c:pt>
              </c:numCache>
            </c:numRef>
          </c:cat>
          <c:val>
            <c:numRef>
              <c:f>Sheet1!$I$2:$I$6</c:f>
              <c:numCache>
                <c:formatCode>_-* #,##0.00_-;\-* #,##0.00_-;_-* "-"??_-;_-@_-</c:formatCode>
                <c:ptCount val="5"/>
                <c:pt idx="0">
                  <c:v>2542.0</c:v>
                </c:pt>
                <c:pt idx="1">
                  <c:v>2073.0</c:v>
                </c:pt>
                <c:pt idx="2">
                  <c:v>1978.0</c:v>
                </c:pt>
                <c:pt idx="3">
                  <c:v>2058.0</c:v>
                </c:pt>
                <c:pt idx="4">
                  <c:v>2228.0</c:v>
                </c:pt>
              </c:numCache>
            </c:numRef>
          </c:val>
        </c:ser>
        <c:ser>
          <c:idx val="8"/>
          <c:order val="8"/>
          <c:tx>
            <c:strRef>
              <c:f>Sheet1!$J$1</c:f>
              <c:strCache>
                <c:ptCount val="1"/>
                <c:pt idx="0">
                  <c:v>Heritage, culture and recreation; Primary Services, Housing and community development, Other</c:v>
                </c:pt>
              </c:strCache>
            </c:strRef>
          </c:tx>
          <c:invertIfNegative val="0"/>
          <c:cat>
            <c:numRef>
              <c:f>Sheet1!$A$2:$A$6</c:f>
              <c:numCache>
                <c:formatCode>General</c:formatCode>
                <c:ptCount val="5"/>
                <c:pt idx="0">
                  <c:v>2011.0</c:v>
                </c:pt>
                <c:pt idx="1">
                  <c:v>2012.0</c:v>
                </c:pt>
                <c:pt idx="2">
                  <c:v>2013.0</c:v>
                </c:pt>
                <c:pt idx="3">
                  <c:v>2014.0</c:v>
                </c:pt>
                <c:pt idx="4">
                  <c:v>2015.0</c:v>
                </c:pt>
              </c:numCache>
            </c:numRef>
          </c:cat>
          <c:val>
            <c:numRef>
              <c:f>Sheet1!$J$2:$J$6</c:f>
              <c:numCache>
                <c:formatCode>_-* #,##0.00_-;\-* #,##0.00_-;_-* "-"??_-;_-@_-</c:formatCode>
                <c:ptCount val="5"/>
                <c:pt idx="0">
                  <c:v>4094.0</c:v>
                </c:pt>
                <c:pt idx="1">
                  <c:v>2659.0</c:v>
                </c:pt>
                <c:pt idx="2">
                  <c:v>2879.0</c:v>
                </c:pt>
                <c:pt idx="3">
                  <c:v>2977.0</c:v>
                </c:pt>
                <c:pt idx="4">
                  <c:v>2633.0</c:v>
                </c:pt>
              </c:numCache>
            </c:numRef>
          </c:val>
        </c:ser>
        <c:dLbls>
          <c:showLegendKey val="0"/>
          <c:showVal val="0"/>
          <c:showCatName val="0"/>
          <c:showSerName val="0"/>
          <c:showPercent val="0"/>
          <c:showBubbleSize val="0"/>
        </c:dLbls>
        <c:gapWidth val="150"/>
        <c:overlap val="100"/>
        <c:axId val="-2141875736"/>
        <c:axId val="-2094178600"/>
      </c:barChart>
      <c:catAx>
        <c:axId val="-2141875736"/>
        <c:scaling>
          <c:orientation val="minMax"/>
        </c:scaling>
        <c:delete val="0"/>
        <c:axPos val="b"/>
        <c:numFmt formatCode="General" sourceLinked="1"/>
        <c:majorTickMark val="out"/>
        <c:minorTickMark val="none"/>
        <c:tickLblPos val="nextTo"/>
        <c:crossAx val="-2094178600"/>
        <c:crosses val="autoZero"/>
        <c:auto val="1"/>
        <c:lblAlgn val="ctr"/>
        <c:lblOffset val="100"/>
        <c:noMultiLvlLbl val="0"/>
      </c:catAx>
      <c:valAx>
        <c:axId val="-2094178600"/>
        <c:scaling>
          <c:orientation val="minMax"/>
        </c:scaling>
        <c:delete val="0"/>
        <c:axPos val="l"/>
        <c:majorGridlines/>
        <c:numFmt formatCode="0%" sourceLinked="1"/>
        <c:majorTickMark val="out"/>
        <c:minorTickMark val="none"/>
        <c:tickLblPos val="nextTo"/>
        <c:crossAx val="-2141875736"/>
        <c:crosses val="autoZero"/>
        <c:crossBetween val="between"/>
      </c:valAx>
    </c:plotArea>
    <c:legend>
      <c:legendPos val="r"/>
      <c:layout>
        <c:manualLayout>
          <c:xMode val="edge"/>
          <c:yMode val="edge"/>
          <c:x val="0.623731590842811"/>
          <c:y val="0.0300737407824022"/>
          <c:w val="0.350805446194226"/>
          <c:h val="0.969926259217598"/>
        </c:manualLayout>
      </c:layout>
      <c:overlay val="0"/>
      <c:txPr>
        <a:bodyPr/>
        <a:lstStyle/>
        <a:p>
          <a:pPr>
            <a:defRPr sz="900">
              <a:latin typeface="Times New Roman"/>
              <a:cs typeface="Times New Roman"/>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layout/>
      <c:overlay val="0"/>
    </c:title>
    <c:autoTitleDeleted val="0"/>
    <c:plotArea>
      <c:layout/>
      <c:barChart>
        <c:barDir val="col"/>
        <c:grouping val="clustered"/>
        <c:varyColors val="0"/>
        <c:ser>
          <c:idx val="0"/>
          <c:order val="0"/>
          <c:tx>
            <c:strRef>
              <c:f>Sheet1!$B$1</c:f>
              <c:strCache>
                <c:ptCount val="1"/>
                <c:pt idx="0">
                  <c:v>Expenditure on education</c:v>
                </c:pt>
              </c:strCache>
            </c:strRef>
          </c:tx>
          <c:invertIfNegative val="0"/>
          <c:dLbls>
            <c:dLbl>
              <c:idx val="10"/>
              <c:layout>
                <c:manualLayout>
                  <c:x val="0.0"/>
                  <c:y val="0.00396825396825397"/>
                </c:manualLayout>
              </c:layout>
              <c:showLegendKey val="0"/>
              <c:showVal val="1"/>
              <c:showCatName val="0"/>
              <c:showSerName val="1"/>
              <c:showPercent val="0"/>
              <c:showBubbleSize val="0"/>
            </c:dLbl>
            <c:showLegendKey val="0"/>
            <c:showVal val="0"/>
            <c:showCatName val="0"/>
            <c:showSerName val="0"/>
            <c:showPercent val="0"/>
            <c:showBubbleSize val="0"/>
          </c:dLbls>
          <c:cat>
            <c:numRef>
              <c:f>Sheet1!$A$2:$A$12</c:f>
              <c:numCache>
                <c:formatCode>General</c:formatCode>
                <c:ptCount val="11"/>
                <c:pt idx="0">
                  <c:v>2005.0</c:v>
                </c:pt>
                <c:pt idx="1">
                  <c:v>2006.0</c:v>
                </c:pt>
                <c:pt idx="2">
                  <c:v>2007.0</c:v>
                </c:pt>
                <c:pt idx="3">
                  <c:v>2008.0</c:v>
                </c:pt>
                <c:pt idx="4">
                  <c:v>2009.0</c:v>
                </c:pt>
                <c:pt idx="5">
                  <c:v>2010.0</c:v>
                </c:pt>
                <c:pt idx="6">
                  <c:v>2011.0</c:v>
                </c:pt>
                <c:pt idx="7">
                  <c:v>2012.0</c:v>
                </c:pt>
                <c:pt idx="8">
                  <c:v>2013.0</c:v>
                </c:pt>
                <c:pt idx="9">
                  <c:v>2014.0</c:v>
                </c:pt>
                <c:pt idx="10">
                  <c:v>2015.0</c:v>
                </c:pt>
              </c:numCache>
            </c:numRef>
          </c:cat>
          <c:val>
            <c:numRef>
              <c:f>Sheet1!$B$2:$B$12</c:f>
              <c:numCache>
                <c:formatCode>_-* #,##0_-;\-* #,##0_-;_-* "-"??_-;_-@_-</c:formatCode>
                <c:ptCount val="11"/>
                <c:pt idx="0">
                  <c:v>7930.0</c:v>
                </c:pt>
                <c:pt idx="1">
                  <c:v>9914.0</c:v>
                </c:pt>
                <c:pt idx="2">
                  <c:v>9269.0</c:v>
                </c:pt>
                <c:pt idx="3">
                  <c:v>9551.0</c:v>
                </c:pt>
                <c:pt idx="4">
                  <c:v>11455.0</c:v>
                </c:pt>
                <c:pt idx="5">
                  <c:v>11724.0</c:v>
                </c:pt>
                <c:pt idx="6">
                  <c:v>11650.0</c:v>
                </c:pt>
                <c:pt idx="7">
                  <c:v>11654.0</c:v>
                </c:pt>
                <c:pt idx="8">
                  <c:v>12504.0</c:v>
                </c:pt>
                <c:pt idx="9">
                  <c:v>12300.0</c:v>
                </c:pt>
                <c:pt idx="10">
                  <c:v>12879.0</c:v>
                </c:pt>
              </c:numCache>
            </c:numRef>
          </c:val>
        </c:ser>
        <c:dLbls>
          <c:showLegendKey val="0"/>
          <c:showVal val="0"/>
          <c:showCatName val="0"/>
          <c:showSerName val="0"/>
          <c:showPercent val="0"/>
          <c:showBubbleSize val="0"/>
        </c:dLbls>
        <c:gapWidth val="150"/>
        <c:axId val="-2126561992"/>
        <c:axId val="-2094916056"/>
      </c:barChart>
      <c:catAx>
        <c:axId val="-2126561992"/>
        <c:scaling>
          <c:orientation val="minMax"/>
        </c:scaling>
        <c:delete val="0"/>
        <c:axPos val="b"/>
        <c:numFmt formatCode="General" sourceLinked="1"/>
        <c:majorTickMark val="none"/>
        <c:minorTickMark val="none"/>
        <c:tickLblPos val="nextTo"/>
        <c:crossAx val="-2094916056"/>
        <c:crosses val="autoZero"/>
        <c:auto val="1"/>
        <c:lblAlgn val="ctr"/>
        <c:lblOffset val="100"/>
        <c:noMultiLvlLbl val="0"/>
      </c:catAx>
      <c:valAx>
        <c:axId val="-2094916056"/>
        <c:scaling>
          <c:orientation val="minMax"/>
        </c:scaling>
        <c:delete val="0"/>
        <c:axPos val="l"/>
        <c:majorGridlines/>
        <c:title>
          <c:tx>
            <c:rich>
              <a:bodyPr/>
              <a:lstStyle/>
              <a:p>
                <a:pPr>
                  <a:defRPr/>
                </a:pPr>
                <a:r>
                  <a:rPr lang="en-US"/>
                  <a:t>Spending in million NZD</a:t>
                </a:r>
              </a:p>
            </c:rich>
          </c:tx>
          <c:layout/>
          <c:overlay val="0"/>
        </c:title>
        <c:numFmt formatCode="_-* #,##0_-;\-* #,##0_-;_-* &quot;-&quot;??_-;_-@_-" sourceLinked="1"/>
        <c:majorTickMark val="none"/>
        <c:minorTickMark val="none"/>
        <c:tickLblPos val="nextTo"/>
        <c:crossAx val="-212656199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layout/>
      <c:overlay val="0"/>
    </c:title>
    <c:autoTitleDeleted val="0"/>
    <c:plotArea>
      <c:layout>
        <c:manualLayout>
          <c:layoutTarget val="inner"/>
          <c:xMode val="edge"/>
          <c:yMode val="edge"/>
          <c:x val="0.0880741469816273"/>
          <c:y val="0.266666666666667"/>
          <c:w val="0.662972258675999"/>
          <c:h val="0.582372203474566"/>
        </c:manualLayout>
      </c:layout>
      <c:barChart>
        <c:barDir val="col"/>
        <c:grouping val="clustered"/>
        <c:varyColors val="0"/>
        <c:ser>
          <c:idx val="0"/>
          <c:order val="0"/>
          <c:tx>
            <c:strRef>
              <c:f>Sheet1!$B$1</c:f>
              <c:strCache>
                <c:ptCount val="1"/>
                <c:pt idx="0">
                  <c:v>Expenditure on education as percentage of GDP</c:v>
                </c:pt>
              </c:strCache>
            </c:strRef>
          </c:tx>
          <c:invertIfNegative val="0"/>
          <c:dLbls>
            <c:dLbl>
              <c:idx val="0"/>
              <c:layout>
                <c:manualLayout>
                  <c:x val="-0.00231481481481481"/>
                  <c:y val="0.0198412698412698"/>
                </c:manualLayout>
              </c:layout>
              <c:dLblPos val="outEnd"/>
              <c:showLegendKey val="0"/>
              <c:showVal val="1"/>
              <c:showCatName val="0"/>
              <c:showSerName val="0"/>
              <c:showPercent val="0"/>
              <c:showBubbleSize val="0"/>
            </c:dLbl>
            <c:dLbl>
              <c:idx val="1"/>
              <c:layout>
                <c:manualLayout>
                  <c:x val="-2.12188906800333E-17"/>
                  <c:y val="-0.0079365079365079"/>
                </c:manualLayout>
              </c:layout>
              <c:dLblPos val="outEnd"/>
              <c:showLegendKey val="0"/>
              <c:showVal val="1"/>
              <c:showCatName val="0"/>
              <c:showSerName val="0"/>
              <c:showPercent val="0"/>
              <c:showBubbleSize val="0"/>
            </c:dLbl>
            <c:dLbl>
              <c:idx val="2"/>
              <c:layout>
                <c:manualLayout>
                  <c:x val="-4.24377813600667E-17"/>
                  <c:y val="0.00793650793650793"/>
                </c:manualLayout>
              </c:layout>
              <c:dLblPos val="outEnd"/>
              <c:showLegendKey val="0"/>
              <c:showVal val="1"/>
              <c:showCatName val="0"/>
              <c:showSerName val="0"/>
              <c:showPercent val="0"/>
              <c:showBubbleSize val="0"/>
            </c:dLbl>
            <c:dLbl>
              <c:idx val="3"/>
              <c:layout>
                <c:manualLayout>
                  <c:x val="0.00231481481481481"/>
                  <c:y val="0.0238095238095237"/>
                </c:manualLayout>
              </c:layout>
              <c:dLblPos val="outEnd"/>
              <c:showLegendKey val="0"/>
              <c:showVal val="1"/>
              <c:showCatName val="0"/>
              <c:showSerName val="0"/>
              <c:showPercent val="0"/>
              <c:showBubbleSize val="0"/>
            </c:dLbl>
            <c:dLbl>
              <c:idx val="4"/>
              <c:layout>
                <c:manualLayout>
                  <c:x val="0.00462962962962959"/>
                  <c:y val="0.00396825396825393"/>
                </c:manualLayout>
              </c:layout>
              <c:dLblPos val="outEnd"/>
              <c:showLegendKey val="0"/>
              <c:showVal val="1"/>
              <c:showCatName val="0"/>
              <c:showSerName val="0"/>
              <c:showPercent val="0"/>
              <c:showBubbleSize val="0"/>
            </c:dLbl>
            <c:dLbl>
              <c:idx val="5"/>
              <c:layout>
                <c:manualLayout>
                  <c:x val="0.00694444444444436"/>
                  <c:y val="-0.00793650793650797"/>
                </c:manualLayout>
              </c:layout>
              <c:dLblPos val="outEnd"/>
              <c:showLegendKey val="0"/>
              <c:showVal val="1"/>
              <c:showCatName val="0"/>
              <c:showSerName val="0"/>
              <c:showPercent val="0"/>
              <c:showBubbleSize val="0"/>
            </c:dLbl>
            <c:dLbl>
              <c:idx val="6"/>
              <c:layout>
                <c:manualLayout>
                  <c:x val="0.0092590769903762"/>
                  <c:y val="0.00396825396825393"/>
                </c:manualLayout>
              </c:layout>
              <c:dLblPos val="outEnd"/>
              <c:showLegendKey val="0"/>
              <c:showVal val="1"/>
              <c:showCatName val="0"/>
              <c:showSerName val="0"/>
              <c:showPercent val="0"/>
              <c:showBubbleSize val="0"/>
            </c:dLbl>
            <c:dLbl>
              <c:idx val="7"/>
              <c:layout>
                <c:manualLayout>
                  <c:x val="-0.00694444444444444"/>
                  <c:y val="0.0238095238095238"/>
                </c:manualLayout>
              </c:layout>
              <c:dLblPos val="outEnd"/>
              <c:showLegendKey val="0"/>
              <c:showVal val="1"/>
              <c:showCatName val="0"/>
              <c:showSerName val="0"/>
              <c:showPercent val="0"/>
              <c:showBubbleSize val="0"/>
            </c:dLbl>
            <c:dLbl>
              <c:idx val="8"/>
              <c:layout>
                <c:manualLayout>
                  <c:x val="-0.00462962962962971"/>
                  <c:y val="0.0119047619047619"/>
                </c:manualLayout>
              </c:layout>
              <c:dLblPos val="outEnd"/>
              <c:showLegendKey val="0"/>
              <c:showVal val="1"/>
              <c:showCatName val="0"/>
              <c:showSerName val="0"/>
              <c:showPercent val="0"/>
              <c:showBubbleSize val="0"/>
            </c:dLbl>
            <c:dLbl>
              <c:idx val="9"/>
              <c:layout>
                <c:manualLayout>
                  <c:x val="-0.00231499708369787"/>
                  <c:y val="0.00396825396825397"/>
                </c:manualLayout>
              </c:layout>
              <c:dLblPos val="outEnd"/>
              <c:showLegendKey val="0"/>
              <c:showVal val="1"/>
              <c:showCatName val="0"/>
              <c:showSerName val="0"/>
              <c:showPercent val="0"/>
              <c:showBubbleSize val="0"/>
            </c:dLbl>
            <c:dLbl>
              <c:idx val="10"/>
              <c:layout>
                <c:manualLayout>
                  <c:x val="-8.48755627201334E-17"/>
                  <c:y val="0.0119047619047619"/>
                </c:manualLayout>
              </c:layout>
              <c:dLblPos val="outEnd"/>
              <c:showLegendKey val="0"/>
              <c:showVal val="1"/>
              <c:showCatName val="0"/>
              <c:showSerName val="0"/>
              <c:showPercent val="0"/>
              <c:showBubbleSize val="0"/>
            </c:dLbl>
            <c:dLblPos val="inEnd"/>
            <c:showLegendKey val="0"/>
            <c:showVal val="1"/>
            <c:showCatName val="0"/>
            <c:showSerName val="0"/>
            <c:showPercent val="0"/>
            <c:showBubbleSize val="0"/>
            <c:showLeaderLines val="0"/>
          </c:dLbls>
          <c:cat>
            <c:numRef>
              <c:f>Sheet1!$A$2:$A$12</c:f>
              <c:numCache>
                <c:formatCode>General</c:formatCode>
                <c:ptCount val="11"/>
                <c:pt idx="0">
                  <c:v>2005.0</c:v>
                </c:pt>
                <c:pt idx="1">
                  <c:v>2006.0</c:v>
                </c:pt>
                <c:pt idx="2">
                  <c:v>2007.0</c:v>
                </c:pt>
                <c:pt idx="3">
                  <c:v>2008.0</c:v>
                </c:pt>
                <c:pt idx="4">
                  <c:v>2009.0</c:v>
                </c:pt>
                <c:pt idx="5">
                  <c:v>2010.0</c:v>
                </c:pt>
                <c:pt idx="6">
                  <c:v>2011.0</c:v>
                </c:pt>
                <c:pt idx="7">
                  <c:v>2012.0</c:v>
                </c:pt>
                <c:pt idx="8">
                  <c:v>2013.0</c:v>
                </c:pt>
                <c:pt idx="9">
                  <c:v>2014.0</c:v>
                </c:pt>
                <c:pt idx="10">
                  <c:v>2015.0</c:v>
                </c:pt>
              </c:numCache>
            </c:numRef>
          </c:cat>
          <c:val>
            <c:numRef>
              <c:f>Sheet1!$B$2:$B$12</c:f>
              <c:numCache>
                <c:formatCode>0.0%</c:formatCode>
                <c:ptCount val="11"/>
                <c:pt idx="0">
                  <c:v>0.0504770816226504</c:v>
                </c:pt>
                <c:pt idx="1">
                  <c:v>0.0600750180273531</c:v>
                </c:pt>
                <c:pt idx="2">
                  <c:v>0.0529514930275869</c:v>
                </c:pt>
                <c:pt idx="3">
                  <c:v>0.0507634987536341</c:v>
                </c:pt>
                <c:pt idx="4">
                  <c:v>0.0610829085169464</c:v>
                </c:pt>
                <c:pt idx="5">
                  <c:v>0.0600003070640075</c:v>
                </c:pt>
                <c:pt idx="6">
                  <c:v>0.0571664106854571</c:v>
                </c:pt>
                <c:pt idx="7">
                  <c:v>0.0548922079818376</c:v>
                </c:pt>
                <c:pt idx="8">
                  <c:v>0.0577325299535979</c:v>
                </c:pt>
                <c:pt idx="9">
                  <c:v>0.0525580381750823</c:v>
                </c:pt>
                <c:pt idx="10">
                  <c:v>0.0535351310008272</c:v>
                </c:pt>
              </c:numCache>
            </c:numRef>
          </c:val>
        </c:ser>
        <c:dLbls>
          <c:showLegendKey val="0"/>
          <c:showVal val="0"/>
          <c:showCatName val="0"/>
          <c:showSerName val="0"/>
          <c:showPercent val="0"/>
          <c:showBubbleSize val="0"/>
        </c:dLbls>
        <c:gapWidth val="75"/>
        <c:overlap val="40"/>
        <c:axId val="-2142122792"/>
        <c:axId val="-2094744312"/>
      </c:barChart>
      <c:catAx>
        <c:axId val="-2142122792"/>
        <c:scaling>
          <c:orientation val="minMax"/>
        </c:scaling>
        <c:delete val="0"/>
        <c:axPos val="b"/>
        <c:numFmt formatCode="General" sourceLinked="1"/>
        <c:majorTickMark val="none"/>
        <c:minorTickMark val="none"/>
        <c:tickLblPos val="nextTo"/>
        <c:crossAx val="-2094744312"/>
        <c:crosses val="autoZero"/>
        <c:auto val="1"/>
        <c:lblAlgn val="ctr"/>
        <c:lblOffset val="100"/>
        <c:noMultiLvlLbl val="0"/>
      </c:catAx>
      <c:valAx>
        <c:axId val="-2094744312"/>
        <c:scaling>
          <c:orientation val="minMax"/>
        </c:scaling>
        <c:delete val="0"/>
        <c:axPos val="l"/>
        <c:majorGridlines/>
        <c:numFmt formatCode="0.0%" sourceLinked="1"/>
        <c:majorTickMark val="none"/>
        <c:minorTickMark val="none"/>
        <c:tickLblPos val="nextTo"/>
        <c:crossAx val="-2142122792"/>
        <c:crosses val="autoZero"/>
        <c:crossBetween val="between"/>
      </c:valAx>
    </c:plotArea>
    <c:legend>
      <c:legendPos val="r"/>
      <c:layout>
        <c:manualLayout>
          <c:xMode val="edge"/>
          <c:yMode val="edge"/>
          <c:x val="0.746416776027996"/>
          <c:y val="0.406735408073991"/>
          <c:w val="0.239694335083115"/>
          <c:h val="0.211132358455193"/>
        </c:manualLayout>
      </c:layout>
      <c:overlay val="0"/>
      <c:txPr>
        <a:bodyPr/>
        <a:lstStyle/>
        <a:p>
          <a:pPr algn="ctr">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Percentage pass on each NCEA level</a:t>
            </a:r>
          </a:p>
        </c:rich>
      </c:tx>
      <c:layout/>
      <c:overlay val="0"/>
    </c:title>
    <c:autoTitleDeleted val="0"/>
    <c:plotArea>
      <c:layout/>
      <c:lineChart>
        <c:grouping val="standard"/>
        <c:varyColors val="0"/>
        <c:ser>
          <c:idx val="0"/>
          <c:order val="0"/>
          <c:tx>
            <c:strRef>
              <c:f>Sheet1!$B$1</c:f>
              <c:strCache>
                <c:ptCount val="1"/>
                <c:pt idx="0">
                  <c:v>level 1</c:v>
                </c:pt>
              </c:strCache>
            </c:strRef>
          </c:tx>
          <c:cat>
            <c:numRef>
              <c:f>Sheet1!$A$2:$A$11</c:f>
              <c:numCache>
                <c:formatCode>General</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Sheet1!$B$2:$B$11</c:f>
              <c:numCache>
                <c:formatCode>0.0%</c:formatCode>
                <c:ptCount val="10"/>
                <c:pt idx="0">
                  <c:v>0.56</c:v>
                </c:pt>
                <c:pt idx="1">
                  <c:v>0.596</c:v>
                </c:pt>
                <c:pt idx="2">
                  <c:v>0.616</c:v>
                </c:pt>
                <c:pt idx="3">
                  <c:v>0.631</c:v>
                </c:pt>
                <c:pt idx="4">
                  <c:v>0.64</c:v>
                </c:pt>
                <c:pt idx="5">
                  <c:v>0.656</c:v>
                </c:pt>
                <c:pt idx="6">
                  <c:v>0.66</c:v>
                </c:pt>
                <c:pt idx="7">
                  <c:v>0.678</c:v>
                </c:pt>
                <c:pt idx="8">
                  <c:v>0.711</c:v>
                </c:pt>
                <c:pt idx="9">
                  <c:v>0.729</c:v>
                </c:pt>
              </c:numCache>
            </c:numRef>
          </c:val>
          <c:smooth val="0"/>
        </c:ser>
        <c:ser>
          <c:idx val="1"/>
          <c:order val="1"/>
          <c:tx>
            <c:strRef>
              <c:f>Sheet1!$C$1</c:f>
              <c:strCache>
                <c:ptCount val="1"/>
                <c:pt idx="0">
                  <c:v>level 2</c:v>
                </c:pt>
              </c:strCache>
            </c:strRef>
          </c:tx>
          <c:cat>
            <c:numRef>
              <c:f>Sheet1!$A$2:$A$11</c:f>
              <c:numCache>
                <c:formatCode>General</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Sheet1!$C$2:$C$11</c:f>
              <c:numCache>
                <c:formatCode>0.0%</c:formatCode>
                <c:ptCount val="10"/>
                <c:pt idx="0">
                  <c:v>0.603</c:v>
                </c:pt>
                <c:pt idx="1">
                  <c:v>0.64</c:v>
                </c:pt>
                <c:pt idx="2">
                  <c:v>0.647</c:v>
                </c:pt>
                <c:pt idx="3">
                  <c:v>0.67</c:v>
                </c:pt>
                <c:pt idx="4">
                  <c:v>0.669</c:v>
                </c:pt>
                <c:pt idx="5">
                  <c:v>0.68</c:v>
                </c:pt>
                <c:pt idx="6">
                  <c:v>0.699</c:v>
                </c:pt>
                <c:pt idx="7">
                  <c:v>0.714</c:v>
                </c:pt>
                <c:pt idx="8">
                  <c:v>0.73</c:v>
                </c:pt>
                <c:pt idx="9">
                  <c:v>0.769</c:v>
                </c:pt>
              </c:numCache>
            </c:numRef>
          </c:val>
          <c:smooth val="0"/>
        </c:ser>
        <c:ser>
          <c:idx val="2"/>
          <c:order val="2"/>
          <c:tx>
            <c:strRef>
              <c:f>Sheet1!$D$1</c:f>
              <c:strCache>
                <c:ptCount val="1"/>
                <c:pt idx="0">
                  <c:v>level 3</c:v>
                </c:pt>
              </c:strCache>
            </c:strRef>
          </c:tx>
          <c:cat>
            <c:numRef>
              <c:f>Sheet1!$A$2:$A$11</c:f>
              <c:numCache>
                <c:formatCode>General</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Sheet1!$D$2:$D$11</c:f>
              <c:numCache>
                <c:formatCode>0.0%</c:formatCode>
                <c:ptCount val="10"/>
                <c:pt idx="0">
                  <c:v>0.509</c:v>
                </c:pt>
                <c:pt idx="1">
                  <c:v>0.529</c:v>
                </c:pt>
                <c:pt idx="2">
                  <c:v>0.54</c:v>
                </c:pt>
                <c:pt idx="3">
                  <c:v>0.548</c:v>
                </c:pt>
                <c:pt idx="4">
                  <c:v>0.54</c:v>
                </c:pt>
                <c:pt idx="5">
                  <c:v>0.55</c:v>
                </c:pt>
                <c:pt idx="6">
                  <c:v>0.557</c:v>
                </c:pt>
                <c:pt idx="7">
                  <c:v>0.572</c:v>
                </c:pt>
                <c:pt idx="8">
                  <c:v>0.589</c:v>
                </c:pt>
                <c:pt idx="9">
                  <c:v>0.615</c:v>
                </c:pt>
              </c:numCache>
            </c:numRef>
          </c:val>
          <c:smooth val="0"/>
        </c:ser>
        <c:dLbls>
          <c:showLegendKey val="0"/>
          <c:showVal val="0"/>
          <c:showCatName val="0"/>
          <c:showSerName val="0"/>
          <c:showPercent val="0"/>
          <c:showBubbleSize val="0"/>
        </c:dLbls>
        <c:marker val="1"/>
        <c:smooth val="0"/>
        <c:axId val="-2114271240"/>
        <c:axId val="-2088866408"/>
      </c:lineChart>
      <c:catAx>
        <c:axId val="-2114271240"/>
        <c:scaling>
          <c:orientation val="minMax"/>
        </c:scaling>
        <c:delete val="0"/>
        <c:axPos val="b"/>
        <c:numFmt formatCode="General" sourceLinked="1"/>
        <c:majorTickMark val="none"/>
        <c:minorTickMark val="none"/>
        <c:tickLblPos val="nextTo"/>
        <c:crossAx val="-2088866408"/>
        <c:crosses val="autoZero"/>
        <c:auto val="1"/>
        <c:lblAlgn val="ctr"/>
        <c:lblOffset val="100"/>
        <c:noMultiLvlLbl val="0"/>
      </c:catAx>
      <c:valAx>
        <c:axId val="-2088866408"/>
        <c:scaling>
          <c:orientation val="minMax"/>
        </c:scaling>
        <c:delete val="0"/>
        <c:axPos val="l"/>
        <c:majorGridlines/>
        <c:title>
          <c:tx>
            <c:rich>
              <a:bodyPr/>
              <a:lstStyle/>
              <a:p>
                <a:pPr>
                  <a:defRPr/>
                </a:pPr>
                <a:r>
                  <a:rPr lang="en-US"/>
                  <a:t>Pass rate (roll) </a:t>
                </a:r>
              </a:p>
            </c:rich>
          </c:tx>
          <c:layout/>
          <c:overlay val="0"/>
        </c:title>
        <c:numFmt formatCode="0.0%" sourceLinked="1"/>
        <c:majorTickMark val="none"/>
        <c:minorTickMark val="none"/>
        <c:tickLblPos val="nextTo"/>
        <c:crossAx val="-2114271240"/>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1560</TotalTime>
  <Pages>11</Pages>
  <Words>2018</Words>
  <Characters>10943</Characters>
  <Application>Microsoft Macintosh Word</Application>
  <DocSecurity>0</DocSecurity>
  <Lines>198</Lines>
  <Paragraphs>60</Paragraphs>
  <ScaleCrop>false</ScaleCrop>
  <Company/>
  <LinksUpToDate>false</LinksUpToDate>
  <CharactersWithSpaces>12901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Lalii's</dc:creator>
  <cp:keywords/>
  <dc:description/>
  <cp:lastModifiedBy>Lalii's</cp:lastModifiedBy>
  <cp:revision>29</cp:revision>
  <dcterms:created xsi:type="dcterms:W3CDTF">2016-01-04T06:41:00Z</dcterms:created>
  <dcterms:modified xsi:type="dcterms:W3CDTF">2016-01-07T08:56:00Z</dcterms:modified>
</cp:coreProperties>
</file>