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B8D47" w14:textId="77777777" w:rsidR="00E44071" w:rsidRPr="00BD4638" w:rsidRDefault="00E44071" w:rsidP="00C027E6">
      <w:pPr>
        <w:pStyle w:val="HeadingA"/>
        <w:spacing w:after="0"/>
        <w:rPr>
          <w:rFonts w:ascii="Cambria" w:hAnsi="Cambria" w:cstheme="majorHAnsi"/>
          <w:b/>
          <w:szCs w:val="40"/>
        </w:rPr>
      </w:pPr>
      <w:r w:rsidRPr="00BD4638">
        <w:rPr>
          <w:rFonts w:ascii="Cambria" w:hAnsi="Cambria" w:cstheme="majorHAnsi"/>
          <w:b/>
          <w:szCs w:val="40"/>
        </w:rPr>
        <w:t>Chapter 15</w:t>
      </w:r>
    </w:p>
    <w:p w14:paraId="2BA7C6F8" w14:textId="77777777" w:rsidR="00E44071" w:rsidRPr="00BD4638" w:rsidRDefault="00E44071" w:rsidP="00C027E6">
      <w:pPr>
        <w:pStyle w:val="HeadingA"/>
        <w:spacing w:after="0"/>
        <w:rPr>
          <w:rFonts w:ascii="Cambria" w:hAnsi="Cambria" w:cstheme="majorHAnsi"/>
          <w:b/>
          <w:szCs w:val="40"/>
        </w:rPr>
      </w:pPr>
      <w:r w:rsidRPr="00BD4638">
        <w:rPr>
          <w:rFonts w:ascii="Cambria" w:hAnsi="Cambria" w:cstheme="majorHAnsi"/>
          <w:b/>
          <w:szCs w:val="40"/>
        </w:rPr>
        <w:t>Risk and Information</w:t>
      </w:r>
    </w:p>
    <w:p w14:paraId="5E88DA67" w14:textId="77777777" w:rsidR="00E44071" w:rsidRPr="00BD4638" w:rsidRDefault="00E44071" w:rsidP="00C027E6">
      <w:pPr>
        <w:pBdr>
          <w:top w:val="single" w:sz="18" w:space="1" w:color="auto"/>
        </w:pBdr>
        <w:rPr>
          <w:rFonts w:ascii="Cambria" w:hAnsi="Cambria" w:cstheme="majorHAnsi"/>
          <w:sz w:val="40"/>
          <w:szCs w:val="40"/>
        </w:rPr>
      </w:pPr>
    </w:p>
    <w:p w14:paraId="432F981B" w14:textId="1F7A0792" w:rsidR="00E44071" w:rsidRPr="00BD4638" w:rsidRDefault="00E44071" w:rsidP="00C027E6">
      <w:pPr>
        <w:pStyle w:val="HeadingB"/>
        <w:spacing w:after="0"/>
        <w:rPr>
          <w:rFonts w:ascii="Cambria" w:hAnsi="Cambria" w:cstheme="majorHAnsi"/>
          <w:sz w:val="40"/>
          <w:szCs w:val="40"/>
        </w:rPr>
      </w:pPr>
      <w:r w:rsidRPr="00BD4638">
        <w:rPr>
          <w:rFonts w:ascii="Cambria" w:hAnsi="Cambria" w:cstheme="majorHAnsi"/>
          <w:sz w:val="40"/>
          <w:szCs w:val="40"/>
        </w:rPr>
        <w:t xml:space="preserve">Solutions to </w:t>
      </w:r>
      <w:r w:rsidR="00136627" w:rsidRPr="00BD4638">
        <w:rPr>
          <w:rFonts w:ascii="Cambria" w:hAnsi="Cambria" w:cstheme="majorHAnsi"/>
          <w:sz w:val="40"/>
          <w:szCs w:val="40"/>
        </w:rPr>
        <w:t>Problems</w:t>
      </w:r>
    </w:p>
    <w:p w14:paraId="3C5A2B15" w14:textId="77777777" w:rsidR="005F791B" w:rsidRPr="00BD4638" w:rsidRDefault="005F791B" w:rsidP="00C027E6">
      <w:pPr>
        <w:pStyle w:val="NormalIndent"/>
        <w:ind w:left="0"/>
        <w:rPr>
          <w:rFonts w:ascii="Cambria" w:hAnsi="Cambria" w:cstheme="majorHAnsi"/>
          <w:sz w:val="28"/>
          <w:szCs w:val="28"/>
        </w:rPr>
      </w:pPr>
    </w:p>
    <w:p w14:paraId="6A339759" w14:textId="77777777" w:rsidR="0041148B" w:rsidRPr="00BD4638" w:rsidRDefault="0031436B"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13</w:t>
      </w:r>
      <w:r w:rsidR="0041148B" w:rsidRPr="00BD4638">
        <w:rPr>
          <w:rFonts w:ascii="Cambria" w:hAnsi="Cambria" w:cstheme="majorHAnsi"/>
          <w:b/>
          <w:bCs/>
          <w:sz w:val="28"/>
          <w:szCs w:val="28"/>
        </w:rPr>
        <w:t xml:space="preserve">. </w:t>
      </w:r>
      <w:r w:rsidR="0041148B" w:rsidRPr="00BD4638">
        <w:rPr>
          <w:rFonts w:ascii="Cambria" w:hAnsi="Cambria" w:cstheme="majorHAnsi"/>
          <w:b/>
          <w:sz w:val="28"/>
          <w:szCs w:val="28"/>
        </w:rPr>
        <w:t xml:space="preserve">Sketch the graphs of the following utility functions as </w:t>
      </w:r>
      <w:r w:rsidR="0041148B" w:rsidRPr="00BD4638">
        <w:rPr>
          <w:rFonts w:ascii="Cambria" w:hAnsi="Cambria" w:cstheme="majorHAnsi"/>
          <w:b/>
          <w:i/>
          <w:iCs/>
          <w:sz w:val="28"/>
          <w:szCs w:val="28"/>
        </w:rPr>
        <w:t xml:space="preserve">I </w:t>
      </w:r>
      <w:proofErr w:type="gramStart"/>
      <w:r w:rsidR="0041148B" w:rsidRPr="00BD4638">
        <w:rPr>
          <w:rFonts w:ascii="Cambria" w:hAnsi="Cambria" w:cstheme="majorHAnsi"/>
          <w:b/>
          <w:sz w:val="28"/>
          <w:szCs w:val="28"/>
        </w:rPr>
        <w:t>varies</w:t>
      </w:r>
      <w:proofErr w:type="gramEnd"/>
      <w:r w:rsidR="0041148B" w:rsidRPr="00BD4638">
        <w:rPr>
          <w:rFonts w:ascii="Cambria" w:hAnsi="Cambria" w:cstheme="majorHAnsi"/>
          <w:b/>
          <w:sz w:val="28"/>
          <w:szCs w:val="28"/>
        </w:rPr>
        <w:t xml:space="preserve"> over the range $0 to $100. Based on these graphs, indicate whether the decision maker is risk averse, risk neutral, or risk loving:</w:t>
      </w:r>
    </w:p>
    <w:p w14:paraId="58421F8D"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a) U = 10I – (1/</w:t>
      </w:r>
      <w:proofErr w:type="gramStart"/>
      <w:r w:rsidRPr="00BD4638">
        <w:rPr>
          <w:rFonts w:ascii="Cambria" w:hAnsi="Cambria" w:cstheme="majorHAnsi"/>
          <w:b/>
          <w:sz w:val="28"/>
          <w:szCs w:val="28"/>
        </w:rPr>
        <w:t>8)I</w:t>
      </w:r>
      <w:proofErr w:type="gramEnd"/>
      <w:r w:rsidRPr="00BD4638">
        <w:rPr>
          <w:rFonts w:ascii="Cambria" w:hAnsi="Cambria" w:cstheme="majorHAnsi"/>
          <w:b/>
          <w:sz w:val="28"/>
          <w:szCs w:val="28"/>
          <w:vertAlign w:val="superscript"/>
        </w:rPr>
        <w:t>2</w:t>
      </w:r>
    </w:p>
    <w:p w14:paraId="7BC1457A"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b) U = (1/</w:t>
      </w:r>
      <w:proofErr w:type="gramStart"/>
      <w:r w:rsidRPr="00BD4638">
        <w:rPr>
          <w:rFonts w:ascii="Cambria" w:hAnsi="Cambria" w:cstheme="majorHAnsi"/>
          <w:b/>
          <w:sz w:val="28"/>
          <w:szCs w:val="28"/>
        </w:rPr>
        <w:t>8)I</w:t>
      </w:r>
      <w:proofErr w:type="gramEnd"/>
      <w:r w:rsidRPr="00BD4638">
        <w:rPr>
          <w:rFonts w:ascii="Cambria" w:hAnsi="Cambria" w:cstheme="majorHAnsi"/>
          <w:b/>
          <w:sz w:val="28"/>
          <w:szCs w:val="28"/>
          <w:vertAlign w:val="superscript"/>
        </w:rPr>
        <w:t>2</w:t>
      </w:r>
    </w:p>
    <w:p w14:paraId="409350AE"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c) U = ln (I + 1)</w:t>
      </w:r>
    </w:p>
    <w:p w14:paraId="2863E55A" w14:textId="374D6B6A" w:rsidR="00BD4638" w:rsidRPr="00451F6F" w:rsidRDefault="0041148B" w:rsidP="00451F6F">
      <w:pPr>
        <w:autoSpaceDE w:val="0"/>
        <w:autoSpaceDN w:val="0"/>
        <w:adjustRightInd w:val="0"/>
        <w:rPr>
          <w:rFonts w:ascii="Cambria" w:hAnsi="Cambria" w:cstheme="majorHAnsi"/>
          <w:b/>
          <w:i/>
          <w:iCs/>
          <w:sz w:val="28"/>
          <w:szCs w:val="28"/>
        </w:rPr>
      </w:pPr>
      <w:r w:rsidRPr="00BD4638">
        <w:rPr>
          <w:rFonts w:ascii="Cambria" w:hAnsi="Cambria" w:cstheme="majorHAnsi"/>
          <w:b/>
          <w:sz w:val="28"/>
          <w:szCs w:val="28"/>
        </w:rPr>
        <w:t xml:space="preserve">d) </w:t>
      </w:r>
      <w:r w:rsidRPr="00BD4638">
        <w:rPr>
          <w:rFonts w:ascii="Cambria" w:hAnsi="Cambria" w:cstheme="majorHAnsi"/>
          <w:b/>
          <w:i/>
          <w:iCs/>
          <w:sz w:val="28"/>
          <w:szCs w:val="28"/>
        </w:rPr>
        <w:t xml:space="preserve">U </w:t>
      </w:r>
      <w:r w:rsidRPr="00BD4638">
        <w:rPr>
          <w:rFonts w:ascii="Cambria" w:hAnsi="Cambria" w:cstheme="majorHAnsi"/>
          <w:b/>
          <w:sz w:val="28"/>
          <w:szCs w:val="28"/>
        </w:rPr>
        <w:t>= 5</w:t>
      </w:r>
      <w:r w:rsidRPr="00BD4638">
        <w:rPr>
          <w:rFonts w:ascii="Cambria" w:hAnsi="Cambria" w:cstheme="majorHAnsi"/>
          <w:b/>
          <w:i/>
          <w:iCs/>
          <w:sz w:val="28"/>
          <w:szCs w:val="28"/>
        </w:rPr>
        <w:t>I</w:t>
      </w:r>
    </w:p>
    <w:p w14:paraId="19680A53" w14:textId="77777777" w:rsidR="00BD4638" w:rsidRPr="00BD4638" w:rsidRDefault="00BD4638" w:rsidP="00C027E6">
      <w:pPr>
        <w:pStyle w:val="NormalIndent"/>
        <w:ind w:left="0"/>
      </w:pPr>
    </w:p>
    <w:p w14:paraId="318A1D2F" w14:textId="77777777" w:rsidR="00E44071" w:rsidRPr="00BD4638" w:rsidRDefault="00E44071"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t>a)</w:t>
      </w:r>
    </w:p>
    <w:p w14:paraId="1A8E59C3" w14:textId="77777777" w:rsidR="00E44071" w:rsidRPr="00BD4638" w:rsidRDefault="008B0007" w:rsidP="00C027E6">
      <w:pPr>
        <w:pStyle w:val="BodyTextIndent"/>
        <w:ind w:left="0"/>
        <w:rPr>
          <w:rFonts w:ascii="Cambria" w:hAnsi="Cambria" w:cstheme="majorHAnsi"/>
          <w:sz w:val="28"/>
          <w:szCs w:val="28"/>
        </w:rPr>
      </w:pPr>
      <w:r w:rsidRPr="00BD4638">
        <w:rPr>
          <w:rFonts w:ascii="Cambria" w:hAnsi="Cambria" w:cstheme="majorHAnsi"/>
          <w:noProof/>
          <w:sz w:val="28"/>
          <w:szCs w:val="28"/>
        </w:rPr>
        <w:drawing>
          <wp:inline distT="0" distB="0" distL="0" distR="0" wp14:anchorId="02AC5121" wp14:editId="27B11922">
            <wp:extent cx="4806315" cy="2406650"/>
            <wp:effectExtent l="0" t="0" r="0" b="0"/>
            <wp:docPr id="16" name="Objec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163E77"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Since this utility function increases at a decreasing rate, the decision maker will prefer a sure thing to a lottery with the same expected value.  Thus, this utility function corresponds to a risk-averse decision maker.</w:t>
      </w:r>
    </w:p>
    <w:p w14:paraId="0A675704" w14:textId="77777777" w:rsidR="005F791B" w:rsidRPr="00BD4638" w:rsidRDefault="005F791B" w:rsidP="00C027E6">
      <w:pPr>
        <w:pStyle w:val="Answer"/>
        <w:spacing w:after="0"/>
        <w:ind w:left="0" w:firstLine="0"/>
        <w:rPr>
          <w:rFonts w:ascii="Cambria" w:hAnsi="Cambria" w:cstheme="majorHAnsi"/>
          <w:sz w:val="28"/>
          <w:szCs w:val="28"/>
        </w:rPr>
      </w:pPr>
    </w:p>
    <w:p w14:paraId="3981EAA1" w14:textId="77777777" w:rsidR="00E44071" w:rsidRPr="00BD4638"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b)</w:t>
      </w:r>
    </w:p>
    <w:p w14:paraId="4812E27A" w14:textId="77777777" w:rsidR="00E44071" w:rsidRPr="00BD4638" w:rsidRDefault="008B0007" w:rsidP="00C027E6">
      <w:pPr>
        <w:pStyle w:val="BodyTextIndent"/>
        <w:ind w:left="0"/>
        <w:rPr>
          <w:rFonts w:ascii="Cambria" w:hAnsi="Cambria" w:cstheme="majorHAnsi"/>
          <w:sz w:val="28"/>
          <w:szCs w:val="28"/>
        </w:rPr>
      </w:pPr>
      <w:r w:rsidRPr="00BD4638">
        <w:rPr>
          <w:rFonts w:ascii="Cambria" w:hAnsi="Cambria" w:cstheme="majorHAnsi"/>
          <w:noProof/>
          <w:sz w:val="28"/>
          <w:szCs w:val="28"/>
        </w:rPr>
        <w:drawing>
          <wp:inline distT="0" distB="0" distL="0" distR="0" wp14:anchorId="501E0565" wp14:editId="2AC1CE95">
            <wp:extent cx="4513580" cy="2560320"/>
            <wp:effectExtent l="0" t="0" r="0" b="0"/>
            <wp:docPr id="17" name="Object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78740CF" w14:textId="77777777" w:rsidR="00E44071" w:rsidRPr="00BD4638" w:rsidRDefault="00E44071" w:rsidP="00C027E6">
      <w:pPr>
        <w:pStyle w:val="BodyTextIndent"/>
        <w:ind w:left="0"/>
        <w:rPr>
          <w:rFonts w:ascii="Cambria" w:hAnsi="Cambria" w:cstheme="majorHAnsi"/>
          <w:sz w:val="28"/>
          <w:szCs w:val="28"/>
        </w:rPr>
      </w:pPr>
    </w:p>
    <w:p w14:paraId="3ACDFA8C"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lastRenderedPageBreak/>
        <w:t>Since this utility function increases at an increasing rate, the decision maker will prefer a lottery to a sure thing with the same payoff.  Thus, this utility function corresponds to a risk-loving decision maker.</w:t>
      </w:r>
    </w:p>
    <w:p w14:paraId="0B11B34A" w14:textId="77777777" w:rsidR="008D5E57" w:rsidRPr="00BD4638" w:rsidRDefault="008D5E57" w:rsidP="00C027E6">
      <w:pPr>
        <w:pStyle w:val="BodyTextIndent"/>
        <w:ind w:left="0"/>
        <w:rPr>
          <w:rFonts w:ascii="Cambria" w:hAnsi="Cambria" w:cstheme="majorHAnsi"/>
          <w:sz w:val="28"/>
          <w:szCs w:val="28"/>
        </w:rPr>
      </w:pPr>
    </w:p>
    <w:p w14:paraId="4117DCF9" w14:textId="77777777" w:rsidR="00E44071" w:rsidRPr="00BD4638"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c)</w:t>
      </w:r>
    </w:p>
    <w:p w14:paraId="4B85140C" w14:textId="77777777" w:rsidR="00E44071" w:rsidRPr="00BD4638" w:rsidRDefault="008B0007" w:rsidP="00C027E6">
      <w:pPr>
        <w:pStyle w:val="BodyTextIndent"/>
        <w:ind w:left="0"/>
        <w:rPr>
          <w:rFonts w:ascii="Cambria" w:hAnsi="Cambria" w:cstheme="majorHAnsi"/>
          <w:sz w:val="28"/>
          <w:szCs w:val="28"/>
        </w:rPr>
      </w:pPr>
      <w:r w:rsidRPr="00BD4638">
        <w:rPr>
          <w:rFonts w:ascii="Cambria" w:hAnsi="Cambria" w:cstheme="majorHAnsi"/>
          <w:noProof/>
          <w:sz w:val="28"/>
          <w:szCs w:val="28"/>
        </w:rPr>
        <w:drawing>
          <wp:inline distT="0" distB="0" distL="0" distR="0" wp14:anchorId="681EEA44" wp14:editId="050E1F21">
            <wp:extent cx="4513580" cy="2560320"/>
            <wp:effectExtent l="0" t="0" r="0" b="0"/>
            <wp:docPr id="18" name="Object 1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B5EF729" w14:textId="77777777" w:rsidR="00E44071" w:rsidRPr="00BD4638" w:rsidRDefault="00E44071" w:rsidP="00C027E6">
      <w:pPr>
        <w:pStyle w:val="BodyTextIndent"/>
        <w:ind w:left="0"/>
        <w:rPr>
          <w:rFonts w:ascii="Cambria" w:hAnsi="Cambria" w:cstheme="majorHAnsi"/>
          <w:sz w:val="28"/>
          <w:szCs w:val="28"/>
        </w:rPr>
      </w:pPr>
    </w:p>
    <w:p w14:paraId="153CC1D4"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Since this utility function increases at a decreasing rate, the decision maker will prefer a sure thing to a lottery with the same expected value.  Thus, this utility function corresponds to a risk-averse decision maker.</w:t>
      </w:r>
    </w:p>
    <w:p w14:paraId="56E4A500" w14:textId="77777777" w:rsidR="00E44071" w:rsidRPr="00BD4638" w:rsidRDefault="00E44071" w:rsidP="00C027E6">
      <w:pPr>
        <w:pStyle w:val="BodyTextIndent"/>
        <w:ind w:left="0"/>
        <w:rPr>
          <w:rFonts w:ascii="Cambria" w:hAnsi="Cambria" w:cstheme="majorHAnsi"/>
          <w:sz w:val="28"/>
          <w:szCs w:val="28"/>
        </w:rPr>
      </w:pPr>
    </w:p>
    <w:p w14:paraId="1C9AD9AD" w14:textId="77777777" w:rsidR="00E44071" w:rsidRPr="00BD4638"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d)</w:t>
      </w:r>
    </w:p>
    <w:p w14:paraId="7B9D922B" w14:textId="77777777" w:rsidR="00E44071" w:rsidRPr="00BD4638" w:rsidRDefault="008B0007" w:rsidP="00C027E6">
      <w:pPr>
        <w:pStyle w:val="BodyTextIndent"/>
        <w:ind w:left="0"/>
        <w:rPr>
          <w:rFonts w:ascii="Cambria" w:hAnsi="Cambria" w:cstheme="majorHAnsi"/>
          <w:sz w:val="28"/>
          <w:szCs w:val="28"/>
        </w:rPr>
      </w:pPr>
      <w:r w:rsidRPr="00BD4638">
        <w:rPr>
          <w:rFonts w:ascii="Cambria" w:hAnsi="Cambria" w:cstheme="majorHAnsi"/>
          <w:noProof/>
          <w:sz w:val="28"/>
          <w:szCs w:val="28"/>
        </w:rPr>
        <w:drawing>
          <wp:inline distT="0" distB="0" distL="0" distR="0" wp14:anchorId="09CCE219" wp14:editId="140A99E6">
            <wp:extent cx="4513580" cy="2560320"/>
            <wp:effectExtent l="0" t="0" r="0" b="0"/>
            <wp:docPr id="19" name="Object 1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6FD7108" w14:textId="77777777" w:rsidR="00E44071" w:rsidRPr="00BD4638" w:rsidRDefault="00E44071" w:rsidP="00C027E6">
      <w:pPr>
        <w:pStyle w:val="BodyTextIndent"/>
        <w:ind w:left="0"/>
        <w:rPr>
          <w:rFonts w:ascii="Cambria" w:hAnsi="Cambria" w:cstheme="majorHAnsi"/>
          <w:sz w:val="28"/>
          <w:szCs w:val="28"/>
        </w:rPr>
      </w:pPr>
    </w:p>
    <w:p w14:paraId="23E63206"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Since this utility function increases at a constant rate, the decision maker will be indifferent between a sure thing and a lottery with the same expected value.  Thus, this utility function corresponds to a risk-neutral decision maker.</w:t>
      </w:r>
    </w:p>
    <w:p w14:paraId="5119DC28" w14:textId="77777777" w:rsidR="00E44071" w:rsidRPr="00BD4638" w:rsidRDefault="00E44071" w:rsidP="00C027E6">
      <w:pPr>
        <w:pStyle w:val="BodyTextIndent"/>
        <w:ind w:left="0"/>
        <w:rPr>
          <w:rFonts w:ascii="Cambria" w:hAnsi="Cambria" w:cstheme="majorHAnsi"/>
          <w:sz w:val="28"/>
          <w:szCs w:val="28"/>
        </w:rPr>
      </w:pPr>
    </w:p>
    <w:p w14:paraId="3488BC84" w14:textId="77777777" w:rsidR="0041148B" w:rsidRPr="00BD4638" w:rsidRDefault="0031436B"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14</w:t>
      </w:r>
      <w:r w:rsidR="0041148B" w:rsidRPr="00BD4638">
        <w:rPr>
          <w:rFonts w:ascii="Cambria" w:hAnsi="Cambria" w:cstheme="majorHAnsi"/>
          <w:b/>
          <w:bCs/>
          <w:sz w:val="28"/>
          <w:szCs w:val="28"/>
        </w:rPr>
        <w:t xml:space="preserve">. </w:t>
      </w:r>
      <w:r w:rsidR="0041148B" w:rsidRPr="00BD4638">
        <w:rPr>
          <w:rFonts w:ascii="Cambria" w:hAnsi="Cambria" w:cstheme="majorHAnsi"/>
          <w:b/>
          <w:sz w:val="28"/>
          <w:szCs w:val="28"/>
        </w:rPr>
        <w:t>Suppose that your utility function is U = √ I. Compute the risk premium of the lotter</w:t>
      </w:r>
      <w:r w:rsidR="00BD4638" w:rsidRPr="00BD4638">
        <w:rPr>
          <w:rFonts w:ascii="Cambria" w:hAnsi="Cambria" w:cstheme="majorHAnsi"/>
          <w:b/>
          <w:sz w:val="28"/>
          <w:szCs w:val="28"/>
        </w:rPr>
        <w:t>y</w:t>
      </w:r>
      <w:r w:rsidR="0041148B" w:rsidRPr="00BD4638">
        <w:rPr>
          <w:rFonts w:ascii="Cambria" w:hAnsi="Cambria" w:cstheme="majorHAnsi"/>
          <w:b/>
          <w:sz w:val="28"/>
          <w:szCs w:val="28"/>
        </w:rPr>
        <w:t xml:space="preserve"> </w:t>
      </w:r>
      <w:r w:rsidR="00BD4638" w:rsidRPr="00BD4638">
        <w:rPr>
          <w:rFonts w:ascii="Cambria" w:hAnsi="Cambria" w:cstheme="majorHAnsi"/>
          <w:sz w:val="28"/>
          <w:szCs w:val="28"/>
        </w:rPr>
        <w:t>where there is a 0.90 chance that you receive a payoff of $0 and a 0.10 chance that you receive a payoff of $400.</w:t>
      </w:r>
    </w:p>
    <w:p w14:paraId="7CB4EDF0" w14:textId="77777777" w:rsidR="0041148B" w:rsidRPr="00BD4638" w:rsidRDefault="0041148B" w:rsidP="00C027E6">
      <w:pPr>
        <w:pStyle w:val="Question"/>
        <w:spacing w:before="0" w:after="0"/>
        <w:ind w:left="0" w:firstLine="0"/>
        <w:rPr>
          <w:rFonts w:ascii="Cambria" w:hAnsi="Cambria" w:cstheme="majorHAnsi"/>
          <w:sz w:val="28"/>
          <w:szCs w:val="28"/>
        </w:rPr>
      </w:pPr>
    </w:p>
    <w:p w14:paraId="44191629" w14:textId="77777777" w:rsidR="00E44071" w:rsidRPr="00BD4638" w:rsidRDefault="00E44071"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t xml:space="preserve">If your utility function were </w:t>
      </w:r>
      <w:r w:rsidRPr="00BD4638">
        <w:rPr>
          <w:rFonts w:ascii="Cambria" w:hAnsi="Cambria" w:cstheme="majorHAnsi"/>
          <w:position w:val="-6"/>
          <w:sz w:val="28"/>
          <w:szCs w:val="28"/>
        </w:rPr>
        <w:object w:dxaOrig="800" w:dyaOrig="340" w14:anchorId="75BEC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0.1pt;height:17pt" o:ole="">
            <v:imagedata r:id="rId12" o:title=""/>
          </v:shape>
          <o:OLEObject Type="Embed" ProgID="Equation.DSMT4" ShapeID="_x0000_i1027" DrawAspect="Content" ObjectID="_1643846321" r:id="rId13"/>
        </w:object>
      </w:r>
      <w:r w:rsidRPr="00BD4638">
        <w:rPr>
          <w:rFonts w:ascii="Cambria" w:hAnsi="Cambria" w:cstheme="majorHAnsi"/>
          <w:sz w:val="28"/>
          <w:szCs w:val="28"/>
        </w:rPr>
        <w:t xml:space="preserve">, then the risk premium associated with Lottery </w:t>
      </w:r>
      <w:r w:rsidRPr="00BD4638">
        <w:rPr>
          <w:rFonts w:ascii="Cambria" w:hAnsi="Cambria" w:cstheme="majorHAnsi"/>
          <w:i/>
          <w:sz w:val="28"/>
          <w:szCs w:val="28"/>
        </w:rPr>
        <w:t xml:space="preserve">A </w:t>
      </w:r>
      <w:r w:rsidRPr="00BD4638">
        <w:rPr>
          <w:rFonts w:ascii="Cambria" w:hAnsi="Cambria" w:cstheme="majorHAnsi"/>
          <w:sz w:val="28"/>
          <w:szCs w:val="28"/>
        </w:rPr>
        <w:t>would be</w:t>
      </w:r>
    </w:p>
    <w:p w14:paraId="1173F40C" w14:textId="77777777" w:rsidR="00E44071" w:rsidRPr="00BD4638" w:rsidRDefault="00E44071" w:rsidP="00C027E6">
      <w:pPr>
        <w:pStyle w:val="MTDisplayEquation"/>
        <w:ind w:left="0"/>
        <w:rPr>
          <w:rFonts w:ascii="Cambria" w:hAnsi="Cambria" w:cstheme="majorHAnsi"/>
          <w:sz w:val="28"/>
          <w:szCs w:val="28"/>
        </w:rPr>
      </w:pPr>
      <w:r w:rsidRPr="00BD4638">
        <w:rPr>
          <w:rFonts w:ascii="Cambria" w:hAnsi="Cambria" w:cstheme="majorHAnsi"/>
          <w:sz w:val="28"/>
          <w:szCs w:val="28"/>
        </w:rPr>
        <w:lastRenderedPageBreak/>
        <w:tab/>
      </w:r>
      <w:r w:rsidRPr="00BD4638">
        <w:rPr>
          <w:rFonts w:ascii="Cambria" w:hAnsi="Cambria" w:cstheme="majorHAnsi"/>
          <w:position w:val="-72"/>
          <w:sz w:val="28"/>
          <w:szCs w:val="28"/>
        </w:rPr>
        <w:object w:dxaOrig="3220" w:dyaOrig="1560" w14:anchorId="32891CB1">
          <v:shape id="_x0000_i1028" type="#_x0000_t75" style="width:161.65pt;height:77.45pt" o:ole="">
            <v:imagedata r:id="rId14" o:title=""/>
          </v:shape>
          <o:OLEObject Type="Embed" ProgID="Equation.DSMT4" ShapeID="_x0000_i1028" DrawAspect="Content" ObjectID="_1643846322" r:id="rId15"/>
        </w:object>
      </w:r>
    </w:p>
    <w:p w14:paraId="1DC23EF8" w14:textId="77777777" w:rsidR="00451F6F" w:rsidRDefault="00451F6F" w:rsidP="00C027E6">
      <w:pPr>
        <w:autoSpaceDE w:val="0"/>
        <w:autoSpaceDN w:val="0"/>
        <w:adjustRightInd w:val="0"/>
        <w:rPr>
          <w:rFonts w:ascii="Cambria" w:hAnsi="Cambria" w:cstheme="majorHAnsi"/>
          <w:b/>
          <w:bCs/>
          <w:sz w:val="28"/>
          <w:szCs w:val="28"/>
        </w:rPr>
      </w:pPr>
    </w:p>
    <w:p w14:paraId="1F53B162" w14:textId="301E8432" w:rsidR="00342B5C" w:rsidRPr="00BD4638" w:rsidRDefault="0031436B"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17</w:t>
      </w:r>
      <w:r w:rsidR="00342B5C" w:rsidRPr="00BD4638">
        <w:rPr>
          <w:rFonts w:ascii="Cambria" w:hAnsi="Cambria" w:cstheme="majorHAnsi"/>
          <w:b/>
          <w:bCs/>
          <w:sz w:val="28"/>
          <w:szCs w:val="28"/>
        </w:rPr>
        <w:t xml:space="preserve">. </w:t>
      </w:r>
      <w:r w:rsidR="00342B5C" w:rsidRPr="00BD4638">
        <w:rPr>
          <w:rFonts w:ascii="Cambria" w:hAnsi="Cambria" w:cstheme="majorHAnsi"/>
          <w:b/>
          <w:sz w:val="28"/>
          <w:szCs w:val="28"/>
        </w:rPr>
        <w:t>Consider a household that possesses $100,000 worth of valuables (computers, stereo equipment, jewelry, and so forth). This household faces a 0.10 probability of a burglary. If a burglary were to occur, the household would have to spend $20,000 to replace the stolen items. Suppose it can buy an insurance policy for $500 that would fully reimburse it for the amount of the loss.</w:t>
      </w:r>
    </w:p>
    <w:p w14:paraId="68C8ADFA"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 xml:space="preserve">a) Should the household buy this insurance policy? </w:t>
      </w:r>
    </w:p>
    <w:p w14:paraId="75C7448E"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c) What is the most the household would be willing to pay for this insurance policy? How does your answer relate to the concept of risk premium discussed in the text?</w:t>
      </w:r>
    </w:p>
    <w:p w14:paraId="789DFBA3" w14:textId="77777777" w:rsidR="00342B5C" w:rsidRPr="00BD4638" w:rsidRDefault="00342B5C" w:rsidP="00C027E6">
      <w:pPr>
        <w:pStyle w:val="Question"/>
        <w:tabs>
          <w:tab w:val="left" w:pos="720"/>
        </w:tabs>
        <w:spacing w:before="0" w:after="0"/>
        <w:ind w:left="0" w:firstLine="0"/>
        <w:rPr>
          <w:rFonts w:ascii="Cambria" w:hAnsi="Cambria" w:cstheme="majorHAnsi"/>
          <w:sz w:val="28"/>
          <w:szCs w:val="28"/>
        </w:rPr>
      </w:pPr>
    </w:p>
    <w:p w14:paraId="5FCB8663" w14:textId="77777777" w:rsidR="00E44071" w:rsidRPr="00BD4638" w:rsidRDefault="00E44071" w:rsidP="00C027E6">
      <w:pPr>
        <w:pStyle w:val="Question"/>
        <w:tabs>
          <w:tab w:val="left" w:pos="720"/>
        </w:tabs>
        <w:spacing w:before="0" w:after="0"/>
        <w:ind w:left="0" w:firstLine="0"/>
        <w:rPr>
          <w:rFonts w:ascii="Cambria" w:hAnsi="Cambria" w:cstheme="majorHAnsi"/>
          <w:sz w:val="28"/>
          <w:szCs w:val="28"/>
        </w:rPr>
      </w:pPr>
      <w:r w:rsidRPr="00BD4638">
        <w:rPr>
          <w:rFonts w:ascii="Cambria" w:hAnsi="Cambria" w:cstheme="majorHAnsi"/>
          <w:sz w:val="28"/>
          <w:szCs w:val="28"/>
        </w:rPr>
        <w:t>a)</w:t>
      </w:r>
      <w:r w:rsidR="00342B5C" w:rsidRPr="00BD4638">
        <w:rPr>
          <w:rFonts w:ascii="Cambria" w:hAnsi="Cambria" w:cstheme="majorHAnsi"/>
          <w:sz w:val="28"/>
          <w:szCs w:val="28"/>
        </w:rPr>
        <w:t xml:space="preserve">  </w:t>
      </w:r>
      <w:r w:rsidR="002E5BDB" w:rsidRPr="00BD4638">
        <w:rPr>
          <w:rFonts w:ascii="Cambria" w:hAnsi="Cambria" w:cstheme="majorHAnsi"/>
          <w:sz w:val="28"/>
          <w:szCs w:val="28"/>
        </w:rPr>
        <w:t>I</w:t>
      </w:r>
      <w:r w:rsidRPr="00BD4638">
        <w:rPr>
          <w:rFonts w:ascii="Cambria" w:hAnsi="Cambria" w:cstheme="majorHAnsi"/>
          <w:sz w:val="28"/>
          <w:szCs w:val="28"/>
        </w:rPr>
        <w:t>f you remain uninsured, you face a lottery in which you have 10% chance of $80,000 in valuables and a 90% chance of $100,000 in valuables.  The expected value of valuables is thus $98,000.</w:t>
      </w:r>
    </w:p>
    <w:p w14:paraId="1DEF6CA4"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 xml:space="preserve">If you purchase the insurance policy for $500, then with no burglary you have </w:t>
      </w:r>
      <w:r w:rsidRPr="00BD4638">
        <w:rPr>
          <w:rFonts w:ascii="Cambria" w:hAnsi="Cambria" w:cstheme="majorHAnsi"/>
          <w:position w:val="-10"/>
          <w:sz w:val="28"/>
          <w:szCs w:val="28"/>
        </w:rPr>
        <w:object w:dxaOrig="2439" w:dyaOrig="320" w14:anchorId="511E768F">
          <v:shape id="_x0000_i1029" type="#_x0000_t75" style="width:122.25pt;height:16.3pt" o:ole="">
            <v:imagedata r:id="rId16" o:title=""/>
          </v:shape>
          <o:OLEObject Type="Embed" ProgID="Equation.DSMT4" ShapeID="_x0000_i1029" DrawAspect="Content" ObjectID="_1643846323" r:id="rId17"/>
        </w:object>
      </w:r>
      <w:r w:rsidRPr="00BD4638">
        <w:rPr>
          <w:rFonts w:ascii="Cambria" w:hAnsi="Cambria" w:cstheme="majorHAnsi"/>
          <w:sz w:val="28"/>
          <w:szCs w:val="28"/>
        </w:rPr>
        <w:t xml:space="preserve"> and with a burglary you have </w:t>
      </w:r>
      <w:r w:rsidRPr="00BD4638">
        <w:rPr>
          <w:rFonts w:ascii="Cambria" w:hAnsi="Cambria" w:cstheme="majorHAnsi"/>
          <w:position w:val="-10"/>
          <w:sz w:val="28"/>
          <w:szCs w:val="28"/>
        </w:rPr>
        <w:object w:dxaOrig="4239" w:dyaOrig="320" w14:anchorId="18B73800">
          <v:shape id="_x0000_i1030" type="#_x0000_t75" style="width:211.9pt;height:16.3pt" o:ole="">
            <v:imagedata r:id="rId18" o:title=""/>
          </v:shape>
          <o:OLEObject Type="Embed" ProgID="Equation.DSMT4" ShapeID="_x0000_i1030" DrawAspect="Content" ObjectID="_1643846324" r:id="rId19"/>
        </w:object>
      </w:r>
      <w:r w:rsidRPr="00BD4638">
        <w:rPr>
          <w:rFonts w:ascii="Cambria" w:hAnsi="Cambria" w:cstheme="majorHAnsi"/>
          <w:sz w:val="28"/>
          <w:szCs w:val="28"/>
        </w:rPr>
        <w:t>.  The expected value if you purchase the policy is therefore $99,500.  Since the expected value at year end with insurance exceeds the expected value at year end without insurance, you should purchase the insurance policy for $500.</w:t>
      </w:r>
    </w:p>
    <w:p w14:paraId="05279FE8" w14:textId="77777777" w:rsidR="00E44071" w:rsidRPr="00BD4638" w:rsidRDefault="00E44071" w:rsidP="00C027E6">
      <w:pPr>
        <w:pStyle w:val="BodyTextIndent"/>
        <w:ind w:left="0"/>
        <w:rPr>
          <w:rFonts w:ascii="Cambria" w:hAnsi="Cambria" w:cstheme="majorHAnsi"/>
          <w:sz w:val="28"/>
          <w:szCs w:val="28"/>
        </w:rPr>
      </w:pPr>
    </w:p>
    <w:p w14:paraId="5C2E2FF7" w14:textId="77777777" w:rsidR="00E44071" w:rsidRPr="00BD4638"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c)</w:t>
      </w:r>
      <w:r w:rsidR="00342B5C" w:rsidRPr="00BD4638">
        <w:rPr>
          <w:rFonts w:ascii="Cambria" w:hAnsi="Cambria" w:cstheme="majorHAnsi"/>
          <w:sz w:val="28"/>
          <w:szCs w:val="28"/>
        </w:rPr>
        <w:t xml:space="preserve">  </w:t>
      </w:r>
      <w:r w:rsidRPr="00BD4638">
        <w:rPr>
          <w:rFonts w:ascii="Cambria" w:hAnsi="Cambria" w:cstheme="majorHAnsi"/>
          <w:sz w:val="28"/>
          <w:szCs w:val="28"/>
        </w:rPr>
        <w:t>Since without the policy you would have an expected value $2,000 less than the value of the valuables, the most you would be willing to pay for an insurance policy that fully reimburses for loss is $2,000.</w:t>
      </w:r>
    </w:p>
    <w:p w14:paraId="70A458F0" w14:textId="77777777" w:rsidR="0041148B" w:rsidRPr="00BD4638" w:rsidRDefault="0041148B" w:rsidP="00C027E6">
      <w:pPr>
        <w:pStyle w:val="Question"/>
        <w:spacing w:before="0" w:after="0"/>
        <w:ind w:left="0" w:firstLine="0"/>
        <w:rPr>
          <w:rFonts w:ascii="Cambria" w:hAnsi="Cambria" w:cstheme="majorHAnsi"/>
          <w:sz w:val="28"/>
          <w:szCs w:val="28"/>
        </w:rPr>
      </w:pPr>
    </w:p>
    <w:p w14:paraId="6BF4D443"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 xml:space="preserve">19. </w:t>
      </w:r>
      <w:r w:rsidRPr="00BD4638">
        <w:rPr>
          <w:rFonts w:ascii="Cambria" w:hAnsi="Cambria" w:cstheme="majorHAnsi"/>
          <w:b/>
          <w:sz w:val="28"/>
          <w:szCs w:val="28"/>
        </w:rPr>
        <w:t xml:space="preserve">You are a relatively safe driver. The probability that you will have an accident is only 1 percent. If you do have an accident, the cost of repairs and alternative transportation would reduce your disposable income from $120,000 to $60,000. Auto collision insurance that will fully insure you against your loss is being sold at a price of $0.10 for every $1 of coverage. Finally, suppose that your utility function is </w:t>
      </w:r>
      <w:r w:rsidRPr="00BD4638">
        <w:rPr>
          <w:rFonts w:ascii="Cambria" w:hAnsi="Cambria" w:cstheme="majorHAnsi"/>
          <w:b/>
          <w:i/>
          <w:iCs/>
          <w:sz w:val="28"/>
          <w:szCs w:val="28"/>
        </w:rPr>
        <w:t xml:space="preserve">U </w:t>
      </w:r>
      <w:r w:rsidRPr="00BD4638">
        <w:rPr>
          <w:rFonts w:ascii="Cambria" w:hAnsi="Cambria" w:cstheme="majorHAnsi"/>
          <w:b/>
          <w:sz w:val="28"/>
          <w:szCs w:val="28"/>
        </w:rPr>
        <w:t>= √</w:t>
      </w:r>
      <w:r w:rsidRPr="00BD4638">
        <w:rPr>
          <w:rFonts w:ascii="Cambria" w:hAnsi="Cambria" w:cstheme="majorHAnsi"/>
          <w:b/>
          <w:i/>
          <w:iCs/>
          <w:sz w:val="28"/>
          <w:szCs w:val="28"/>
        </w:rPr>
        <w:t>I</w:t>
      </w:r>
      <w:r w:rsidRPr="00BD4638">
        <w:rPr>
          <w:rFonts w:ascii="Cambria" w:hAnsi="Cambria" w:cstheme="majorHAnsi"/>
          <w:b/>
          <w:sz w:val="28"/>
          <w:szCs w:val="28"/>
        </w:rPr>
        <w:t>.</w:t>
      </w:r>
    </w:p>
    <w:p w14:paraId="2A800FE4"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You are considering two alternatives: buying a policy with a $1,000 deductible that essentially provides just $59,000 worth of coverage, or buying a policy that fully insures you against damage. The price of the first policy is $5,900. The price of the second policy is $6,000. Which policy do you prefer?</w:t>
      </w:r>
    </w:p>
    <w:p w14:paraId="0DEE79EB" w14:textId="77777777" w:rsidR="00342B5C" w:rsidRPr="00BD4638" w:rsidRDefault="00342B5C" w:rsidP="00C027E6">
      <w:pPr>
        <w:pStyle w:val="Question"/>
        <w:spacing w:before="0" w:after="0"/>
        <w:ind w:left="0" w:firstLine="0"/>
        <w:rPr>
          <w:rFonts w:ascii="Cambria" w:hAnsi="Cambria" w:cstheme="majorHAnsi"/>
          <w:sz w:val="28"/>
          <w:szCs w:val="28"/>
        </w:rPr>
      </w:pPr>
    </w:p>
    <w:p w14:paraId="10C7E8EB" w14:textId="77777777" w:rsidR="002C796D" w:rsidRPr="00BD4638" w:rsidRDefault="002C796D"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t xml:space="preserve">Your expected utility if you buy the </w:t>
      </w:r>
      <w:r w:rsidR="007C4B9A" w:rsidRPr="00BD4638">
        <w:rPr>
          <w:rFonts w:ascii="Cambria" w:hAnsi="Cambria" w:cstheme="majorHAnsi"/>
          <w:sz w:val="28"/>
          <w:szCs w:val="28"/>
        </w:rPr>
        <w:t xml:space="preserve">first </w:t>
      </w:r>
      <w:r w:rsidRPr="00BD4638">
        <w:rPr>
          <w:rFonts w:ascii="Cambria" w:hAnsi="Cambria" w:cstheme="majorHAnsi"/>
          <w:sz w:val="28"/>
          <w:szCs w:val="28"/>
        </w:rPr>
        <w:t xml:space="preserve">policy is </w:t>
      </w:r>
    </w:p>
    <w:p w14:paraId="603F29DB" w14:textId="77777777" w:rsidR="002C796D" w:rsidRPr="00BD4638" w:rsidRDefault="007C4B9A" w:rsidP="00C027E6">
      <w:pPr>
        <w:jc w:val="center"/>
        <w:rPr>
          <w:rFonts w:ascii="Cambria" w:hAnsi="Cambria" w:cstheme="majorHAnsi"/>
          <w:sz w:val="28"/>
          <w:szCs w:val="28"/>
        </w:rPr>
      </w:pPr>
      <w:r w:rsidRPr="00BD4638">
        <w:rPr>
          <w:rFonts w:ascii="Cambria" w:hAnsi="Cambria" w:cstheme="majorHAnsi"/>
          <w:position w:val="-12"/>
          <w:sz w:val="28"/>
          <w:szCs w:val="28"/>
        </w:rPr>
        <w:object w:dxaOrig="6960" w:dyaOrig="400" w14:anchorId="47EC08A1">
          <v:shape id="_x0000_i1031" type="#_x0000_t75" style="width:347.75pt;height:20.4pt" o:ole="">
            <v:imagedata r:id="rId20" o:title=""/>
          </v:shape>
          <o:OLEObject Type="Embed" ProgID="Equation.3" ShapeID="_x0000_i1031" DrawAspect="Content" ObjectID="_1643846325" r:id="rId21"/>
        </w:object>
      </w:r>
      <w:r w:rsidR="002C796D" w:rsidRPr="00BD4638">
        <w:rPr>
          <w:rFonts w:ascii="Cambria" w:hAnsi="Cambria" w:cstheme="majorHAnsi"/>
          <w:sz w:val="28"/>
          <w:szCs w:val="28"/>
        </w:rPr>
        <w:t>.</w:t>
      </w:r>
    </w:p>
    <w:p w14:paraId="72359005" w14:textId="77777777" w:rsidR="002C796D" w:rsidRPr="00BD4638" w:rsidRDefault="002C796D"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If you buy </w:t>
      </w:r>
      <w:r w:rsidR="007C4B9A" w:rsidRPr="00BD4638">
        <w:rPr>
          <w:rFonts w:ascii="Cambria" w:hAnsi="Cambria" w:cstheme="majorHAnsi"/>
          <w:sz w:val="28"/>
          <w:szCs w:val="28"/>
        </w:rPr>
        <w:t>the second policy</w:t>
      </w:r>
      <w:r w:rsidRPr="00BD4638">
        <w:rPr>
          <w:rFonts w:ascii="Cambria" w:hAnsi="Cambria" w:cstheme="majorHAnsi"/>
          <w:sz w:val="28"/>
          <w:szCs w:val="28"/>
        </w:rPr>
        <w:t>, your expected utility is</w:t>
      </w:r>
    </w:p>
    <w:p w14:paraId="0BE30B60" w14:textId="77777777" w:rsidR="002C796D" w:rsidRPr="00BD4638" w:rsidRDefault="007C4B9A"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12"/>
          <w:sz w:val="28"/>
          <w:szCs w:val="28"/>
        </w:rPr>
        <w:object w:dxaOrig="6960" w:dyaOrig="400" w14:anchorId="4513DDE8">
          <v:shape id="_x0000_i1032" type="#_x0000_t75" style="width:347.75pt;height:20.4pt" o:ole="">
            <v:imagedata r:id="rId22" o:title=""/>
          </v:shape>
          <o:OLEObject Type="Embed" ProgID="Equation.3" ShapeID="_x0000_i1032" DrawAspect="Content" ObjectID="_1643846326" r:id="rId23"/>
        </w:object>
      </w:r>
    </w:p>
    <w:p w14:paraId="20382995" w14:textId="77777777" w:rsidR="002C796D" w:rsidRPr="00BD4638" w:rsidRDefault="002C796D"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Your expected utility is higher when you buy the </w:t>
      </w:r>
      <w:r w:rsidR="007C4B9A" w:rsidRPr="00BD4638">
        <w:rPr>
          <w:rFonts w:ascii="Cambria" w:hAnsi="Cambria" w:cstheme="majorHAnsi"/>
          <w:sz w:val="28"/>
          <w:szCs w:val="28"/>
        </w:rPr>
        <w:t xml:space="preserve">first </w:t>
      </w:r>
      <w:r w:rsidRPr="00BD4638">
        <w:rPr>
          <w:rFonts w:ascii="Cambria" w:hAnsi="Cambria" w:cstheme="majorHAnsi"/>
          <w:sz w:val="28"/>
          <w:szCs w:val="28"/>
        </w:rPr>
        <w:t>policy.</w:t>
      </w:r>
    </w:p>
    <w:p w14:paraId="080A7105" w14:textId="77777777" w:rsidR="00BB4588" w:rsidRPr="00BD4638" w:rsidRDefault="00BB4588" w:rsidP="00C027E6">
      <w:pPr>
        <w:pStyle w:val="BodyTextIndent"/>
        <w:ind w:left="0"/>
        <w:rPr>
          <w:rFonts w:ascii="Cambria" w:hAnsi="Cambria" w:cstheme="majorHAnsi"/>
          <w:sz w:val="28"/>
          <w:szCs w:val="28"/>
        </w:rPr>
      </w:pPr>
    </w:p>
    <w:p w14:paraId="139E8D1C"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lastRenderedPageBreak/>
        <w:t xml:space="preserve">20. </w:t>
      </w:r>
      <w:r w:rsidRPr="00BD4638">
        <w:rPr>
          <w:rFonts w:ascii="Cambria" w:hAnsi="Cambria" w:cstheme="majorHAnsi"/>
          <w:b/>
          <w:sz w:val="28"/>
          <w:szCs w:val="28"/>
        </w:rPr>
        <w:t xml:space="preserve">Consider a market of risk-averse decision makers, each with a utility function </w:t>
      </w:r>
      <w:r w:rsidRPr="00BD4638">
        <w:rPr>
          <w:rFonts w:ascii="Cambria" w:hAnsi="Cambria" w:cstheme="majorHAnsi"/>
          <w:b/>
          <w:i/>
          <w:iCs/>
          <w:sz w:val="28"/>
          <w:szCs w:val="28"/>
        </w:rPr>
        <w:t xml:space="preserve">U </w:t>
      </w:r>
      <w:r w:rsidRPr="00BD4638">
        <w:rPr>
          <w:rFonts w:ascii="Cambria" w:hAnsi="Cambria" w:cstheme="majorHAnsi"/>
          <w:b/>
          <w:sz w:val="28"/>
          <w:szCs w:val="28"/>
        </w:rPr>
        <w:t>= √</w:t>
      </w:r>
      <w:r w:rsidRPr="00BD4638">
        <w:rPr>
          <w:rFonts w:ascii="Cambria" w:hAnsi="Cambria" w:cstheme="majorHAnsi"/>
          <w:b/>
          <w:i/>
          <w:iCs/>
          <w:sz w:val="28"/>
          <w:szCs w:val="28"/>
        </w:rPr>
        <w:t>I</w:t>
      </w:r>
      <w:r w:rsidRPr="00BD4638">
        <w:rPr>
          <w:rFonts w:ascii="Cambria" w:hAnsi="Cambria" w:cstheme="majorHAnsi"/>
          <w:b/>
          <w:sz w:val="28"/>
          <w:szCs w:val="28"/>
        </w:rPr>
        <w:t xml:space="preserve">. Each decision maker has an income of $90,000, but faces the possibility of a catastrophic loss of $50,000 in income. Each decision maker can purchase an insurance policy that fully compensates her for her loss. This insurance policy has a cost of $5,900. Suppose each decision maker potentially has a different probability </w:t>
      </w:r>
      <w:r w:rsidRPr="00BD4638">
        <w:rPr>
          <w:rFonts w:ascii="Cambria" w:hAnsi="Cambria" w:cstheme="majorHAnsi"/>
          <w:b/>
          <w:i/>
          <w:iCs/>
          <w:sz w:val="28"/>
          <w:szCs w:val="28"/>
        </w:rPr>
        <w:t xml:space="preserve">q </w:t>
      </w:r>
      <w:r w:rsidRPr="00BD4638">
        <w:rPr>
          <w:rFonts w:ascii="Cambria" w:hAnsi="Cambria" w:cstheme="majorHAnsi"/>
          <w:b/>
          <w:sz w:val="28"/>
          <w:szCs w:val="28"/>
        </w:rPr>
        <w:t>of experiencing the loss.</w:t>
      </w:r>
    </w:p>
    <w:p w14:paraId="449818CE"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 xml:space="preserve">a) What is the smallest value of </w:t>
      </w:r>
      <w:r w:rsidRPr="00BD4638">
        <w:rPr>
          <w:rFonts w:ascii="Cambria" w:hAnsi="Cambria" w:cstheme="majorHAnsi"/>
          <w:b/>
          <w:i/>
          <w:iCs/>
          <w:sz w:val="28"/>
          <w:szCs w:val="28"/>
        </w:rPr>
        <w:t xml:space="preserve">q </w:t>
      </w:r>
      <w:r w:rsidRPr="00BD4638">
        <w:rPr>
          <w:rFonts w:ascii="Cambria" w:hAnsi="Cambria" w:cstheme="majorHAnsi"/>
          <w:b/>
          <w:sz w:val="28"/>
          <w:szCs w:val="28"/>
        </w:rPr>
        <w:t>so that a decision maker purchases insurance?</w:t>
      </w:r>
    </w:p>
    <w:p w14:paraId="19FC6211" w14:textId="77777777" w:rsidR="00342B5C" w:rsidRPr="00BD4638" w:rsidRDefault="00342B5C" w:rsidP="00C027E6">
      <w:pPr>
        <w:pStyle w:val="Question"/>
        <w:spacing w:before="0" w:after="0"/>
        <w:ind w:left="0" w:firstLine="0"/>
        <w:rPr>
          <w:rFonts w:ascii="Cambria" w:hAnsi="Cambria" w:cstheme="majorHAnsi"/>
          <w:sz w:val="28"/>
          <w:szCs w:val="28"/>
        </w:rPr>
      </w:pPr>
    </w:p>
    <w:p w14:paraId="024AE7BE" w14:textId="77777777" w:rsidR="007C4B9A" w:rsidRPr="00BD4638" w:rsidRDefault="007C4B9A"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t xml:space="preserve">a) </w:t>
      </w:r>
      <w:r w:rsidRPr="00BD4638">
        <w:rPr>
          <w:rFonts w:ascii="Cambria" w:hAnsi="Cambria" w:cstheme="majorHAnsi"/>
          <w:sz w:val="28"/>
          <w:szCs w:val="28"/>
        </w:rPr>
        <w:tab/>
        <w:t>If an ind</w:t>
      </w:r>
      <w:r w:rsidR="007920E0" w:rsidRPr="00BD4638">
        <w:rPr>
          <w:rFonts w:ascii="Cambria" w:hAnsi="Cambria" w:cstheme="majorHAnsi"/>
          <w:sz w:val="28"/>
          <w:szCs w:val="28"/>
        </w:rPr>
        <w:t>ividual purchases insurance, her</w:t>
      </w:r>
      <w:r w:rsidRPr="00BD4638">
        <w:rPr>
          <w:rFonts w:ascii="Cambria" w:hAnsi="Cambria" w:cstheme="majorHAnsi"/>
          <w:sz w:val="28"/>
          <w:szCs w:val="28"/>
        </w:rPr>
        <w:t xml:space="preserve"> (certain) utility is </w:t>
      </w:r>
    </w:p>
    <w:p w14:paraId="0EA91508" w14:textId="77777777" w:rsidR="007C4B9A" w:rsidRPr="00BD4638" w:rsidRDefault="007C4B9A"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12"/>
          <w:sz w:val="28"/>
          <w:szCs w:val="28"/>
        </w:rPr>
        <w:object w:dxaOrig="2320" w:dyaOrig="400" w14:anchorId="2634E9D2">
          <v:shape id="_x0000_i1033" type="#_x0000_t75" style="width:115.45pt;height:20.4pt" o:ole="">
            <v:imagedata r:id="rId24" o:title=""/>
          </v:shape>
          <o:OLEObject Type="Embed" ProgID="Equation.3" ShapeID="_x0000_i1033" DrawAspect="Content" ObjectID="_1643846327" r:id="rId25"/>
        </w:object>
      </w:r>
    </w:p>
    <w:p w14:paraId="07987F72" w14:textId="77777777" w:rsidR="007C4B9A" w:rsidRPr="00BD4638" w:rsidRDefault="007C4B9A"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If an individual does not purchase insurance, </w:t>
      </w:r>
      <w:r w:rsidR="007920E0" w:rsidRPr="00BD4638">
        <w:rPr>
          <w:rFonts w:ascii="Cambria" w:hAnsi="Cambria" w:cstheme="majorHAnsi"/>
          <w:sz w:val="28"/>
          <w:szCs w:val="28"/>
        </w:rPr>
        <w:t>her</w:t>
      </w:r>
      <w:r w:rsidRPr="00BD4638">
        <w:rPr>
          <w:rFonts w:ascii="Cambria" w:hAnsi="Cambria" w:cstheme="majorHAnsi"/>
          <w:sz w:val="28"/>
          <w:szCs w:val="28"/>
        </w:rPr>
        <w:t xml:space="preserve"> expected utility is</w:t>
      </w:r>
    </w:p>
    <w:p w14:paraId="005DF0FD" w14:textId="77777777" w:rsidR="007C4B9A" w:rsidRPr="00BD4638" w:rsidRDefault="007920E0"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32"/>
          <w:sz w:val="28"/>
          <w:szCs w:val="28"/>
        </w:rPr>
        <w:object w:dxaOrig="3519" w:dyaOrig="760" w14:anchorId="56FADD47">
          <v:shape id="_x0000_i1034" type="#_x0000_t75" style="width:175.9pt;height:38.05pt" o:ole="">
            <v:imagedata r:id="rId26" o:title=""/>
          </v:shape>
          <o:OLEObject Type="Embed" ProgID="Equation.3" ShapeID="_x0000_i1034" DrawAspect="Content" ObjectID="_1643846328" r:id="rId27"/>
        </w:object>
      </w:r>
    </w:p>
    <w:p w14:paraId="2EF2D2B5" w14:textId="77777777" w:rsidR="007C4B9A" w:rsidRPr="00BD4638" w:rsidRDefault="007C4B9A"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An individual will purchase insurance if </w:t>
      </w:r>
    </w:p>
    <w:p w14:paraId="348A3775" w14:textId="77777777" w:rsidR="007C4B9A" w:rsidRPr="00BD4638" w:rsidRDefault="007920E0"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28"/>
          <w:sz w:val="28"/>
          <w:szCs w:val="28"/>
        </w:rPr>
        <w:object w:dxaOrig="2000" w:dyaOrig="680" w14:anchorId="7107CB46">
          <v:shape id="_x0000_i1035" type="#_x0000_t75" style="width:100.55pt;height:33.95pt" o:ole="">
            <v:imagedata r:id="rId28" o:title=""/>
          </v:shape>
          <o:OLEObject Type="Embed" ProgID="Equation.3" ShapeID="_x0000_i1035" DrawAspect="Content" ObjectID="_1643846329" r:id="rId29"/>
        </w:object>
      </w:r>
    </w:p>
    <w:p w14:paraId="4A4BBC19" w14:textId="4760D823" w:rsidR="00BB4588" w:rsidRPr="00BD4638" w:rsidRDefault="007C4B9A"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In other words, individuals that are 90 percent or more certain that they will not experience the loss will not purchase insurance.</w:t>
      </w:r>
    </w:p>
    <w:p w14:paraId="567BF7BA" w14:textId="77777777" w:rsidR="00BB4588" w:rsidRPr="00BD4638" w:rsidRDefault="00BB4588" w:rsidP="00C027E6">
      <w:pPr>
        <w:pStyle w:val="BodyTextIndent"/>
        <w:ind w:left="0"/>
        <w:rPr>
          <w:rFonts w:ascii="Cambria" w:hAnsi="Cambria" w:cstheme="majorHAnsi"/>
          <w:sz w:val="28"/>
          <w:szCs w:val="28"/>
        </w:rPr>
      </w:pPr>
    </w:p>
    <w:p w14:paraId="6CDB82F1" w14:textId="77777777" w:rsidR="00612741" w:rsidRPr="00BD4638" w:rsidRDefault="0031436B"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22</w:t>
      </w:r>
      <w:r w:rsidR="00612741" w:rsidRPr="00BD4638">
        <w:rPr>
          <w:rFonts w:ascii="Cambria" w:hAnsi="Cambria" w:cstheme="majorHAnsi"/>
          <w:b/>
          <w:bCs/>
          <w:sz w:val="28"/>
          <w:szCs w:val="28"/>
        </w:rPr>
        <w:t xml:space="preserve">. </w:t>
      </w:r>
      <w:r w:rsidR="00612741" w:rsidRPr="00BD4638">
        <w:rPr>
          <w:rFonts w:ascii="Cambria" w:hAnsi="Cambria" w:cstheme="majorHAnsi"/>
          <w:b/>
          <w:sz w:val="28"/>
          <w:szCs w:val="28"/>
        </w:rPr>
        <w:t>A small biotechnology company has developed a burn treatment that has commercial potential. The company has to decide whether to produce the new compound itself or sell the rights to the compound to a large drug company. The payoffs from each of these courses of action depend on whether the treatment is approved by the Food and Drug Administration (FDA), the regulatory body in the United States that approves all new drug treatments. (The FDA bases its decision on the outcome of tests of the drug’s effectiveness on human subjects.) The company must make its decision before the FDA decides. Here are the payoffs the drug company can expect to get under the two options it faces:</w:t>
      </w:r>
    </w:p>
    <w:p w14:paraId="3C3B58BA" w14:textId="77777777" w:rsidR="00612741" w:rsidRPr="00BD4638" w:rsidRDefault="008B0007" w:rsidP="00C027E6">
      <w:pPr>
        <w:rPr>
          <w:rFonts w:ascii="Cambria" w:hAnsi="Cambria" w:cstheme="majorHAnsi"/>
          <w:b/>
          <w:sz w:val="28"/>
          <w:szCs w:val="28"/>
        </w:rPr>
      </w:pPr>
      <w:r w:rsidRPr="00BD4638">
        <w:rPr>
          <w:rFonts w:ascii="Cambria" w:hAnsi="Cambria" w:cstheme="majorHAnsi"/>
          <w:b/>
          <w:noProof/>
          <w:sz w:val="28"/>
          <w:szCs w:val="28"/>
        </w:rPr>
        <w:drawing>
          <wp:inline distT="0" distB="0" distL="0" distR="0" wp14:anchorId="530E3E81" wp14:editId="6480C14A">
            <wp:extent cx="3379470" cy="14554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79470" cy="1455420"/>
                    </a:xfrm>
                    <a:prstGeom prst="rect">
                      <a:avLst/>
                    </a:prstGeom>
                    <a:noFill/>
                    <a:ln>
                      <a:noFill/>
                    </a:ln>
                  </pic:spPr>
                </pic:pic>
              </a:graphicData>
            </a:graphic>
          </wp:inline>
        </w:drawing>
      </w:r>
    </w:p>
    <w:p w14:paraId="4BC7B71A" w14:textId="77777777" w:rsidR="00612741" w:rsidRPr="00BD4638" w:rsidRDefault="00612741"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 xml:space="preserve">a) Draw a decision tree showing the decisions that the company can make and the payoffs from following those decisions. Carefully distinguish between chance nodes and decision nodes in the tree. </w:t>
      </w:r>
    </w:p>
    <w:p w14:paraId="65E267F5" w14:textId="77777777" w:rsidR="00BD4638" w:rsidRPr="00BD4638" w:rsidRDefault="00612741"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b) Assuming that the biotechnology company acts as a risk-neutral decision maker, what action should it choose? What is the expected payoff associated with this action?</w:t>
      </w:r>
    </w:p>
    <w:p w14:paraId="6D8F03C6" w14:textId="1DD35080" w:rsidR="00BD4638" w:rsidRPr="00BD4638" w:rsidRDefault="00BD4638"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 xml:space="preserve">c) </w:t>
      </w:r>
      <w:r w:rsidRPr="00BD4638">
        <w:rPr>
          <w:rFonts w:ascii="Cambria" w:hAnsi="Cambria"/>
          <w:b/>
          <w:sz w:val="28"/>
          <w:szCs w:val="28"/>
        </w:rPr>
        <w:t>Suppose that the biotech company can conduct its own test—at no cost—that will reveal whether the new drug will be approved by the FDA. What is the biotech company’s VPI?</w:t>
      </w:r>
    </w:p>
    <w:p w14:paraId="5DA3BCCE" w14:textId="77777777" w:rsidR="00BD4638" w:rsidRPr="00BD4638" w:rsidRDefault="00BD4638" w:rsidP="00C027E6">
      <w:pPr>
        <w:autoSpaceDE w:val="0"/>
        <w:autoSpaceDN w:val="0"/>
        <w:adjustRightInd w:val="0"/>
        <w:rPr>
          <w:rFonts w:ascii="Cambria" w:hAnsi="Cambria" w:cstheme="majorHAnsi"/>
          <w:b/>
          <w:sz w:val="28"/>
          <w:szCs w:val="28"/>
        </w:rPr>
      </w:pPr>
    </w:p>
    <w:p w14:paraId="6AD7CD01" w14:textId="77777777" w:rsidR="00612741" w:rsidRPr="00BD4638" w:rsidRDefault="00612741" w:rsidP="00C027E6">
      <w:pPr>
        <w:pStyle w:val="Question"/>
        <w:tabs>
          <w:tab w:val="left" w:pos="720"/>
          <w:tab w:val="left" w:pos="1440"/>
        </w:tabs>
        <w:spacing w:before="0" w:after="0"/>
        <w:ind w:left="0" w:firstLine="0"/>
        <w:rPr>
          <w:rFonts w:ascii="Cambria" w:hAnsi="Cambria" w:cstheme="majorHAnsi"/>
          <w:sz w:val="28"/>
          <w:szCs w:val="28"/>
        </w:rPr>
      </w:pPr>
    </w:p>
    <w:p w14:paraId="73E08A0F" w14:textId="77777777" w:rsidR="00E44071" w:rsidRPr="00BD4638" w:rsidRDefault="00E44071" w:rsidP="00C027E6">
      <w:pPr>
        <w:pStyle w:val="Question"/>
        <w:tabs>
          <w:tab w:val="left" w:pos="720"/>
          <w:tab w:val="left" w:pos="1440"/>
        </w:tabs>
        <w:spacing w:before="0" w:after="0"/>
        <w:ind w:left="0" w:firstLine="0"/>
        <w:rPr>
          <w:rFonts w:ascii="Cambria" w:hAnsi="Cambria" w:cstheme="majorHAnsi"/>
          <w:sz w:val="28"/>
          <w:szCs w:val="28"/>
        </w:rPr>
      </w:pPr>
      <w:r w:rsidRPr="00BD4638">
        <w:rPr>
          <w:rFonts w:ascii="Cambria" w:hAnsi="Cambria" w:cstheme="majorHAnsi"/>
          <w:sz w:val="28"/>
          <w:szCs w:val="28"/>
        </w:rPr>
        <w:lastRenderedPageBreak/>
        <w:t>a)</w:t>
      </w:r>
      <w:r w:rsidR="00BB4588" w:rsidRPr="00BD4638">
        <w:rPr>
          <w:rFonts w:ascii="Cambria" w:hAnsi="Cambria" w:cstheme="majorHAnsi"/>
          <w:sz w:val="28"/>
          <w:szCs w:val="28"/>
        </w:rPr>
        <w:tab/>
      </w:r>
      <w:r w:rsidR="00246D72" w:rsidRPr="00BD4638">
        <w:rPr>
          <w:rFonts w:ascii="Cambria" w:hAnsi="Cambria" w:cstheme="majorHAnsi"/>
          <w:i/>
          <w:sz w:val="28"/>
          <w:szCs w:val="28"/>
        </w:rPr>
        <w:t xml:space="preserve">A </w:t>
      </w:r>
      <w:r w:rsidR="00246D72" w:rsidRPr="00BD4638">
        <w:rPr>
          <w:rFonts w:ascii="Cambria" w:hAnsi="Cambria" w:cstheme="majorHAnsi"/>
          <w:sz w:val="28"/>
          <w:szCs w:val="28"/>
        </w:rPr>
        <w:t xml:space="preserve">is a decision node; </w:t>
      </w:r>
      <w:r w:rsidR="00246D72" w:rsidRPr="00BD4638">
        <w:rPr>
          <w:rFonts w:ascii="Cambria" w:hAnsi="Cambria" w:cstheme="majorHAnsi"/>
          <w:i/>
          <w:sz w:val="28"/>
          <w:szCs w:val="28"/>
        </w:rPr>
        <w:t xml:space="preserve">B </w:t>
      </w:r>
      <w:r w:rsidR="00246D72" w:rsidRPr="00BD4638">
        <w:rPr>
          <w:rFonts w:ascii="Cambria" w:hAnsi="Cambria" w:cstheme="majorHAnsi"/>
          <w:sz w:val="28"/>
          <w:szCs w:val="28"/>
        </w:rPr>
        <w:t xml:space="preserve">and </w:t>
      </w:r>
      <w:r w:rsidR="00246D72" w:rsidRPr="00BD4638">
        <w:rPr>
          <w:rFonts w:ascii="Cambria" w:hAnsi="Cambria" w:cstheme="majorHAnsi"/>
          <w:i/>
          <w:sz w:val="28"/>
          <w:szCs w:val="28"/>
        </w:rPr>
        <w:t xml:space="preserve">C </w:t>
      </w:r>
      <w:r w:rsidR="00246D72" w:rsidRPr="00BD4638">
        <w:rPr>
          <w:rFonts w:ascii="Cambria" w:hAnsi="Cambria" w:cstheme="majorHAnsi"/>
          <w:sz w:val="28"/>
          <w:szCs w:val="28"/>
        </w:rPr>
        <w:t>are chance nodes.</w:t>
      </w:r>
    </w:p>
    <w:bookmarkStart w:id="0" w:name="_MON_1158603684"/>
    <w:bookmarkStart w:id="1" w:name="_MON_1158603760"/>
    <w:bookmarkStart w:id="2" w:name="_MON_1041143935"/>
    <w:bookmarkEnd w:id="0"/>
    <w:bookmarkEnd w:id="1"/>
    <w:bookmarkEnd w:id="2"/>
    <w:bookmarkStart w:id="3" w:name="_MON_1158603658"/>
    <w:bookmarkEnd w:id="3"/>
    <w:p w14:paraId="081D5478" w14:textId="77777777" w:rsidR="00E44071" w:rsidRPr="00BD4638" w:rsidRDefault="00246D72" w:rsidP="00C027E6">
      <w:pPr>
        <w:pStyle w:val="BodyTextIndent"/>
        <w:ind w:left="0"/>
        <w:jc w:val="center"/>
        <w:rPr>
          <w:rFonts w:ascii="Cambria" w:hAnsi="Cambria" w:cstheme="majorHAnsi"/>
          <w:sz w:val="28"/>
          <w:szCs w:val="28"/>
        </w:rPr>
      </w:pPr>
      <w:r w:rsidRPr="00BD4638">
        <w:rPr>
          <w:rFonts w:ascii="Cambria" w:hAnsi="Cambria" w:cstheme="majorHAnsi"/>
          <w:sz w:val="28"/>
          <w:szCs w:val="28"/>
        </w:rPr>
        <w:object w:dxaOrig="4485" w:dyaOrig="2445" w14:anchorId="3A841956">
          <v:shape id="_x0000_i1036" type="#_x0000_t75" style="width:224.15pt;height:122.25pt" o:ole="">
            <v:imagedata r:id="rId31" o:title=""/>
          </v:shape>
          <o:OLEObject Type="Embed" ProgID="Word.Picture.8" ShapeID="_x0000_i1036" DrawAspect="Content" ObjectID="_1643846330" r:id="rId32"/>
        </w:object>
      </w:r>
    </w:p>
    <w:p w14:paraId="683E2C2D" w14:textId="77777777" w:rsidR="00E44071" w:rsidRPr="00BD4638" w:rsidRDefault="00E44071" w:rsidP="00C027E6">
      <w:pPr>
        <w:pStyle w:val="BodyTextIndent"/>
        <w:ind w:left="0"/>
        <w:rPr>
          <w:rFonts w:ascii="Cambria" w:hAnsi="Cambria" w:cstheme="majorHAnsi"/>
          <w:sz w:val="28"/>
          <w:szCs w:val="28"/>
        </w:rPr>
      </w:pPr>
    </w:p>
    <w:p w14:paraId="7B1AD871" w14:textId="2D8341A4" w:rsidR="00E44071" w:rsidRPr="00C027E6"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b)</w:t>
      </w:r>
      <w:r w:rsidRPr="00BD4638">
        <w:rPr>
          <w:rFonts w:ascii="Cambria" w:hAnsi="Cambria" w:cstheme="majorHAnsi"/>
          <w:sz w:val="28"/>
          <w:szCs w:val="28"/>
        </w:rPr>
        <w:tab/>
        <w:t xml:space="preserve">The expected payoff for “Sell rights” is 0.20(10) + 0.80(2) = 3.60.  The expected </w:t>
      </w:r>
      <w:r w:rsidRPr="00C027E6">
        <w:rPr>
          <w:rFonts w:ascii="Cambria" w:hAnsi="Cambria" w:cstheme="majorHAnsi"/>
          <w:sz w:val="28"/>
          <w:szCs w:val="28"/>
        </w:rPr>
        <w:t>payoff for “Produc</w:t>
      </w:r>
      <w:r w:rsidR="00246D72" w:rsidRPr="00C027E6">
        <w:rPr>
          <w:rFonts w:ascii="Cambria" w:hAnsi="Cambria" w:cstheme="majorHAnsi"/>
          <w:sz w:val="28"/>
          <w:szCs w:val="28"/>
        </w:rPr>
        <w:t>e yourself” is 0.20(50) + 0.80(–</w:t>
      </w:r>
      <w:r w:rsidRPr="00C027E6">
        <w:rPr>
          <w:rFonts w:ascii="Cambria" w:hAnsi="Cambria" w:cstheme="majorHAnsi"/>
          <w:sz w:val="28"/>
          <w:szCs w:val="28"/>
        </w:rPr>
        <w:t>10) = 2.0.  Therefore, the</w:t>
      </w:r>
      <w:r w:rsidR="00246D72" w:rsidRPr="00C027E6">
        <w:rPr>
          <w:rFonts w:ascii="Cambria" w:hAnsi="Cambria" w:cstheme="majorHAnsi"/>
          <w:sz w:val="28"/>
          <w:szCs w:val="28"/>
        </w:rPr>
        <w:t xml:space="preserve"> risk-neutral</w:t>
      </w:r>
      <w:r w:rsidRPr="00C027E6">
        <w:rPr>
          <w:rFonts w:ascii="Cambria" w:hAnsi="Cambria" w:cstheme="majorHAnsi"/>
          <w:sz w:val="28"/>
          <w:szCs w:val="28"/>
        </w:rPr>
        <w:t xml:space="preserve"> company should sell the rights</w:t>
      </w:r>
      <w:r w:rsidR="00246D72" w:rsidRPr="00C027E6">
        <w:rPr>
          <w:rFonts w:ascii="Cambria" w:hAnsi="Cambria" w:cstheme="majorHAnsi"/>
          <w:sz w:val="28"/>
          <w:szCs w:val="28"/>
        </w:rPr>
        <w:t>,</w:t>
      </w:r>
      <w:r w:rsidRPr="00C027E6">
        <w:rPr>
          <w:rFonts w:ascii="Cambria" w:hAnsi="Cambria" w:cstheme="majorHAnsi"/>
          <w:sz w:val="28"/>
          <w:szCs w:val="28"/>
        </w:rPr>
        <w:t xml:space="preserve"> </w:t>
      </w:r>
      <w:r w:rsidR="00246D72" w:rsidRPr="00C027E6">
        <w:rPr>
          <w:rFonts w:ascii="Cambria" w:hAnsi="Cambria" w:cstheme="majorHAnsi"/>
          <w:sz w:val="28"/>
          <w:szCs w:val="28"/>
        </w:rPr>
        <w:t xml:space="preserve">for </w:t>
      </w:r>
      <w:r w:rsidRPr="00C027E6">
        <w:rPr>
          <w:rFonts w:ascii="Cambria" w:hAnsi="Cambria" w:cstheme="majorHAnsi"/>
          <w:sz w:val="28"/>
          <w:szCs w:val="28"/>
        </w:rPr>
        <w:t>an expected payoff of 3.60.</w:t>
      </w:r>
    </w:p>
    <w:p w14:paraId="4FEE6947" w14:textId="4EC40681" w:rsidR="00E44071" w:rsidRPr="00C027E6" w:rsidRDefault="00E44071" w:rsidP="00C027E6">
      <w:pPr>
        <w:pStyle w:val="BodyTextIndent"/>
        <w:ind w:left="0"/>
        <w:rPr>
          <w:rFonts w:ascii="Cambria" w:hAnsi="Cambria" w:cstheme="majorHAnsi"/>
          <w:sz w:val="28"/>
          <w:szCs w:val="28"/>
        </w:rPr>
      </w:pPr>
    </w:p>
    <w:p w14:paraId="6570CBE4" w14:textId="77777777" w:rsidR="00C027E6" w:rsidRPr="00C027E6" w:rsidRDefault="00BD4638" w:rsidP="00C027E6">
      <w:pPr>
        <w:pStyle w:val="Question"/>
        <w:spacing w:before="0" w:after="0"/>
        <w:ind w:left="0" w:firstLine="0"/>
        <w:rPr>
          <w:rFonts w:ascii="Cambria" w:hAnsi="Cambria"/>
          <w:sz w:val="28"/>
          <w:szCs w:val="28"/>
        </w:rPr>
      </w:pPr>
      <w:r w:rsidRPr="00C027E6">
        <w:rPr>
          <w:rFonts w:ascii="Cambria" w:hAnsi="Cambria" w:cstheme="majorHAnsi"/>
          <w:sz w:val="28"/>
          <w:szCs w:val="28"/>
        </w:rPr>
        <w:t>c)</w:t>
      </w:r>
      <w:r w:rsidRPr="00C027E6">
        <w:rPr>
          <w:rFonts w:ascii="Cambria" w:hAnsi="Cambria" w:cstheme="majorHAnsi"/>
          <w:sz w:val="28"/>
          <w:szCs w:val="28"/>
        </w:rPr>
        <w:tab/>
      </w:r>
      <w:r w:rsidR="00C027E6" w:rsidRPr="00C027E6">
        <w:rPr>
          <w:rFonts w:ascii="Cambria" w:hAnsi="Cambria"/>
          <w:sz w:val="28"/>
          <w:szCs w:val="28"/>
        </w:rPr>
        <w:t>If the test indicates the FDA will approve, the company will choose “Produce yourself” and earn a payoff of 50.  If the test indicates the FDA will not approve, then the company will choose “Sell the rights” and earn 2.  The expected payoff from conducting the costless test is therefore 0.20(50) + 0.80(2) = 11.60.</w:t>
      </w:r>
    </w:p>
    <w:p w14:paraId="513A720E" w14:textId="0F81C45E" w:rsidR="00BD4638" w:rsidRPr="00C027E6" w:rsidRDefault="00C027E6" w:rsidP="00C027E6">
      <w:pPr>
        <w:pStyle w:val="NormalIndent"/>
        <w:ind w:left="0"/>
        <w:rPr>
          <w:rFonts w:ascii="Cambria" w:hAnsi="Cambria"/>
          <w:sz w:val="28"/>
          <w:szCs w:val="28"/>
        </w:rPr>
      </w:pPr>
      <w:r w:rsidRPr="00C027E6">
        <w:rPr>
          <w:rFonts w:ascii="Cambria" w:hAnsi="Cambria"/>
          <w:sz w:val="28"/>
          <w:szCs w:val="28"/>
        </w:rPr>
        <w:t>The VPI is the difference between the expected payoff with the test and the expected payoff without the test.  Thus, VPI = 11.60 – 3.60 = 8.00.</w:t>
      </w:r>
      <w:bookmarkStart w:id="4" w:name="_GoBack"/>
      <w:bookmarkEnd w:id="4"/>
    </w:p>
    <w:sectPr w:rsidR="00BD4638" w:rsidRPr="00C027E6" w:rsidSect="00BD4638">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F2D107" w14:textId="77777777" w:rsidR="003E6E83" w:rsidRDefault="003E6E83">
      <w:r>
        <w:separator/>
      </w:r>
    </w:p>
  </w:endnote>
  <w:endnote w:type="continuationSeparator" w:id="0">
    <w:p w14:paraId="204D87A1" w14:textId="77777777" w:rsidR="003E6E83" w:rsidRDefault="003E6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5D045" w14:textId="77777777" w:rsidR="003E6E83" w:rsidRDefault="003E6E83">
      <w:r>
        <w:separator/>
      </w:r>
    </w:p>
  </w:footnote>
  <w:footnote w:type="continuationSeparator" w:id="0">
    <w:p w14:paraId="42509455" w14:textId="77777777" w:rsidR="003E6E83" w:rsidRDefault="003E6E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7C7F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4105BD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20CBDC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C5EDB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AB88F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06855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84C30F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63E2D3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F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3B0B5D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F8E618F"/>
    <w:multiLevelType w:val="hybridMultilevel"/>
    <w:tmpl w:val="0F0A624E"/>
    <w:lvl w:ilvl="0" w:tplc="BEA0938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7967911"/>
    <w:multiLevelType w:val="hybridMultilevel"/>
    <w:tmpl w:val="A5D8FC98"/>
    <w:lvl w:ilvl="0" w:tplc="6CD24CB6">
      <w:start w:val="1"/>
      <w:numFmt w:val="lowerLetter"/>
      <w:lvlText w:val="%1)"/>
      <w:lvlJc w:val="left"/>
      <w:pPr>
        <w:ind w:left="1440" w:hanging="360"/>
      </w:pPr>
      <w:rPr>
        <w:rFonts w:hint="default"/>
      </w:rPr>
    </w:lvl>
    <w:lvl w:ilvl="1" w:tplc="6CD24CB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4"/>
  </w:num>
  <w:num w:numId="2">
    <w:abstractNumId w:val="16"/>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14"/>
    <w:rsid w:val="00036D12"/>
    <w:rsid w:val="00136627"/>
    <w:rsid w:val="00246D72"/>
    <w:rsid w:val="002C796D"/>
    <w:rsid w:val="002E3E17"/>
    <w:rsid w:val="002E5BDB"/>
    <w:rsid w:val="003037A6"/>
    <w:rsid w:val="00306820"/>
    <w:rsid w:val="0031436B"/>
    <w:rsid w:val="00342B5C"/>
    <w:rsid w:val="003E6E83"/>
    <w:rsid w:val="0041148B"/>
    <w:rsid w:val="00451F6F"/>
    <w:rsid w:val="004A0E2C"/>
    <w:rsid w:val="004E309F"/>
    <w:rsid w:val="00572DDF"/>
    <w:rsid w:val="005F791B"/>
    <w:rsid w:val="00612741"/>
    <w:rsid w:val="006A6121"/>
    <w:rsid w:val="006F68AA"/>
    <w:rsid w:val="00755B99"/>
    <w:rsid w:val="007920E0"/>
    <w:rsid w:val="007976EC"/>
    <w:rsid w:val="007A6556"/>
    <w:rsid w:val="007C4B9A"/>
    <w:rsid w:val="007F24B3"/>
    <w:rsid w:val="007F3571"/>
    <w:rsid w:val="00857DF2"/>
    <w:rsid w:val="008A4FE8"/>
    <w:rsid w:val="008B0007"/>
    <w:rsid w:val="008D5E57"/>
    <w:rsid w:val="00935964"/>
    <w:rsid w:val="00A12B4B"/>
    <w:rsid w:val="00A54C5A"/>
    <w:rsid w:val="00A8196B"/>
    <w:rsid w:val="00AC4F88"/>
    <w:rsid w:val="00B116A8"/>
    <w:rsid w:val="00B96863"/>
    <w:rsid w:val="00BB4588"/>
    <w:rsid w:val="00BD40A8"/>
    <w:rsid w:val="00BD4638"/>
    <w:rsid w:val="00BD4773"/>
    <w:rsid w:val="00BE7723"/>
    <w:rsid w:val="00C027E6"/>
    <w:rsid w:val="00CC5BF9"/>
    <w:rsid w:val="00D012D9"/>
    <w:rsid w:val="00DD2443"/>
    <w:rsid w:val="00DF42C4"/>
    <w:rsid w:val="00E44071"/>
    <w:rsid w:val="00E46098"/>
    <w:rsid w:val="00E47D09"/>
    <w:rsid w:val="00E62F42"/>
    <w:rsid w:val="00EA7B20"/>
    <w:rsid w:val="00EF3D7A"/>
    <w:rsid w:val="00EF6991"/>
    <w:rsid w:val="00F40214"/>
    <w:rsid w:val="00F52081"/>
    <w:rsid w:val="00FE70D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3FE0CB"/>
  <w15:chartTrackingRefBased/>
  <w15:docId w15:val="{C587F9A2-7C95-4990-B200-F30B47FC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BodyText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6"/>
      </w:numPr>
      <w:spacing w:before="240" w:after="120"/>
    </w:pPr>
  </w:style>
  <w:style w:type="paragraph" w:customStyle="1" w:styleId="ProblemAnswer">
    <w:name w:val="Problem Answer"/>
    <w:basedOn w:val="Normal"/>
    <w:next w:val="BodyTextIndent"/>
    <w:pPr>
      <w:numPr>
        <w:ilvl w:val="1"/>
        <w:numId w:val="6"/>
      </w:numPr>
      <w:spacing w:after="120"/>
      <w:outlineLvl w:val="1"/>
    </w:pPr>
  </w:style>
  <w:style w:type="table" w:styleId="TableGrid">
    <w:name w:val="Table Grid"/>
    <w:basedOn w:val="TableNormal"/>
    <w:uiPriority w:val="59"/>
    <w:rsid w:val="00B11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AC4F88"/>
    <w:rPr>
      <w:sz w:val="16"/>
      <w:szCs w:val="16"/>
    </w:rPr>
  </w:style>
  <w:style w:type="paragraph" w:styleId="CommentText">
    <w:name w:val="annotation text"/>
    <w:basedOn w:val="Normal"/>
    <w:link w:val="CommentTextChar"/>
    <w:rsid w:val="00AC4F88"/>
    <w:rPr>
      <w:sz w:val="20"/>
    </w:rPr>
  </w:style>
  <w:style w:type="character" w:customStyle="1" w:styleId="CommentTextChar">
    <w:name w:val="Comment Text Char"/>
    <w:basedOn w:val="DefaultParagraphFont"/>
    <w:link w:val="CommentText"/>
    <w:rsid w:val="00AC4F88"/>
  </w:style>
  <w:style w:type="paragraph" w:styleId="CommentSubject">
    <w:name w:val="annotation subject"/>
    <w:basedOn w:val="CommentText"/>
    <w:next w:val="CommentText"/>
    <w:link w:val="CommentSubjectChar"/>
    <w:rsid w:val="00AC4F88"/>
    <w:rPr>
      <w:b/>
      <w:bCs/>
    </w:rPr>
  </w:style>
  <w:style w:type="character" w:customStyle="1" w:styleId="CommentSubjectChar">
    <w:name w:val="Comment Subject Char"/>
    <w:link w:val="CommentSubject"/>
    <w:rsid w:val="00AC4F88"/>
    <w:rPr>
      <w:b/>
      <w:bCs/>
    </w:rPr>
  </w:style>
  <w:style w:type="paragraph" w:styleId="BalloonText">
    <w:name w:val="Balloon Text"/>
    <w:basedOn w:val="Normal"/>
    <w:link w:val="BalloonTextChar"/>
    <w:rsid w:val="00AC4F88"/>
    <w:rPr>
      <w:rFonts w:ascii="Tahoma" w:hAnsi="Tahoma" w:cs="Tahoma"/>
      <w:sz w:val="16"/>
      <w:szCs w:val="16"/>
    </w:rPr>
  </w:style>
  <w:style w:type="character" w:customStyle="1" w:styleId="BalloonTextChar">
    <w:name w:val="Balloon Text Char"/>
    <w:link w:val="BalloonText"/>
    <w:rsid w:val="00AC4F88"/>
    <w:rPr>
      <w:rFonts w:ascii="Tahoma" w:hAnsi="Tahoma" w:cs="Tahoma"/>
      <w:sz w:val="16"/>
      <w:szCs w:val="16"/>
    </w:rPr>
  </w:style>
  <w:style w:type="paragraph" w:styleId="ListParagraph">
    <w:name w:val="List Paragraph"/>
    <w:basedOn w:val="Normal"/>
    <w:uiPriority w:val="34"/>
    <w:qFormat/>
    <w:rsid w:val="00BD4638"/>
    <w:pPr>
      <w:spacing w:after="200" w:line="276" w:lineRule="auto"/>
      <w:ind w:left="720"/>
      <w:contextualSpacing/>
    </w:pPr>
    <w:rPr>
      <w:rFonts w:ascii="Cambria" w:eastAsiaTheme="minorHAnsi" w:hAnsi="Cambria" w:cs="Angsana New"/>
      <w:sz w:val="28"/>
      <w:szCs w:val="35"/>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4.wmf"/><Relationship Id="rId26" Type="http://schemas.openxmlformats.org/officeDocument/2006/relationships/image" Target="media/image8.wmf"/><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7.wmf"/><Relationship Id="rId32" Type="http://schemas.openxmlformats.org/officeDocument/2006/relationships/oleObject" Target="embeddings/oleObject10.bin"/><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9.wmf"/><Relationship Id="rId10" Type="http://schemas.openxmlformats.org/officeDocument/2006/relationships/chart" Target="charts/chart3.xml"/><Relationship Id="rId19" Type="http://schemas.openxmlformats.org/officeDocument/2006/relationships/oleObject" Target="embeddings/oleObject4.bin"/><Relationship Id="rId31" Type="http://schemas.openxmlformats.org/officeDocument/2006/relationships/image" Target="media/image11.wm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8.bin"/><Relationship Id="rId30" Type="http://schemas.openxmlformats.org/officeDocument/2006/relationships/image" Target="media/image10.emf"/><Relationship Id="rId8"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555555555555556"/>
          <c:y val="0.102880658436214"/>
          <c:w val="0.80202020202020197"/>
          <c:h val="0.69547325102880664"/>
        </c:manualLayout>
      </c:layout>
      <c:scatterChart>
        <c:scatterStyle val="smoothMarker"/>
        <c:varyColors val="0"/>
        <c:ser>
          <c:idx val="0"/>
          <c:order val="0"/>
          <c:spPr>
            <a:ln w="25366">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46.875</c:v>
                </c:pt>
                <c:pt idx="2">
                  <c:v>87.5</c:v>
                </c:pt>
                <c:pt idx="3">
                  <c:v>121.875</c:v>
                </c:pt>
                <c:pt idx="4">
                  <c:v>150</c:v>
                </c:pt>
                <c:pt idx="5">
                  <c:v>171.875</c:v>
                </c:pt>
                <c:pt idx="6">
                  <c:v>187.5</c:v>
                </c:pt>
                <c:pt idx="7">
                  <c:v>196.875</c:v>
                </c:pt>
                <c:pt idx="8">
                  <c:v>200</c:v>
                </c:pt>
                <c:pt idx="9">
                  <c:v>196.875</c:v>
                </c:pt>
                <c:pt idx="10">
                  <c:v>187.5</c:v>
                </c:pt>
                <c:pt idx="11">
                  <c:v>171.875</c:v>
                </c:pt>
                <c:pt idx="12">
                  <c:v>150</c:v>
                </c:pt>
                <c:pt idx="13">
                  <c:v>121.875</c:v>
                </c:pt>
                <c:pt idx="14">
                  <c:v>87.5</c:v>
                </c:pt>
                <c:pt idx="15">
                  <c:v>46.875</c:v>
                </c:pt>
                <c:pt idx="16">
                  <c:v>0</c:v>
                </c:pt>
                <c:pt idx="17">
                  <c:v>-53.125</c:v>
                </c:pt>
                <c:pt idx="18">
                  <c:v>-112.5</c:v>
                </c:pt>
                <c:pt idx="19">
                  <c:v>-178.125</c:v>
                </c:pt>
                <c:pt idx="20">
                  <c:v>-250</c:v>
                </c:pt>
              </c:numCache>
            </c:numRef>
          </c:yVal>
          <c:smooth val="1"/>
          <c:extLst>
            <c:ext xmlns:c16="http://schemas.microsoft.com/office/drawing/2014/chart" uri="{C3380CC4-5D6E-409C-BE32-E72D297353CC}">
              <c16:uniqueId val="{00000000-EA18-4C61-AB35-5D7F6BA8D1AA}"/>
            </c:ext>
          </c:extLst>
        </c:ser>
        <c:ser>
          <c:idx val="0"/>
          <c:order val="1"/>
          <c:spPr>
            <a:ln w="25366">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46.875</c:v>
                </c:pt>
                <c:pt idx="2">
                  <c:v>87.5</c:v>
                </c:pt>
                <c:pt idx="3">
                  <c:v>121.875</c:v>
                </c:pt>
                <c:pt idx="4">
                  <c:v>150</c:v>
                </c:pt>
                <c:pt idx="5">
                  <c:v>171.875</c:v>
                </c:pt>
                <c:pt idx="6">
                  <c:v>187.5</c:v>
                </c:pt>
                <c:pt idx="7">
                  <c:v>196.875</c:v>
                </c:pt>
                <c:pt idx="8">
                  <c:v>200</c:v>
                </c:pt>
                <c:pt idx="9">
                  <c:v>196.875</c:v>
                </c:pt>
                <c:pt idx="10">
                  <c:v>187.5</c:v>
                </c:pt>
                <c:pt idx="11">
                  <c:v>171.875</c:v>
                </c:pt>
                <c:pt idx="12">
                  <c:v>150</c:v>
                </c:pt>
                <c:pt idx="13">
                  <c:v>121.875</c:v>
                </c:pt>
                <c:pt idx="14">
                  <c:v>87.5</c:v>
                </c:pt>
                <c:pt idx="15">
                  <c:v>46.875</c:v>
                </c:pt>
                <c:pt idx="16">
                  <c:v>0</c:v>
                </c:pt>
                <c:pt idx="17">
                  <c:v>-53.125</c:v>
                </c:pt>
                <c:pt idx="18">
                  <c:v>-112.5</c:v>
                </c:pt>
                <c:pt idx="19">
                  <c:v>-178.125</c:v>
                </c:pt>
                <c:pt idx="20">
                  <c:v>-250</c:v>
                </c:pt>
              </c:numCache>
            </c:numRef>
          </c:yVal>
          <c:smooth val="1"/>
          <c:extLst>
            <c:ext xmlns:c16="http://schemas.microsoft.com/office/drawing/2014/chart" uri="{C3380CC4-5D6E-409C-BE32-E72D297353CC}">
              <c16:uniqueId val="{00000001-EA18-4C61-AB35-5D7F6BA8D1AA}"/>
            </c:ext>
          </c:extLst>
        </c:ser>
        <c:dLbls>
          <c:showLegendKey val="0"/>
          <c:showVal val="0"/>
          <c:showCatName val="0"/>
          <c:showSerName val="0"/>
          <c:showPercent val="0"/>
          <c:showBubbleSize val="0"/>
        </c:dLbls>
        <c:axId val="1318369151"/>
        <c:axId val="1"/>
      </c:scatterChart>
      <c:valAx>
        <c:axId val="1318369151"/>
        <c:scaling>
          <c:orientation val="minMax"/>
          <c:max val="100"/>
        </c:scaling>
        <c:delete val="0"/>
        <c:axPos val="b"/>
        <c:title>
          <c:tx>
            <c:rich>
              <a:bodyPr/>
              <a:lstStyle/>
              <a:p>
                <a:pPr>
                  <a:defRPr sz="1124" b="1" i="0" u="none" strike="noStrike" baseline="0">
                    <a:solidFill>
                      <a:srgbClr val="000000"/>
                    </a:solidFill>
                    <a:latin typeface="Times New Roman"/>
                    <a:ea typeface="Times New Roman"/>
                    <a:cs typeface="Times New Roman"/>
                  </a:defRPr>
                </a:pPr>
                <a:r>
                  <a:rPr lang="en-US"/>
                  <a:t>I</a:t>
                </a:r>
              </a:p>
            </c:rich>
          </c:tx>
          <c:layout>
            <c:manualLayout>
              <c:xMode val="edge"/>
              <c:yMode val="edge"/>
              <c:x val="0.54343434343434338"/>
              <c:y val="0.85185185185185186"/>
            </c:manualLayout>
          </c:layout>
          <c:overlay val="0"/>
          <c:spPr>
            <a:noFill/>
            <a:ln w="25366">
              <a:noFill/>
            </a:ln>
          </c:spPr>
        </c:title>
        <c:numFmt formatCode="General" sourceLinked="1"/>
        <c:majorTickMark val="out"/>
        <c:minorTickMark val="none"/>
        <c:tickLblPos val="nextTo"/>
        <c:spPr>
          <a:ln w="3171">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scaling>
        <c:delete val="0"/>
        <c:axPos val="l"/>
        <c:title>
          <c:tx>
            <c:rich>
              <a:bodyPr/>
              <a:lstStyle/>
              <a:p>
                <a:pPr>
                  <a:defRPr sz="1124" b="1" i="0" u="none" strike="noStrike" baseline="0">
                    <a:solidFill>
                      <a:srgbClr val="000000"/>
                    </a:solidFill>
                    <a:latin typeface="Times New Roman"/>
                    <a:ea typeface="Times New Roman"/>
                    <a:cs typeface="Times New Roman"/>
                  </a:defRPr>
                </a:pPr>
                <a:r>
                  <a:rPr lang="en-US"/>
                  <a:t>Utility</a:t>
                </a:r>
              </a:p>
            </c:rich>
          </c:tx>
          <c:layout>
            <c:manualLayout>
              <c:xMode val="edge"/>
              <c:yMode val="edge"/>
              <c:x val="2.2222222222222223E-2"/>
              <c:y val="0.35390946502057613"/>
            </c:manualLayout>
          </c:layout>
          <c:overlay val="0"/>
          <c:spPr>
            <a:noFill/>
            <a:ln w="25366">
              <a:noFill/>
            </a:ln>
          </c:spPr>
        </c:title>
        <c:numFmt formatCode="0" sourceLinked="1"/>
        <c:majorTickMark val="out"/>
        <c:minorTickMark val="none"/>
        <c:tickLblPos val="nextTo"/>
        <c:spPr>
          <a:ln w="3171">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318369151"/>
        <c:crosses val="autoZero"/>
        <c:crossBetween val="midCat"/>
      </c:valAx>
      <c:spPr>
        <a:noFill/>
        <a:ln w="25366">
          <a:noFill/>
        </a:ln>
      </c:spPr>
    </c:plotArea>
    <c:plotVisOnly val="1"/>
    <c:dispBlanksAs val="gap"/>
    <c:showDLblsOverMax val="0"/>
  </c:chart>
  <c:spPr>
    <a:solidFill>
      <a:srgbClr val="FFFFFF"/>
    </a:solidFill>
    <a:ln w="3171">
      <a:solidFill>
        <a:srgbClr val="000000"/>
      </a:solidFill>
      <a:prstDash val="solid"/>
    </a:ln>
  </c:spPr>
  <c:txPr>
    <a:bodyPr/>
    <a:lstStyle/>
    <a:p>
      <a:pPr>
        <a:defRPr sz="1124" b="0" i="0" u="none" strike="noStrike" baseline="0">
          <a:solidFill>
            <a:srgbClr val="000000"/>
          </a:solidFill>
          <a:latin typeface="Times New Roman"/>
          <a:ea typeface="Times New Roman"/>
          <a:cs typeface="Times New Roman"/>
        </a:defRPr>
      </a:pPr>
      <a:endParaRPr lang="th-TH"/>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67337807606264"/>
          <c:y val="0.10330578512396695"/>
          <c:w val="0.77628635346756147"/>
          <c:h val="0.5950413223140496"/>
        </c:manualLayout>
      </c:layout>
      <c:scatterChart>
        <c:scatterStyle val="smoothMarker"/>
        <c:varyColors val="0"/>
        <c:ser>
          <c:idx val="0"/>
          <c:order val="0"/>
          <c:spPr>
            <a:ln w="25382">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3.125</c:v>
                </c:pt>
                <c:pt idx="2">
                  <c:v>12.5</c:v>
                </c:pt>
                <c:pt idx="3">
                  <c:v>28.125</c:v>
                </c:pt>
                <c:pt idx="4">
                  <c:v>50</c:v>
                </c:pt>
                <c:pt idx="5">
                  <c:v>78.125</c:v>
                </c:pt>
                <c:pt idx="6">
                  <c:v>112.5</c:v>
                </c:pt>
                <c:pt idx="7">
                  <c:v>153.125</c:v>
                </c:pt>
                <c:pt idx="8">
                  <c:v>200</c:v>
                </c:pt>
                <c:pt idx="9">
                  <c:v>253.125</c:v>
                </c:pt>
                <c:pt idx="10">
                  <c:v>312.5</c:v>
                </c:pt>
                <c:pt idx="11">
                  <c:v>378.125</c:v>
                </c:pt>
                <c:pt idx="12">
                  <c:v>450</c:v>
                </c:pt>
                <c:pt idx="13">
                  <c:v>528.125</c:v>
                </c:pt>
                <c:pt idx="14">
                  <c:v>612.5</c:v>
                </c:pt>
                <c:pt idx="15">
                  <c:v>703.125</c:v>
                </c:pt>
                <c:pt idx="16">
                  <c:v>800</c:v>
                </c:pt>
                <c:pt idx="17">
                  <c:v>903.125</c:v>
                </c:pt>
                <c:pt idx="18">
                  <c:v>1012.5</c:v>
                </c:pt>
                <c:pt idx="19">
                  <c:v>1128.125</c:v>
                </c:pt>
                <c:pt idx="20">
                  <c:v>1250</c:v>
                </c:pt>
              </c:numCache>
            </c:numRef>
          </c:yVal>
          <c:smooth val="1"/>
          <c:extLst>
            <c:ext xmlns:c16="http://schemas.microsoft.com/office/drawing/2014/chart" uri="{C3380CC4-5D6E-409C-BE32-E72D297353CC}">
              <c16:uniqueId val="{00000000-574A-4ACE-B1B1-AFC8E661272D}"/>
            </c:ext>
          </c:extLst>
        </c:ser>
        <c:dLbls>
          <c:showLegendKey val="0"/>
          <c:showVal val="0"/>
          <c:showCatName val="0"/>
          <c:showSerName val="0"/>
          <c:showPercent val="0"/>
          <c:showBubbleSize val="0"/>
        </c:dLbls>
        <c:axId val="1318364159"/>
        <c:axId val="1"/>
      </c:scatterChart>
      <c:valAx>
        <c:axId val="1318364159"/>
        <c:scaling>
          <c:orientation val="minMax"/>
          <c:max val="100"/>
        </c:scaling>
        <c:delete val="0"/>
        <c:axPos val="b"/>
        <c:title>
          <c:tx>
            <c:rich>
              <a:bodyPr/>
              <a:lstStyle/>
              <a:p>
                <a:pPr>
                  <a:defRPr sz="1124" b="1" i="0" u="none" strike="noStrike" baseline="0">
                    <a:solidFill>
                      <a:srgbClr val="000000"/>
                    </a:solidFill>
                    <a:latin typeface="Times New Roman"/>
                    <a:ea typeface="Times New Roman"/>
                    <a:cs typeface="Times New Roman"/>
                  </a:defRPr>
                </a:pPr>
                <a:r>
                  <a:rPr lang="en-US"/>
                  <a:t>I</a:t>
                </a:r>
              </a:p>
            </c:rich>
          </c:tx>
          <c:layout>
            <c:manualLayout>
              <c:xMode val="edge"/>
              <c:yMode val="edge"/>
              <c:x val="0.55033557046979864"/>
              <c:y val="0.85123966942148765"/>
            </c:manualLayout>
          </c:layout>
          <c:overlay val="0"/>
          <c:spPr>
            <a:noFill/>
            <a:ln w="25382">
              <a:noFill/>
            </a:ln>
          </c:spPr>
        </c:title>
        <c:numFmt formatCode="General"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scaling>
        <c:delete val="0"/>
        <c:axPos val="l"/>
        <c:title>
          <c:tx>
            <c:rich>
              <a:bodyPr/>
              <a:lstStyle/>
              <a:p>
                <a:pPr>
                  <a:defRPr sz="1124" b="1" i="0" u="none" strike="noStrike" baseline="0">
                    <a:solidFill>
                      <a:srgbClr val="000000"/>
                    </a:solidFill>
                    <a:latin typeface="Times New Roman"/>
                    <a:ea typeface="Times New Roman"/>
                    <a:cs typeface="Times New Roman"/>
                  </a:defRPr>
                </a:pPr>
                <a:r>
                  <a:rPr lang="en-US"/>
                  <a:t>Utility</a:t>
                </a:r>
              </a:p>
            </c:rich>
          </c:tx>
          <c:layout>
            <c:manualLayout>
              <c:xMode val="edge"/>
              <c:yMode val="edge"/>
              <c:x val="2.4608501118568233E-2"/>
              <c:y val="0.30578512396694213"/>
            </c:manualLayout>
          </c:layout>
          <c:overlay val="0"/>
          <c:spPr>
            <a:noFill/>
            <a:ln w="25382">
              <a:noFill/>
            </a:ln>
          </c:spPr>
        </c:title>
        <c:numFmt formatCode="0"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318364159"/>
        <c:crosses val="autoZero"/>
        <c:crossBetween val="midCat"/>
      </c:valAx>
      <c:spPr>
        <a:noFill/>
        <a:ln w="25382">
          <a:noFill/>
        </a:ln>
      </c:spPr>
    </c:plotArea>
    <c:plotVisOnly val="1"/>
    <c:dispBlanksAs val="gap"/>
    <c:showDLblsOverMax val="0"/>
  </c:chart>
  <c:spPr>
    <a:solidFill>
      <a:srgbClr val="FFFFFF"/>
    </a:solidFill>
    <a:ln w="3173">
      <a:solidFill>
        <a:srgbClr val="000000"/>
      </a:solidFill>
      <a:prstDash val="solid"/>
    </a:ln>
  </c:spPr>
  <c:txPr>
    <a:bodyPr/>
    <a:lstStyle/>
    <a:p>
      <a:pPr>
        <a:defRPr sz="1124" b="0" i="0" u="none" strike="noStrike" baseline="0">
          <a:solidFill>
            <a:srgbClr val="000000"/>
          </a:solidFill>
          <a:latin typeface="Times New Roman"/>
          <a:ea typeface="Times New Roman"/>
          <a:cs typeface="Times New Roman"/>
        </a:defRPr>
      </a:pPr>
      <a:endParaRPr lang="th-TH"/>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975391498881431"/>
          <c:y val="0.10330578512396695"/>
          <c:w val="0.8232662192393736"/>
          <c:h val="0.5950413223140496"/>
        </c:manualLayout>
      </c:layout>
      <c:scatterChart>
        <c:scatterStyle val="smoothMarker"/>
        <c:varyColors val="0"/>
        <c:ser>
          <c:idx val="0"/>
          <c:order val="0"/>
          <c:spPr>
            <a:ln w="25382">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0.77815125038364363</c:v>
                </c:pt>
                <c:pt idx="2">
                  <c:v>1.0413926851582251</c:v>
                </c:pt>
                <c:pt idx="3">
                  <c:v>1.2041199826559248</c:v>
                </c:pt>
                <c:pt idx="4">
                  <c:v>1.3222192947339193</c:v>
                </c:pt>
                <c:pt idx="5">
                  <c:v>1.414973347970818</c:v>
                </c:pt>
                <c:pt idx="6">
                  <c:v>1.4913616938342726</c:v>
                </c:pt>
                <c:pt idx="7">
                  <c:v>1.5563025007672873</c:v>
                </c:pt>
                <c:pt idx="8">
                  <c:v>1.6127838567197355</c:v>
                </c:pt>
                <c:pt idx="9">
                  <c:v>1.6627578316815741</c:v>
                </c:pt>
                <c:pt idx="10">
                  <c:v>1.7075701760979363</c:v>
                </c:pt>
                <c:pt idx="11">
                  <c:v>1.7481880270062005</c:v>
                </c:pt>
                <c:pt idx="12">
                  <c:v>1.7853298350107671</c:v>
                </c:pt>
                <c:pt idx="13">
                  <c:v>1.8195439355418688</c:v>
                </c:pt>
                <c:pt idx="14">
                  <c:v>1.8512583487190752</c:v>
                </c:pt>
                <c:pt idx="15">
                  <c:v>1.8808135922807914</c:v>
                </c:pt>
                <c:pt idx="16">
                  <c:v>1.9084850188786497</c:v>
                </c:pt>
                <c:pt idx="17">
                  <c:v>1.9344984512435677</c:v>
                </c:pt>
                <c:pt idx="18">
                  <c:v>1.9590413923210936</c:v>
                </c:pt>
                <c:pt idx="19">
                  <c:v>1.9822712330395684</c:v>
                </c:pt>
                <c:pt idx="20">
                  <c:v>2.0043213737826426</c:v>
                </c:pt>
              </c:numCache>
            </c:numRef>
          </c:yVal>
          <c:smooth val="1"/>
          <c:extLst>
            <c:ext xmlns:c16="http://schemas.microsoft.com/office/drawing/2014/chart" uri="{C3380CC4-5D6E-409C-BE32-E72D297353CC}">
              <c16:uniqueId val="{00000000-4081-441A-93C2-D428B012F9C1}"/>
            </c:ext>
          </c:extLst>
        </c:ser>
        <c:dLbls>
          <c:showLegendKey val="0"/>
          <c:showVal val="0"/>
          <c:showCatName val="0"/>
          <c:showSerName val="0"/>
          <c:showPercent val="0"/>
          <c:showBubbleSize val="0"/>
        </c:dLbls>
        <c:axId val="1318359583"/>
        <c:axId val="1"/>
      </c:scatterChart>
      <c:valAx>
        <c:axId val="1318359583"/>
        <c:scaling>
          <c:orientation val="minMax"/>
          <c:max val="100"/>
        </c:scaling>
        <c:delete val="0"/>
        <c:axPos val="b"/>
        <c:title>
          <c:tx>
            <c:rich>
              <a:bodyPr/>
              <a:lstStyle/>
              <a:p>
                <a:pPr>
                  <a:defRPr sz="1124" b="1" i="0" u="none" strike="noStrike" baseline="0">
                    <a:solidFill>
                      <a:srgbClr val="000000"/>
                    </a:solidFill>
                    <a:latin typeface="Times New Roman"/>
                    <a:ea typeface="Times New Roman"/>
                    <a:cs typeface="Times New Roman"/>
                  </a:defRPr>
                </a:pPr>
                <a:r>
                  <a:rPr lang="en-US"/>
                  <a:t>I</a:t>
                </a:r>
              </a:p>
            </c:rich>
          </c:tx>
          <c:layout>
            <c:manualLayout>
              <c:xMode val="edge"/>
              <c:yMode val="edge"/>
              <c:x val="0.52796420581655479"/>
              <c:y val="0.85123966942148765"/>
            </c:manualLayout>
          </c:layout>
          <c:overlay val="0"/>
          <c:spPr>
            <a:noFill/>
            <a:ln w="25382">
              <a:noFill/>
            </a:ln>
          </c:spPr>
        </c:title>
        <c:numFmt formatCode="General"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scaling>
        <c:delete val="0"/>
        <c:axPos val="l"/>
        <c:title>
          <c:tx>
            <c:rich>
              <a:bodyPr/>
              <a:lstStyle/>
              <a:p>
                <a:pPr>
                  <a:defRPr sz="1124" b="1" i="0" u="none" strike="noStrike" baseline="0">
                    <a:solidFill>
                      <a:srgbClr val="000000"/>
                    </a:solidFill>
                    <a:latin typeface="Times New Roman"/>
                    <a:ea typeface="Times New Roman"/>
                    <a:cs typeface="Times New Roman"/>
                  </a:defRPr>
                </a:pPr>
                <a:r>
                  <a:rPr lang="en-US"/>
                  <a:t>Utility</a:t>
                </a:r>
              </a:p>
            </c:rich>
          </c:tx>
          <c:layout>
            <c:manualLayout>
              <c:xMode val="edge"/>
              <c:yMode val="edge"/>
              <c:x val="2.4608501118568233E-2"/>
              <c:y val="0.30578512396694213"/>
            </c:manualLayout>
          </c:layout>
          <c:overlay val="0"/>
          <c:spPr>
            <a:noFill/>
            <a:ln w="25382">
              <a:noFill/>
            </a:ln>
          </c:spPr>
        </c:title>
        <c:numFmt formatCode="0"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318359583"/>
        <c:crosses val="autoZero"/>
        <c:crossBetween val="midCat"/>
      </c:valAx>
      <c:spPr>
        <a:noFill/>
        <a:ln w="25382">
          <a:noFill/>
        </a:ln>
      </c:spPr>
    </c:plotArea>
    <c:plotVisOnly val="1"/>
    <c:dispBlanksAs val="gap"/>
    <c:showDLblsOverMax val="0"/>
  </c:chart>
  <c:spPr>
    <a:solidFill>
      <a:srgbClr val="FFFFFF"/>
    </a:solidFill>
    <a:ln w="3173">
      <a:solidFill>
        <a:srgbClr val="000000"/>
      </a:solidFill>
      <a:prstDash val="solid"/>
    </a:ln>
  </c:spPr>
  <c:txPr>
    <a:bodyPr/>
    <a:lstStyle/>
    <a:p>
      <a:pPr>
        <a:defRPr sz="1124" b="0" i="0" u="none" strike="noStrike" baseline="0">
          <a:solidFill>
            <a:srgbClr val="000000"/>
          </a:solidFill>
          <a:latin typeface="Times New Roman"/>
          <a:ea typeface="Times New Roman"/>
          <a:cs typeface="Times New Roman"/>
        </a:defRPr>
      </a:pPr>
      <a:endParaRPr lang="th-TH"/>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107382550335569"/>
          <c:y val="0.10330578512396695"/>
          <c:w val="0.79194630872483218"/>
          <c:h val="0.5950413223140496"/>
        </c:manualLayout>
      </c:layout>
      <c:scatterChart>
        <c:scatterStyle val="smoothMarker"/>
        <c:varyColors val="0"/>
        <c:ser>
          <c:idx val="0"/>
          <c:order val="0"/>
          <c:spPr>
            <a:ln w="25382">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25</c:v>
                </c:pt>
                <c:pt idx="2">
                  <c:v>50</c:v>
                </c:pt>
                <c:pt idx="3">
                  <c:v>75</c:v>
                </c:pt>
                <c:pt idx="4">
                  <c:v>100</c:v>
                </c:pt>
                <c:pt idx="5">
                  <c:v>125</c:v>
                </c:pt>
                <c:pt idx="6">
                  <c:v>150</c:v>
                </c:pt>
                <c:pt idx="7">
                  <c:v>175</c:v>
                </c:pt>
                <c:pt idx="8">
                  <c:v>200</c:v>
                </c:pt>
                <c:pt idx="9">
                  <c:v>225</c:v>
                </c:pt>
                <c:pt idx="10">
                  <c:v>250</c:v>
                </c:pt>
                <c:pt idx="11">
                  <c:v>275</c:v>
                </c:pt>
                <c:pt idx="12">
                  <c:v>300</c:v>
                </c:pt>
                <c:pt idx="13">
                  <c:v>325</c:v>
                </c:pt>
                <c:pt idx="14">
                  <c:v>350</c:v>
                </c:pt>
                <c:pt idx="15">
                  <c:v>375</c:v>
                </c:pt>
                <c:pt idx="16">
                  <c:v>400</c:v>
                </c:pt>
                <c:pt idx="17">
                  <c:v>425</c:v>
                </c:pt>
                <c:pt idx="18">
                  <c:v>450</c:v>
                </c:pt>
                <c:pt idx="19">
                  <c:v>475</c:v>
                </c:pt>
                <c:pt idx="20">
                  <c:v>500</c:v>
                </c:pt>
              </c:numCache>
            </c:numRef>
          </c:yVal>
          <c:smooth val="1"/>
          <c:extLst>
            <c:ext xmlns:c16="http://schemas.microsoft.com/office/drawing/2014/chart" uri="{C3380CC4-5D6E-409C-BE32-E72D297353CC}">
              <c16:uniqueId val="{00000000-8214-4ACC-9D48-014C9E479144}"/>
            </c:ext>
          </c:extLst>
        </c:ser>
        <c:dLbls>
          <c:showLegendKey val="0"/>
          <c:showVal val="0"/>
          <c:showCatName val="0"/>
          <c:showSerName val="0"/>
          <c:showPercent val="0"/>
          <c:showBubbleSize val="0"/>
        </c:dLbls>
        <c:axId val="1318107695"/>
        <c:axId val="1"/>
      </c:scatterChart>
      <c:valAx>
        <c:axId val="1318107695"/>
        <c:scaling>
          <c:orientation val="minMax"/>
          <c:max val="100"/>
        </c:scaling>
        <c:delete val="0"/>
        <c:axPos val="b"/>
        <c:title>
          <c:tx>
            <c:rich>
              <a:bodyPr/>
              <a:lstStyle/>
              <a:p>
                <a:pPr>
                  <a:defRPr sz="1124" b="1" i="0" u="none" strike="noStrike" baseline="0">
                    <a:solidFill>
                      <a:srgbClr val="000000"/>
                    </a:solidFill>
                    <a:latin typeface="Times New Roman"/>
                    <a:ea typeface="Times New Roman"/>
                    <a:cs typeface="Times New Roman"/>
                  </a:defRPr>
                </a:pPr>
                <a:r>
                  <a:rPr lang="en-US"/>
                  <a:t>I</a:t>
                </a:r>
              </a:p>
            </c:rich>
          </c:tx>
          <c:layout>
            <c:manualLayout>
              <c:xMode val="edge"/>
              <c:yMode val="edge"/>
              <c:x val="0.5436241610738255"/>
              <c:y val="0.85123966942148765"/>
            </c:manualLayout>
          </c:layout>
          <c:overlay val="0"/>
          <c:spPr>
            <a:noFill/>
            <a:ln w="25382">
              <a:noFill/>
            </a:ln>
          </c:spPr>
        </c:title>
        <c:numFmt formatCode="General"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scaling>
        <c:delete val="0"/>
        <c:axPos val="l"/>
        <c:title>
          <c:tx>
            <c:rich>
              <a:bodyPr/>
              <a:lstStyle/>
              <a:p>
                <a:pPr>
                  <a:defRPr sz="1124" b="1" i="0" u="none" strike="noStrike" baseline="0">
                    <a:solidFill>
                      <a:srgbClr val="000000"/>
                    </a:solidFill>
                    <a:latin typeface="Times New Roman"/>
                    <a:ea typeface="Times New Roman"/>
                    <a:cs typeface="Times New Roman"/>
                  </a:defRPr>
                </a:pPr>
                <a:r>
                  <a:rPr lang="en-US"/>
                  <a:t>Utility</a:t>
                </a:r>
              </a:p>
            </c:rich>
          </c:tx>
          <c:layout>
            <c:manualLayout>
              <c:xMode val="edge"/>
              <c:yMode val="edge"/>
              <c:x val="2.4608501118568233E-2"/>
              <c:y val="0.30578512396694213"/>
            </c:manualLayout>
          </c:layout>
          <c:overlay val="0"/>
          <c:spPr>
            <a:noFill/>
            <a:ln w="25382">
              <a:noFill/>
            </a:ln>
          </c:spPr>
        </c:title>
        <c:numFmt formatCode="0"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318107695"/>
        <c:crosses val="autoZero"/>
        <c:crossBetween val="midCat"/>
      </c:valAx>
      <c:spPr>
        <a:noFill/>
        <a:ln w="25382">
          <a:noFill/>
        </a:ln>
      </c:spPr>
    </c:plotArea>
    <c:plotVisOnly val="1"/>
    <c:dispBlanksAs val="gap"/>
    <c:showDLblsOverMax val="0"/>
  </c:chart>
  <c:spPr>
    <a:solidFill>
      <a:srgbClr val="FFFFFF"/>
    </a:solidFill>
    <a:ln w="3173">
      <a:solidFill>
        <a:srgbClr val="000000"/>
      </a:solidFill>
      <a:prstDash val="solid"/>
    </a:ln>
  </c:spPr>
  <c:txPr>
    <a:bodyPr/>
    <a:lstStyle/>
    <a:p>
      <a:pPr>
        <a:defRPr sz="1124" b="0" i="0" u="none" strike="noStrike" baseline="0">
          <a:solidFill>
            <a:srgbClr val="000000"/>
          </a:solidFill>
          <a:latin typeface="Times New Roman"/>
          <a:ea typeface="Times New Roman"/>
          <a:cs typeface="Times New Roman"/>
        </a:defRPr>
      </a:pPr>
      <a:endParaRPr lang="th-TH"/>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0E24A4-885D-42FB-9DD2-EA81DD37A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9</TotalTime>
  <Pages>5</Pages>
  <Words>1025</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4</cp:revision>
  <cp:lastPrinted>2000-05-12T08:34:00Z</cp:lastPrinted>
  <dcterms:created xsi:type="dcterms:W3CDTF">2019-09-27T20:31:00Z</dcterms:created>
  <dcterms:modified xsi:type="dcterms:W3CDTF">2020-02-21T20:12:00Z</dcterms:modified>
</cp:coreProperties>
</file>