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9E" w:rsidRDefault="00F6409E" w:rsidP="00F6409E">
      <w:pPr>
        <w:rPr>
          <w:rFonts w:ascii="Times New Roman" w:hAnsi="Times New Roman"/>
          <w:sz w:val="24"/>
          <w:szCs w:val="24"/>
        </w:rPr>
      </w:pPr>
      <w:r w:rsidRPr="006F2314">
        <w:rPr>
          <w:rFonts w:ascii="Times New Roman" w:hAnsi="Times New Roman" w:cs="Times New Roman"/>
          <w:b/>
          <w:bCs/>
          <w:sz w:val="28"/>
          <w:lang w:val="en-US"/>
        </w:rPr>
        <w:t>Finland: Educational Public Expenditure</w:t>
      </w:r>
      <w:r>
        <w:rPr>
          <w:rFonts w:ascii="Times New Roman" w:hAnsi="Times New Roman"/>
          <w:sz w:val="24"/>
          <w:szCs w:val="24"/>
        </w:rPr>
        <w:br/>
        <w:t>Report for EE441 Economics of Public Expenditure</w:t>
      </w:r>
      <w:r>
        <w:rPr>
          <w:rFonts w:ascii="Times New Roman" w:hAnsi="Times New Roman"/>
          <w:sz w:val="24"/>
          <w:szCs w:val="24"/>
        </w:rPr>
        <w:br/>
        <w:t>Semester 1/2015</w:t>
      </w:r>
      <w:r>
        <w:rPr>
          <w:rFonts w:ascii="Times New Roman" w:hAnsi="Times New Roman"/>
          <w:sz w:val="24"/>
          <w:szCs w:val="24"/>
        </w:rPr>
        <w:br/>
        <w:t xml:space="preserve">Faculty of Economics, </w:t>
      </w:r>
      <w:proofErr w:type="spellStart"/>
      <w:r>
        <w:rPr>
          <w:rFonts w:ascii="Times New Roman" w:hAnsi="Times New Roman"/>
          <w:sz w:val="24"/>
          <w:szCs w:val="24"/>
        </w:rPr>
        <w:t>Thammasat</w:t>
      </w:r>
      <w:proofErr w:type="spellEnd"/>
      <w:r>
        <w:rPr>
          <w:rFonts w:ascii="Times New Roman" w:hAnsi="Times New Roman"/>
          <w:sz w:val="24"/>
          <w:szCs w:val="24"/>
        </w:rPr>
        <w:t xml:space="preserve"> University</w:t>
      </w:r>
    </w:p>
    <w:p w:rsidR="00F6409E" w:rsidRDefault="00F6409E" w:rsidP="00F6409E">
      <w:pPr>
        <w:rPr>
          <w:rFonts w:ascii="Times New Roman" w:hAnsi="Times New Roman"/>
          <w:sz w:val="24"/>
          <w:szCs w:val="24"/>
        </w:rPr>
      </w:pPr>
      <w:proofErr w:type="spellStart"/>
      <w:r>
        <w:rPr>
          <w:rFonts w:ascii="Times New Roman" w:hAnsi="Times New Roman"/>
          <w:sz w:val="24"/>
          <w:szCs w:val="24"/>
        </w:rPr>
        <w:t>Ichaya</w:t>
      </w:r>
      <w:proofErr w:type="spellEnd"/>
      <w:r>
        <w:rPr>
          <w:rFonts w:ascii="Times New Roman" w:hAnsi="Times New Roman"/>
          <w:sz w:val="24"/>
          <w:szCs w:val="24"/>
        </w:rPr>
        <w:t xml:space="preserve"> </w:t>
      </w:r>
      <w:proofErr w:type="spellStart"/>
      <w:r>
        <w:rPr>
          <w:rFonts w:ascii="Times New Roman" w:hAnsi="Times New Roman"/>
          <w:sz w:val="24"/>
          <w:szCs w:val="24"/>
        </w:rPr>
        <w:t>Yongvanichakorn</w:t>
      </w:r>
      <w:proofErr w:type="spellEnd"/>
      <w:r>
        <w:rPr>
          <w:rFonts w:ascii="Times New Roman" w:hAnsi="Times New Roman"/>
          <w:sz w:val="24"/>
          <w:szCs w:val="24"/>
        </w:rPr>
        <w:br/>
        <w:t>5504640292</w:t>
      </w:r>
    </w:p>
    <w:p w:rsidR="00F6409E" w:rsidRDefault="00F6409E" w:rsidP="00F6409E">
      <w:pPr>
        <w:rPr>
          <w:rFonts w:ascii="Times New Roman" w:hAnsi="Times New Roman" w:hint="cs"/>
          <w:sz w:val="24"/>
          <w:szCs w:val="24"/>
          <w:cs/>
        </w:rPr>
      </w:pPr>
      <w:r>
        <w:rPr>
          <w:rFonts w:ascii="Times New Roman" w:hAnsi="Times New Roman"/>
          <w:sz w:val="24"/>
          <w:szCs w:val="24"/>
        </w:rPr>
        <w:t>Words count:</w:t>
      </w:r>
    </w:p>
    <w:p w:rsidR="00F6409E" w:rsidRPr="007357F4" w:rsidRDefault="00F6409E" w:rsidP="00F6409E">
      <w:pPr>
        <w:rPr>
          <w:rFonts w:ascii="Times New Roman" w:hAnsi="Times New Roman"/>
          <w:sz w:val="24"/>
          <w:szCs w:val="24"/>
        </w:rPr>
      </w:pPr>
    </w:p>
    <w:p w:rsidR="00F6409E" w:rsidRDefault="00F6409E" w:rsidP="00F6409E">
      <w:pPr>
        <w:spacing w:line="480" w:lineRule="auto"/>
        <w:jc w:val="thaiDistribute"/>
        <w:rPr>
          <w:b/>
          <w:bCs/>
        </w:rPr>
      </w:pPr>
      <w:r w:rsidRPr="0089781E">
        <w:rPr>
          <w:rFonts w:ascii="Times New Roman" w:hAnsi="Times New Roman" w:cs="Times New Roman"/>
          <w:b/>
          <w:bCs/>
          <w:sz w:val="24"/>
          <w:szCs w:val="24"/>
          <w:lang w:val="en-US"/>
        </w:rPr>
        <w:t>Overview</w:t>
      </w:r>
      <w:r w:rsidRPr="0089781E">
        <w:rPr>
          <w:b/>
          <w:bCs/>
        </w:rPr>
        <w:t xml:space="preserve"> </w:t>
      </w:r>
    </w:p>
    <w:p w:rsidR="00F6409E" w:rsidRPr="00840452" w:rsidRDefault="00F6409E" w:rsidP="00F6409E">
      <w:pPr>
        <w:spacing w:line="480" w:lineRule="auto"/>
        <w:ind w:firstLine="720"/>
        <w:jc w:val="thaiDistribute"/>
        <w:rPr>
          <w:rFonts w:ascii="Times New Roman" w:hAnsi="Times New Roman"/>
          <w:sz w:val="24"/>
          <w:szCs w:val="24"/>
          <w:lang w:val="en-US"/>
        </w:rPr>
      </w:pPr>
      <w:r>
        <w:rPr>
          <w:rFonts w:ascii="Times New Roman" w:hAnsi="Times New Roman" w:cs="Times New Roman"/>
          <w:sz w:val="24"/>
          <w:szCs w:val="24"/>
          <w:lang w:val="en-US"/>
        </w:rPr>
        <w:t>Finland, a country located in the northern part of Europe, has 5.4 million populations. The official languages are Finnish (spoken by 88.9%) and Swedish (5.3%)</w:t>
      </w:r>
      <w:r>
        <w:rPr>
          <w:rStyle w:val="FootnoteReference"/>
          <w:rFonts w:ascii="Times New Roman" w:hAnsi="Times New Roman" w:cs="Times New Roman"/>
          <w:sz w:val="24"/>
          <w:szCs w:val="24"/>
          <w:lang w:val="en-US"/>
        </w:rPr>
        <w:footnoteReference w:id="1"/>
      </w:r>
      <w:r>
        <w:rPr>
          <w:rFonts w:ascii="Times New Roman" w:hAnsi="Times New Roman" w:cs="Times New Roman"/>
          <w:sz w:val="24"/>
          <w:szCs w:val="24"/>
          <w:lang w:val="en-US"/>
        </w:rPr>
        <w:t xml:space="preserve">; however, most of people there can speak English very well. </w:t>
      </w:r>
      <w:r>
        <w:rPr>
          <w:rFonts w:ascii="Times New Roman" w:hAnsi="Times New Roman" w:cs="Times New Roman"/>
          <w:sz w:val="24"/>
          <w:szCs w:val="24"/>
        </w:rPr>
        <w:t xml:space="preserve">By reason of the most share of government expenditure is mainly spent to increase their populations’ welfare and quality of life, Finland, the Republic of Finland, </w:t>
      </w:r>
      <w:r>
        <w:rPr>
          <w:rFonts w:ascii="Times New Roman" w:hAnsi="Times New Roman" w:cs="Times New Roman"/>
          <w:sz w:val="24"/>
          <w:szCs w:val="24"/>
          <w:lang w:val="en-US"/>
        </w:rPr>
        <w:t>is</w:t>
      </w:r>
      <w:r w:rsidRPr="002E2E1E">
        <w:rPr>
          <w:rFonts w:ascii="Times New Roman" w:hAnsi="Times New Roman" w:cs="Times New Roman"/>
          <w:sz w:val="24"/>
          <w:szCs w:val="24"/>
          <w:lang w:val="en-US"/>
        </w:rPr>
        <w:t xml:space="preserve"> one of</w:t>
      </w:r>
      <w:r>
        <w:rPr>
          <w:rFonts w:ascii="Times New Roman" w:hAnsi="Times New Roman" w:cs="Times New Roman"/>
          <w:sz w:val="24"/>
          <w:szCs w:val="24"/>
          <w:lang w:val="en-US"/>
        </w:rPr>
        <w:t xml:space="preserve"> the</w:t>
      </w:r>
      <w:r w:rsidRPr="002E2E1E">
        <w:rPr>
          <w:rFonts w:ascii="Times New Roman" w:hAnsi="Times New Roman" w:cs="Times New Roman"/>
          <w:sz w:val="24"/>
          <w:szCs w:val="24"/>
          <w:lang w:val="en-US"/>
        </w:rPr>
        <w:t xml:space="preserve"> most livable country</w:t>
      </w:r>
      <w:r>
        <w:rPr>
          <w:rFonts w:ascii="Times New Roman" w:hAnsi="Times New Roman" w:cs="Times New Roman"/>
          <w:sz w:val="24"/>
          <w:szCs w:val="24"/>
          <w:lang w:val="en-US"/>
        </w:rPr>
        <w:t xml:space="preserve"> and also</w:t>
      </w:r>
      <w:r>
        <w:rPr>
          <w:rFonts w:ascii="Times New Roman" w:hAnsi="Times New Roman" w:cs="Times New Roman"/>
          <w:sz w:val="24"/>
          <w:szCs w:val="24"/>
        </w:rPr>
        <w:t xml:space="preserve"> the first rank in the World Human Capital.</w:t>
      </w:r>
      <w:r>
        <w:rPr>
          <w:rFonts w:ascii="Times New Roman" w:hAnsi="Times New Roman"/>
          <w:sz w:val="24"/>
          <w:szCs w:val="24"/>
        </w:rPr>
        <w:t xml:space="preserve"> </w:t>
      </w:r>
      <w:r w:rsidRPr="002E2E1E">
        <w:rPr>
          <w:rFonts w:ascii="Times New Roman" w:hAnsi="Times New Roman" w:cs="Times New Roman"/>
          <w:sz w:val="24"/>
          <w:szCs w:val="24"/>
          <w:lang w:val="en-US"/>
        </w:rPr>
        <w:t xml:space="preserve">From </w:t>
      </w:r>
      <w:r>
        <w:rPr>
          <w:rFonts w:ascii="Times New Roman" w:hAnsi="Times New Roman" w:cs="Times New Roman"/>
          <w:sz w:val="24"/>
          <w:szCs w:val="24"/>
          <w:lang w:val="en-US"/>
        </w:rPr>
        <w:t>figure 1</w:t>
      </w:r>
      <w:r w:rsidRPr="002E2E1E">
        <w:rPr>
          <w:rFonts w:ascii="Times New Roman" w:hAnsi="Times New Roman" w:cs="Times New Roman"/>
          <w:sz w:val="24"/>
          <w:szCs w:val="24"/>
          <w:lang w:val="en-US"/>
        </w:rPr>
        <w:t>,</w:t>
      </w:r>
      <w:r>
        <w:rPr>
          <w:rFonts w:ascii="Times New Roman" w:hAnsi="Times New Roman" w:cs="Times New Roman"/>
          <w:sz w:val="24"/>
          <w:szCs w:val="24"/>
          <w:lang w:val="en-US"/>
        </w:rPr>
        <w:t xml:space="preserve"> based on the latest data year 2013,</w:t>
      </w:r>
      <w:r w:rsidRPr="002E2E1E">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2E2E1E">
        <w:rPr>
          <w:rFonts w:ascii="Times New Roman" w:hAnsi="Times New Roman" w:cs="Times New Roman"/>
          <w:sz w:val="24"/>
          <w:szCs w:val="24"/>
          <w:lang w:val="en-US"/>
        </w:rPr>
        <w:t>he highest amount of government expenditure was spent on Social protection (43.1%) due to the increase in pension costs. The second rank of highest spending is on health (14.5%) and then general public services (14.4%), education (11.2%) and econom</w:t>
      </w:r>
      <w:r>
        <w:rPr>
          <w:rFonts w:ascii="Times New Roman" w:hAnsi="Times New Roman" w:cs="Times New Roman"/>
          <w:sz w:val="24"/>
          <w:szCs w:val="24"/>
          <w:lang w:val="en-US"/>
        </w:rPr>
        <w:t xml:space="preserve">ic affairs (8.2%) respectively. According to the statistic of year 2013 (figure1 in appendix), 15.8% of their total populations are children (at the age of 0 to 14 years old) and 12.1% of youth (at the age of 15 to 24 years old), comparing the percentage of the educational aged (approximately 28% of total populations) to the percentage of government spending on education, Finland’s government expenditure mostly focuses to spent on developing human capital since 11.2% of education </w:t>
      </w:r>
      <w:r>
        <w:rPr>
          <w:rFonts w:ascii="Times New Roman" w:hAnsi="Times New Roman" w:cs="Times New Roman"/>
          <w:sz w:val="24"/>
          <w:szCs w:val="24"/>
          <w:lang w:val="en-US"/>
        </w:rPr>
        <w:lastRenderedPageBreak/>
        <w:t>spending is spent only for 28% of their total population while other shares of government expenditure is spreading to the whole country.</w:t>
      </w:r>
    </w:p>
    <w:p w:rsidR="00F6409E" w:rsidRDefault="00F6409E" w:rsidP="00F6409E">
      <w:pPr>
        <w:keepNext/>
        <w:spacing w:line="240" w:lineRule="auto"/>
        <w:jc w:val="center"/>
        <w:rPr>
          <w:rFonts w:hint="cs"/>
          <w:cs/>
        </w:rPr>
      </w:pPr>
      <w:r>
        <w:rPr>
          <w:noProof/>
          <w:lang w:eastAsia="en-GB"/>
        </w:rPr>
        <mc:AlternateContent>
          <mc:Choice Requires="wps">
            <w:drawing>
              <wp:anchor distT="0" distB="0" distL="114300" distR="114300" simplePos="0" relativeHeight="251659264" behindDoc="1" locked="0" layoutInCell="1" allowOverlap="1" wp14:anchorId="4AA8F368" wp14:editId="4E8EBDBD">
                <wp:simplePos x="0" y="0"/>
                <wp:positionH relativeFrom="column">
                  <wp:posOffset>161925</wp:posOffset>
                </wp:positionH>
                <wp:positionV relativeFrom="paragraph">
                  <wp:posOffset>3258185</wp:posOffset>
                </wp:positionV>
                <wp:extent cx="2371725" cy="2476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47650"/>
                        </a:xfrm>
                        <a:prstGeom prst="rect">
                          <a:avLst/>
                        </a:prstGeom>
                        <a:solidFill>
                          <a:srgbClr val="FFFFFF"/>
                        </a:solidFill>
                        <a:ln w="9525">
                          <a:noFill/>
                          <a:miter lim="800000"/>
                          <a:headEnd/>
                          <a:tailEnd/>
                        </a:ln>
                      </wps:spPr>
                      <wps:txbx>
                        <w:txbxContent>
                          <w:p w:rsidR="00F6409E" w:rsidRPr="005E1782" w:rsidRDefault="00F6409E" w:rsidP="00F6409E">
                            <w:pPr>
                              <w:rPr>
                                <w:rFonts w:ascii="Times New Roman" w:hAnsi="Times New Roman" w:cs="Times New Roman"/>
                                <w:i/>
                                <w:iCs/>
                                <w:sz w:val="20"/>
                                <w:szCs w:val="24"/>
                              </w:rPr>
                            </w:pPr>
                            <w:r w:rsidRPr="005E1782">
                              <w:rPr>
                                <w:rFonts w:ascii="Times New Roman" w:hAnsi="Times New Roman" w:cs="Times New Roman"/>
                                <w:i/>
                                <w:iCs/>
                                <w:sz w:val="20"/>
                                <w:szCs w:val="24"/>
                              </w:rPr>
                              <w:t>Source: Statistics Finland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75pt;margin-top:256.55pt;width:186.75pt;height:19.5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" stroked="f">
                <v:textbox>
                  <w:txbxContent>
                    <w:p w:rsidR="00F6409E" w:rsidRPr="005E1782" w:rsidRDefault="00F6409E" w:rsidP="00F6409E">
                      <w:pPr>
                        <w:rPr>
                          <w:rFonts w:ascii="Times New Roman" w:hAnsi="Times New Roman" w:cs="Times New Roman"/>
                          <w:i/>
                          <w:iCs/>
                          <w:sz w:val="20"/>
                          <w:szCs w:val="24"/>
                        </w:rPr>
                      </w:pPr>
                      <w:r w:rsidRPr="005E1782">
                        <w:rPr>
                          <w:rFonts w:ascii="Times New Roman" w:hAnsi="Times New Roman" w:cs="Times New Roman"/>
                          <w:i/>
                          <w:iCs/>
                          <w:sz w:val="20"/>
                          <w:szCs w:val="24"/>
                        </w:rPr>
                        <w:t>Source: Statistics Finland</w:t>
                      </w:r>
                    </w:p>
                  </w:txbxContent>
                </v:textbox>
              </v:shape>
            </w:pict>
          </mc:Fallback>
        </mc:AlternateContent>
      </w:r>
      <w:r w:rsidRPr="00954927">
        <w:rPr>
          <w:rFonts w:ascii="Calibri Light" w:hAnsi="Calibri Light"/>
          <w:noProof/>
          <w:lang w:eastAsia="en-GB"/>
        </w:rPr>
        <w:drawing>
          <wp:inline distT="0" distB="0" distL="0" distR="0" wp14:anchorId="5511D726" wp14:editId="28779E54">
            <wp:extent cx="5419725" cy="32480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br/>
      </w:r>
    </w:p>
    <w:p w:rsidR="00F6409E" w:rsidRDefault="00F6409E" w:rsidP="00F6409E">
      <w:pPr>
        <w:pStyle w:val="Caption"/>
        <w:jc w:val="center"/>
        <w:rPr>
          <w:rFonts w:ascii="Times New Roman" w:hAnsi="Times New Roman" w:cs="Times New Roman"/>
          <w:sz w:val="20"/>
          <w:szCs w:val="24"/>
        </w:rPr>
      </w:pPr>
      <w:r w:rsidRPr="0089781E">
        <w:rPr>
          <w:rFonts w:ascii="Times New Roman" w:hAnsi="Times New Roman" w:cs="Times New Roman"/>
          <w:sz w:val="20"/>
          <w:szCs w:val="24"/>
        </w:rPr>
        <w:t xml:space="preserve">Figure </w:t>
      </w:r>
      <w:r w:rsidRPr="0089781E">
        <w:rPr>
          <w:rFonts w:ascii="Times New Roman" w:hAnsi="Times New Roman" w:cs="Times New Roman"/>
          <w:sz w:val="20"/>
          <w:szCs w:val="24"/>
        </w:rPr>
        <w:fldChar w:fldCharType="begin"/>
      </w:r>
      <w:r w:rsidRPr="0089781E">
        <w:rPr>
          <w:rFonts w:ascii="Times New Roman" w:hAnsi="Times New Roman" w:cs="Times New Roman"/>
          <w:sz w:val="20"/>
          <w:szCs w:val="24"/>
        </w:rPr>
        <w:instrText xml:space="preserve"> SEQ Figure \* ARABIC </w:instrText>
      </w:r>
      <w:r w:rsidRPr="0089781E">
        <w:rPr>
          <w:rFonts w:ascii="Times New Roman" w:hAnsi="Times New Roman" w:cs="Times New Roman"/>
          <w:sz w:val="20"/>
          <w:szCs w:val="24"/>
        </w:rPr>
        <w:fldChar w:fldCharType="separate"/>
      </w:r>
      <w:r>
        <w:rPr>
          <w:rFonts w:ascii="Times New Roman" w:hAnsi="Times New Roman" w:cs="Times New Roman"/>
          <w:noProof/>
          <w:sz w:val="20"/>
          <w:szCs w:val="24"/>
        </w:rPr>
        <w:t>1</w:t>
      </w:r>
      <w:r w:rsidRPr="0089781E">
        <w:rPr>
          <w:rFonts w:ascii="Times New Roman" w:hAnsi="Times New Roman" w:cs="Times New Roman"/>
          <w:sz w:val="20"/>
          <w:szCs w:val="24"/>
        </w:rPr>
        <w:fldChar w:fldCharType="end"/>
      </w:r>
      <w:r>
        <w:rPr>
          <w:rFonts w:ascii="Times New Roman" w:hAnsi="Times New Roman" w:cs="Times New Roman"/>
          <w:sz w:val="20"/>
          <w:szCs w:val="24"/>
        </w:rPr>
        <w:br/>
      </w:r>
    </w:p>
    <w:p w:rsidR="00F6409E" w:rsidRDefault="00F6409E" w:rsidP="00F6409E">
      <w:pPr>
        <w:spacing w:line="480" w:lineRule="auto"/>
        <w:ind w:firstLine="720"/>
        <w:jc w:val="thaiDistribute"/>
        <w:rPr>
          <w:rFonts w:ascii="Times New Roman" w:hAnsi="Times New Roman" w:cs="Times New Roman"/>
          <w:sz w:val="24"/>
        </w:rPr>
      </w:pPr>
      <w:r>
        <w:rPr>
          <w:rFonts w:ascii="Times New Roman" w:hAnsi="Times New Roman" w:cs="Times New Roman"/>
          <w:sz w:val="24"/>
        </w:rPr>
        <w:t>Gross Domestic Product (GDP) per capita of Finland in 2014 is 37,559 euro</w:t>
      </w:r>
      <w:r>
        <w:rPr>
          <w:rStyle w:val="FootnoteReference"/>
          <w:rFonts w:ascii="Times New Roman" w:hAnsi="Times New Roman" w:cs="Times New Roman"/>
          <w:sz w:val="24"/>
        </w:rPr>
        <w:footnoteReference w:id="2"/>
      </w:r>
      <w:r>
        <w:rPr>
          <w:rFonts w:ascii="Times New Roman" w:hAnsi="Times New Roman" w:cs="Times New Roman"/>
          <w:sz w:val="24"/>
        </w:rPr>
        <w:t>. Though general government expenditure has decreasing trend (Appendix Table1), p</w:t>
      </w:r>
      <w:r w:rsidRPr="003F535A">
        <w:rPr>
          <w:rFonts w:ascii="Times New Roman" w:hAnsi="Times New Roman" w:cs="Times New Roman"/>
          <w:sz w:val="24"/>
        </w:rPr>
        <w:t xml:space="preserve">ercentage share of </w:t>
      </w:r>
      <w:r>
        <w:rPr>
          <w:rFonts w:ascii="Times New Roman" w:hAnsi="Times New Roman" w:cs="Times New Roman"/>
          <w:sz w:val="24"/>
        </w:rPr>
        <w:t xml:space="preserve">total </w:t>
      </w:r>
      <w:r w:rsidRPr="003F535A">
        <w:rPr>
          <w:rFonts w:ascii="Times New Roman" w:hAnsi="Times New Roman" w:cs="Times New Roman"/>
          <w:sz w:val="24"/>
        </w:rPr>
        <w:t xml:space="preserve">government </w:t>
      </w:r>
      <w:r>
        <w:rPr>
          <w:rFonts w:ascii="Times New Roman" w:hAnsi="Times New Roman" w:cs="Times New Roman"/>
          <w:sz w:val="24"/>
        </w:rPr>
        <w:t xml:space="preserve">is still increasing over decades. Percentage share of government </w:t>
      </w:r>
      <w:r w:rsidRPr="003F535A">
        <w:rPr>
          <w:rFonts w:ascii="Times New Roman" w:hAnsi="Times New Roman" w:cs="Times New Roman"/>
          <w:sz w:val="24"/>
        </w:rPr>
        <w:t xml:space="preserve">expenditure to GDP was dramatically increased from year 2006 to 2007. Later then it was gradually increased. More than half of </w:t>
      </w:r>
      <w:r>
        <w:rPr>
          <w:rFonts w:ascii="Times New Roman" w:hAnsi="Times New Roman" w:cs="Times New Roman"/>
          <w:sz w:val="24"/>
        </w:rPr>
        <w:t xml:space="preserve">its GDP </w:t>
      </w:r>
      <w:r w:rsidRPr="003F535A">
        <w:rPr>
          <w:rFonts w:ascii="Times New Roman" w:hAnsi="Times New Roman" w:cs="Times New Roman"/>
          <w:sz w:val="24"/>
        </w:rPr>
        <w:t>from government spending which is quite high comparing to other country such as many countries in Asia.</w:t>
      </w:r>
    </w:p>
    <w:p w:rsidR="00F6409E" w:rsidRDefault="00F6409E" w:rsidP="00F6409E">
      <w:pPr>
        <w:jc w:val="center"/>
      </w:pPr>
      <w:r>
        <w:rPr>
          <w:noProof/>
          <w:lang w:eastAsia="en-GB"/>
        </w:rPr>
        <w:lastRenderedPageBreak/>
        <mc:AlternateContent>
          <mc:Choice Requires="wps">
            <w:drawing>
              <wp:anchor distT="0" distB="0" distL="114300" distR="114300" simplePos="0" relativeHeight="251663360" behindDoc="1" locked="0" layoutInCell="1" allowOverlap="1" wp14:anchorId="2FFB26A3" wp14:editId="51060279">
                <wp:simplePos x="0" y="0"/>
                <wp:positionH relativeFrom="column">
                  <wp:posOffset>133350</wp:posOffset>
                </wp:positionH>
                <wp:positionV relativeFrom="paragraph">
                  <wp:posOffset>2667000</wp:posOffset>
                </wp:positionV>
                <wp:extent cx="2371725" cy="24765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47650"/>
                        </a:xfrm>
                        <a:prstGeom prst="rect">
                          <a:avLst/>
                        </a:prstGeom>
                        <a:solidFill>
                          <a:srgbClr val="FFFFFF"/>
                        </a:solidFill>
                        <a:ln w="9525">
                          <a:noFill/>
                          <a:miter lim="800000"/>
                          <a:headEnd/>
                          <a:tailEnd/>
                        </a:ln>
                      </wps:spPr>
                      <wps:txbx>
                        <w:txbxContent>
                          <w:p w:rsidR="00F6409E" w:rsidRPr="005E1782" w:rsidRDefault="00F6409E" w:rsidP="00F6409E">
                            <w:pPr>
                              <w:rPr>
                                <w:rFonts w:ascii="Times New Roman" w:hAnsi="Times New Roman" w:cs="Times New Roman"/>
                                <w:i/>
                                <w:iCs/>
                                <w:sz w:val="20"/>
                                <w:szCs w:val="24"/>
                              </w:rPr>
                            </w:pPr>
                            <w:r w:rsidRPr="005E1782">
                              <w:rPr>
                                <w:rFonts w:ascii="Times New Roman" w:hAnsi="Times New Roman" w:cs="Times New Roman"/>
                                <w:i/>
                                <w:iCs/>
                                <w:sz w:val="20"/>
                                <w:szCs w:val="24"/>
                              </w:rPr>
                              <w:t>Source: Statistics Finland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left:0;text-align:left;margin-left:10.5pt;margin-top:210pt;width:186.75pt;height:19.5pt;z-index:-2516531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" stroked="f">
                <v:textbox>
                  <w:txbxContent>
                    <w:p w:rsidR="00F6409E" w:rsidRPr="005E1782" w:rsidRDefault="00F6409E" w:rsidP="00F6409E">
                      <w:pPr>
                        <w:rPr>
                          <w:rFonts w:ascii="Times New Roman" w:hAnsi="Times New Roman" w:cs="Times New Roman"/>
                          <w:i/>
                          <w:iCs/>
                          <w:sz w:val="20"/>
                          <w:szCs w:val="24"/>
                        </w:rPr>
                      </w:pPr>
                      <w:r w:rsidRPr="005E1782">
                        <w:rPr>
                          <w:rFonts w:ascii="Times New Roman" w:hAnsi="Times New Roman" w:cs="Times New Roman"/>
                          <w:i/>
                          <w:iCs/>
                          <w:sz w:val="20"/>
                          <w:szCs w:val="24"/>
                        </w:rPr>
                        <w:t>Source: Statistics Finland</w:t>
                      </w:r>
                    </w:p>
                  </w:txbxContent>
                </v:textbox>
              </v:shape>
            </w:pict>
          </mc:Fallback>
        </mc:AlternateContent>
      </w:r>
      <w:r w:rsidRPr="00954927">
        <w:rPr>
          <w:rFonts w:ascii="Calibri Light" w:hAnsi="Calibri Light"/>
          <w:noProof/>
          <w:lang w:eastAsia="en-GB"/>
        </w:rPr>
        <w:drawing>
          <wp:inline distT="0" distB="0" distL="0" distR="0" wp14:anchorId="6E99ABD4" wp14:editId="1861D5FC">
            <wp:extent cx="5495925" cy="2667000"/>
            <wp:effectExtent l="0" t="0" r="9525"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6409E" w:rsidRDefault="00F6409E" w:rsidP="00F6409E">
      <w:pPr>
        <w:pStyle w:val="Caption"/>
        <w:jc w:val="center"/>
        <w:rPr>
          <w:noProof/>
        </w:rPr>
      </w:pPr>
      <w:r>
        <w:t xml:space="preserve">Figure </w:t>
      </w:r>
      <w:r>
        <w:fldChar w:fldCharType="begin"/>
      </w:r>
      <w:r>
        <w:instrText xml:space="preserve"> SEQ Figure \* ARABIC </w:instrText>
      </w:r>
      <w:r>
        <w:fldChar w:fldCharType="separate"/>
      </w:r>
      <w:r>
        <w:rPr>
          <w:noProof/>
        </w:rPr>
        <w:t>2</w:t>
      </w:r>
      <w:r>
        <w:rPr>
          <w:noProof/>
        </w:rPr>
        <w:fldChar w:fldCharType="end"/>
      </w:r>
    </w:p>
    <w:p w:rsidR="00F6409E" w:rsidRPr="00BB3850" w:rsidRDefault="00F6409E" w:rsidP="00F6409E"/>
    <w:p w:rsidR="00F6409E" w:rsidRPr="00830B18" w:rsidRDefault="00F6409E" w:rsidP="00F6409E">
      <w:pPr>
        <w:spacing w:line="480" w:lineRule="auto"/>
        <w:jc w:val="thaiDistribute"/>
        <w:rPr>
          <w:rFonts w:ascii="Times New Roman" w:hAnsi="Times New Roman"/>
          <w:b/>
          <w:bCs/>
          <w:sz w:val="24"/>
          <w:lang w:val="en-US"/>
        </w:rPr>
      </w:pPr>
      <w:r>
        <w:rPr>
          <w:rFonts w:ascii="Times New Roman" w:hAnsi="Times New Roman"/>
          <w:b/>
          <w:bCs/>
          <w:sz w:val="24"/>
          <w:lang w:val="en-US"/>
        </w:rPr>
        <w:t xml:space="preserve">Education in Finland and </w:t>
      </w:r>
      <w:r w:rsidRPr="00830B18">
        <w:rPr>
          <w:rFonts w:ascii="Times New Roman" w:hAnsi="Times New Roman"/>
          <w:b/>
          <w:bCs/>
          <w:sz w:val="24"/>
          <w:lang w:val="en-US"/>
        </w:rPr>
        <w:t>E</w:t>
      </w:r>
      <w:r>
        <w:rPr>
          <w:rFonts w:ascii="Times New Roman" w:hAnsi="Times New Roman"/>
          <w:b/>
          <w:bCs/>
          <w:sz w:val="24"/>
          <w:lang w:val="en-US"/>
        </w:rPr>
        <w:t>ducational Policies</w:t>
      </w:r>
    </w:p>
    <w:p w:rsidR="00F6409E" w:rsidRDefault="00F6409E" w:rsidP="00F6409E">
      <w:pPr>
        <w:spacing w:line="480" w:lineRule="auto"/>
        <w:ind w:firstLine="720"/>
        <w:jc w:val="thaiDistribute"/>
        <w:rPr>
          <w:rFonts w:ascii="Times New Roman" w:hAnsi="Times New Roman" w:cs="Times New Roman"/>
          <w:sz w:val="24"/>
          <w:szCs w:val="24"/>
          <w:shd w:val="clear" w:color="auto" w:fill="FFFFFF"/>
        </w:rPr>
      </w:pPr>
      <w:r>
        <w:rPr>
          <w:rFonts w:ascii="Times New Roman" w:hAnsi="Times New Roman"/>
          <w:sz w:val="24"/>
          <w:lang w:val="en-US"/>
        </w:rPr>
        <w:t xml:space="preserve">Human capital is very important for the economy; moreover, knowledge and skills, which can increased by education, are things to increasing the productivity of human capital. These are some of the reasons why Finland government tries to concentrate on supporting educations and ensuring the quality of it. </w:t>
      </w:r>
      <w:r>
        <w:rPr>
          <w:rFonts w:ascii="Times New Roman" w:hAnsi="Times New Roman" w:cs="Times New Roman"/>
          <w:sz w:val="24"/>
          <w:szCs w:val="24"/>
          <w:shd w:val="clear" w:color="auto" w:fill="FFFFFF"/>
        </w:rPr>
        <w:t xml:space="preserve">Most of people might say Finland is the country that has very successful in developing systems, one of the most important developing systems is education. </w:t>
      </w:r>
    </w:p>
    <w:p w:rsidR="00F6409E" w:rsidRPr="005B7BCC" w:rsidRDefault="00F6409E" w:rsidP="00F6409E">
      <w:pPr>
        <w:spacing w:line="480" w:lineRule="auto"/>
        <w:ind w:firstLine="720"/>
        <w:jc w:val="thaiDistribute"/>
        <w:rPr>
          <w:rFonts w:ascii="Times New Roman" w:hAnsi="Times New Roman"/>
          <w:sz w:val="24"/>
          <w:lang w:val="en-US"/>
        </w:rPr>
      </w:pPr>
      <w:r>
        <w:rPr>
          <w:rFonts w:ascii="Times New Roman" w:hAnsi="Times New Roman" w:cs="Times New Roman"/>
          <w:sz w:val="24"/>
          <w:szCs w:val="24"/>
          <w:shd w:val="clear" w:color="auto" w:fill="FFFFFF"/>
        </w:rPr>
        <w:t xml:space="preserve">Many countries have Finland as their </w:t>
      </w:r>
      <w:r>
        <w:rPr>
          <w:rFonts w:ascii="Times New Roman" w:hAnsi="Times New Roman"/>
          <w:sz w:val="24"/>
          <w:szCs w:val="24"/>
          <w:shd w:val="clear" w:color="auto" w:fill="FFFFFF"/>
          <w:lang w:val="en-US"/>
        </w:rPr>
        <w:t xml:space="preserve">model of educational system. </w:t>
      </w:r>
      <w:r>
        <w:rPr>
          <w:rFonts w:ascii="Times New Roman" w:hAnsi="Times New Roman" w:cs="Times New Roman"/>
          <w:sz w:val="24"/>
          <w:szCs w:val="24"/>
          <w:shd w:val="clear" w:color="auto" w:fill="FFFFFF"/>
        </w:rPr>
        <w:t xml:space="preserve">To becoming as far as a successful country in educational system like in the present, Finland has started since 40 years ago. It was already shown in figure 1 that expenditure on education is quite high comparing to total shares of government expenditure. For ten year time series data of percentage share of expenditure on education as percentage of total government expenditure based on latest data we can found, it is decreasing trend of expenditure on education over ten years, from 12.8% in 2004 dropped to 11.2% in 2013. Nevertheless, looking as a percentage of education expenditure as percentage of GDP, it is increasing in a flat rate from 6.2% in </w:t>
      </w:r>
      <w:r>
        <w:rPr>
          <w:rFonts w:ascii="Times New Roman" w:hAnsi="Times New Roman" w:cs="Times New Roman"/>
          <w:sz w:val="24"/>
          <w:szCs w:val="24"/>
          <w:shd w:val="clear" w:color="auto" w:fill="FFFFFF"/>
        </w:rPr>
        <w:lastRenderedPageBreak/>
        <w:t>2004 to 7.2% in 2013 (Figure 3). For details of government expenditure per primary students and secondary student as percentage of GDP per capita are shown in appendix figure 2 and 3.</w:t>
      </w:r>
      <w:r w:rsidRPr="00387984">
        <w:rPr>
          <w:rFonts w:ascii="Times New Roman" w:hAnsi="Times New Roman" w:cs="Times New Roman"/>
          <w:sz w:val="24"/>
          <w:szCs w:val="24"/>
          <w:highlight w:val="yellow"/>
          <w:shd w:val="clear" w:color="auto" w:fill="FFFFFF"/>
        </w:rPr>
        <w:t xml:space="preserve"> </w:t>
      </w:r>
    </w:p>
    <w:p w:rsidR="00F6409E" w:rsidRDefault="00F6409E" w:rsidP="00F6409E">
      <w:pPr>
        <w:spacing w:line="480" w:lineRule="auto"/>
        <w:jc w:val="center"/>
        <w:rPr>
          <w:rFonts w:ascii="Times New Roman" w:hAnsi="Times New Roman" w:cs="Times New Roman"/>
          <w:sz w:val="24"/>
          <w:szCs w:val="24"/>
          <w:shd w:val="clear" w:color="auto" w:fill="FFFFFF"/>
        </w:rPr>
      </w:pPr>
      <w:r>
        <w:rPr>
          <w:noProof/>
          <w:lang w:eastAsia="en-GB"/>
        </w:rPr>
        <mc:AlternateContent>
          <mc:Choice Requires="wps">
            <w:drawing>
              <wp:anchor distT="0" distB="0" distL="114300" distR="114300" simplePos="0" relativeHeight="251664384" behindDoc="1" locked="0" layoutInCell="1" allowOverlap="1" wp14:anchorId="1A4B4E6C" wp14:editId="560C51F6">
                <wp:simplePos x="0" y="0"/>
                <wp:positionH relativeFrom="column">
                  <wp:posOffset>9525</wp:posOffset>
                </wp:positionH>
                <wp:positionV relativeFrom="paragraph">
                  <wp:posOffset>3000375</wp:posOffset>
                </wp:positionV>
                <wp:extent cx="2371725" cy="24765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47650"/>
                        </a:xfrm>
                        <a:prstGeom prst="rect">
                          <a:avLst/>
                        </a:prstGeom>
                        <a:solidFill>
                          <a:srgbClr val="FFFFFF"/>
                        </a:solidFill>
                        <a:ln w="9525">
                          <a:noFill/>
                          <a:miter lim="800000"/>
                          <a:headEnd/>
                          <a:tailEnd/>
                        </a:ln>
                      </wps:spPr>
                      <wps:txbx>
                        <w:txbxContent>
                          <w:p w:rsidR="00F6409E" w:rsidRPr="005E1782" w:rsidRDefault="00F6409E" w:rsidP="00F6409E">
                            <w:pPr>
                              <w:rPr>
                                <w:rFonts w:ascii="Times New Roman" w:hAnsi="Times New Roman" w:cs="Times New Roman"/>
                                <w:i/>
                                <w:iCs/>
                                <w:sz w:val="20"/>
                                <w:szCs w:val="24"/>
                              </w:rPr>
                            </w:pPr>
                            <w:r>
                              <w:rPr>
                                <w:rFonts w:ascii="Times New Roman" w:hAnsi="Times New Roman" w:cs="Times New Roman"/>
                                <w:i/>
                                <w:iCs/>
                                <w:sz w:val="20"/>
                                <w:szCs w:val="24"/>
                              </w:rPr>
                              <w:t>Source: World Bank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left:0;text-align:left;margin-left:.75pt;margin-top:236.25pt;width:186.75pt;height:19.5pt;z-index:-2516520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" stroked="f">
                <v:textbox>
                  <w:txbxContent>
                    <w:p w:rsidR="00F6409E" w:rsidRPr="005E1782" w:rsidRDefault="00F6409E" w:rsidP="00F6409E">
                      <w:pPr>
                        <w:rPr>
                          <w:rFonts w:ascii="Times New Roman" w:hAnsi="Times New Roman" w:cs="Times New Roman"/>
                          <w:i/>
                          <w:iCs/>
                          <w:sz w:val="20"/>
                          <w:szCs w:val="24"/>
                        </w:rPr>
                      </w:pPr>
                      <w:r>
                        <w:rPr>
                          <w:rFonts w:ascii="Times New Roman" w:hAnsi="Times New Roman" w:cs="Times New Roman"/>
                          <w:i/>
                          <w:iCs/>
                          <w:sz w:val="20"/>
                          <w:szCs w:val="24"/>
                        </w:rPr>
                        <w:t>Source: World Bank</w:t>
                      </w:r>
                    </w:p>
                  </w:txbxContent>
                </v:textbox>
              </v:shape>
            </w:pict>
          </mc:Fallback>
        </mc:AlternateContent>
      </w:r>
      <w:r w:rsidRPr="00954927">
        <w:rPr>
          <w:rFonts w:ascii="Calibri Light" w:hAnsi="Calibri Light"/>
          <w:noProof/>
          <w:lang w:eastAsia="en-GB"/>
        </w:rPr>
        <w:drawing>
          <wp:inline distT="0" distB="0" distL="0" distR="0" wp14:anchorId="31B12435" wp14:editId="73C6D6EC">
            <wp:extent cx="5915025" cy="298132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6409E" w:rsidRDefault="00F6409E" w:rsidP="00F6409E">
      <w:pPr>
        <w:pStyle w:val="Caption"/>
        <w:jc w:val="center"/>
      </w:pPr>
      <w:r>
        <w:t xml:space="preserve">Figure </w:t>
      </w:r>
      <w:r>
        <w:fldChar w:fldCharType="begin"/>
      </w:r>
      <w:r>
        <w:instrText xml:space="preserve"> SEQ Figure \* ARABIC </w:instrText>
      </w:r>
      <w:r>
        <w:fldChar w:fldCharType="separate"/>
      </w:r>
      <w:r>
        <w:rPr>
          <w:noProof/>
        </w:rPr>
        <w:t>3</w:t>
      </w:r>
      <w:r>
        <w:fldChar w:fldCharType="end"/>
      </w:r>
    </w:p>
    <w:p w:rsidR="00F6409E" w:rsidRPr="007D731F" w:rsidRDefault="00F6409E" w:rsidP="00F6409E"/>
    <w:p w:rsidR="00F6409E" w:rsidRPr="00AC0B2A"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Becoming aware of an important of education towards people, Finland government give precedence to every child to preparing the readiness for school since their first day on the earth. To be ready for school, children have to have a readiness in physically (be able to eat, to write by themselves) and mentally (communication, social-awareness). The government has known these entire basic requirements and tried to make all Finnish children have equally support. </w:t>
      </w:r>
    </w:p>
    <w:p w:rsidR="00F6409E" w:rsidRDefault="00F6409E" w:rsidP="00F6409E">
      <w:pPr>
        <w:spacing w:line="480" w:lineRule="auto"/>
        <w:ind w:firstLine="720"/>
        <w:jc w:val="thaiDistribute"/>
        <w:rPr>
          <w:rFonts w:ascii="Times New Roman" w:hAnsi="Times New Roman"/>
          <w:sz w:val="24"/>
          <w:szCs w:val="24"/>
          <w:shd w:val="clear" w:color="auto" w:fill="FFFFFF"/>
        </w:rPr>
      </w:pPr>
      <w:r w:rsidRPr="00E24B47">
        <w:rPr>
          <w:rFonts w:ascii="Times New Roman" w:hAnsi="Times New Roman" w:cs="Times New Roman"/>
          <w:sz w:val="24"/>
          <w:szCs w:val="24"/>
          <w:shd w:val="clear" w:color="auto" w:fill="FFFFFF"/>
        </w:rPr>
        <w:t xml:space="preserve">"Early education is the first and most critical stage of lifelong learning. Neurological research has shown that 90% of brain growth occurs during the first five years of life, and 85% of the nerve paths develop before starting school (n. b. </w:t>
      </w:r>
      <w:proofErr w:type="gramStart"/>
      <w:r w:rsidRPr="00E24B47">
        <w:rPr>
          <w:rFonts w:ascii="Times New Roman" w:hAnsi="Times New Roman" w:cs="Times New Roman"/>
          <w:sz w:val="24"/>
          <w:szCs w:val="24"/>
          <w:shd w:val="clear" w:color="auto" w:fill="FFFFFF"/>
        </w:rPr>
        <w:t>At the age of seven in Finland)</w:t>
      </w:r>
      <w:r>
        <w:rPr>
          <w:rFonts w:ascii="Times New Roman" w:hAnsi="Times New Roman" w:cs="Times New Roman"/>
          <w:sz w:val="24"/>
          <w:szCs w:val="24"/>
          <w:shd w:val="clear" w:color="auto" w:fill="FFFFFF"/>
        </w:rPr>
        <w:t>”</w:t>
      </w:r>
      <w:r>
        <w:rPr>
          <w:rStyle w:val="FootnoteReference"/>
          <w:rFonts w:ascii="Times New Roman" w:hAnsi="Times New Roman" w:cs="Times New Roman"/>
          <w:sz w:val="24"/>
          <w:szCs w:val="24"/>
          <w:shd w:val="clear" w:color="auto" w:fill="FFFFFF"/>
        </w:rPr>
        <w:footnoteReference w:id="3"/>
      </w:r>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 xml:space="preserve"> </w:t>
      </w:r>
      <w:r>
        <w:rPr>
          <w:rFonts w:ascii="Times New Roman" w:hAnsi="Times New Roman"/>
          <w:sz w:val="24"/>
          <w:szCs w:val="24"/>
          <w:shd w:val="clear" w:color="auto" w:fill="FFFFFF"/>
        </w:rPr>
        <w:t xml:space="preserve">Finland has a very strong policy to support new born children. Starting with giving a </w:t>
      </w:r>
      <w:r>
        <w:rPr>
          <w:rFonts w:ascii="Times New Roman" w:hAnsi="Times New Roman"/>
          <w:sz w:val="24"/>
          <w:szCs w:val="24"/>
          <w:shd w:val="clear" w:color="auto" w:fill="FFFFFF"/>
        </w:rPr>
        <w:lastRenderedPageBreak/>
        <w:t>maternity package to all parents of new born baby to guide them and give knowledge about how to parent a child in a proper way; moreover, in this package also have some basic stuff of baby such as baby book to foster a culture of reading.</w:t>
      </w:r>
    </w:p>
    <w:tbl>
      <w:tblPr>
        <w:tblStyle w:val="TableGrid"/>
        <w:tblpPr w:leftFromText="180" w:rightFromText="180" w:vertAnchor="text" w:horzAnchor="margin" w:tblpXSpec="center" w:tblpY="4"/>
        <w:tblW w:w="0" w:type="auto"/>
        <w:tblLook w:val="04A0" w:firstRow="1" w:lastRow="0" w:firstColumn="1" w:lastColumn="0" w:noHBand="0" w:noVBand="1"/>
      </w:tblPr>
      <w:tblGrid>
        <w:gridCol w:w="2868"/>
        <w:gridCol w:w="1507"/>
      </w:tblGrid>
      <w:tr w:rsidR="00F6409E" w:rsidTr="00B21299">
        <w:trPr>
          <w:trHeight w:val="240"/>
        </w:trPr>
        <w:tc>
          <w:tcPr>
            <w:tcW w:w="4375" w:type="dxa"/>
            <w:gridSpan w:val="2"/>
            <w:vAlign w:val="center"/>
          </w:tcPr>
          <w:p w:rsidR="00F6409E" w:rsidRPr="00AC0B2A" w:rsidRDefault="00F6409E" w:rsidP="00B21299">
            <w:pPr>
              <w:pStyle w:val="ListParagraph"/>
              <w:spacing w:line="480" w:lineRule="auto"/>
              <w:ind w:left="0"/>
              <w:jc w:val="center"/>
              <w:rPr>
                <w:rFonts w:ascii="Times New Roman" w:hAnsi="Times New Roman"/>
                <w:b/>
                <w:bCs/>
                <w:sz w:val="24"/>
                <w:szCs w:val="24"/>
                <w:shd w:val="clear" w:color="auto" w:fill="FFFFFF"/>
              </w:rPr>
            </w:pPr>
            <w:r w:rsidRPr="00AC0B2A">
              <w:rPr>
                <w:rFonts w:ascii="Times New Roman" w:hAnsi="Times New Roman"/>
                <w:b/>
                <w:bCs/>
                <w:sz w:val="24"/>
                <w:szCs w:val="24"/>
                <w:shd w:val="clear" w:color="auto" w:fill="FFFFFF"/>
              </w:rPr>
              <w:t>Education level in Finland</w:t>
            </w:r>
          </w:p>
        </w:tc>
      </w:tr>
      <w:tr w:rsidR="00F6409E" w:rsidTr="00B21299">
        <w:trPr>
          <w:trHeight w:val="132"/>
        </w:trPr>
        <w:tc>
          <w:tcPr>
            <w:tcW w:w="2868" w:type="dxa"/>
            <w:vAlign w:val="center"/>
          </w:tcPr>
          <w:p w:rsidR="00F6409E" w:rsidRPr="00AC0B2A" w:rsidRDefault="00F6409E" w:rsidP="00B21299">
            <w:pPr>
              <w:pStyle w:val="ListParagraph"/>
              <w:spacing w:line="480" w:lineRule="auto"/>
              <w:ind w:left="0"/>
              <w:jc w:val="center"/>
              <w:rPr>
                <w:rFonts w:ascii="Times New Roman" w:hAnsi="Times New Roman"/>
                <w:b/>
                <w:bCs/>
                <w:sz w:val="24"/>
                <w:szCs w:val="24"/>
                <w:shd w:val="clear" w:color="auto" w:fill="FFFFFF"/>
              </w:rPr>
            </w:pPr>
            <w:r w:rsidRPr="00AC0B2A">
              <w:rPr>
                <w:rFonts w:ascii="Times New Roman" w:hAnsi="Times New Roman"/>
                <w:b/>
                <w:bCs/>
                <w:sz w:val="24"/>
                <w:szCs w:val="24"/>
                <w:shd w:val="clear" w:color="auto" w:fill="FFFFFF"/>
              </w:rPr>
              <w:t>Academic Degrees</w:t>
            </w:r>
          </w:p>
        </w:tc>
        <w:tc>
          <w:tcPr>
            <w:tcW w:w="1507" w:type="dxa"/>
            <w:vAlign w:val="center"/>
          </w:tcPr>
          <w:p w:rsidR="00F6409E" w:rsidRPr="00AC0B2A" w:rsidRDefault="00F6409E" w:rsidP="00B21299">
            <w:pPr>
              <w:pStyle w:val="ListParagraph"/>
              <w:spacing w:line="480" w:lineRule="auto"/>
              <w:ind w:left="0"/>
              <w:jc w:val="center"/>
              <w:rPr>
                <w:rFonts w:ascii="Times New Roman" w:hAnsi="Times New Roman"/>
                <w:b/>
                <w:bCs/>
                <w:sz w:val="24"/>
                <w:szCs w:val="24"/>
                <w:shd w:val="clear" w:color="auto" w:fill="FFFFFF"/>
              </w:rPr>
            </w:pPr>
            <w:r w:rsidRPr="00AC0B2A">
              <w:rPr>
                <w:rFonts w:ascii="Times New Roman" w:hAnsi="Times New Roman"/>
                <w:b/>
                <w:bCs/>
                <w:sz w:val="24"/>
                <w:szCs w:val="24"/>
                <w:shd w:val="clear" w:color="auto" w:fill="FFFFFF"/>
              </w:rPr>
              <w:t>Typical ages</w:t>
            </w:r>
          </w:p>
        </w:tc>
      </w:tr>
      <w:tr w:rsidR="00F6409E" w:rsidTr="00B21299">
        <w:trPr>
          <w:trHeight w:val="265"/>
        </w:trPr>
        <w:tc>
          <w:tcPr>
            <w:tcW w:w="2868" w:type="dxa"/>
            <w:vAlign w:val="bottom"/>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Pre-school</w:t>
            </w:r>
          </w:p>
        </w:tc>
        <w:tc>
          <w:tcPr>
            <w:tcW w:w="1507" w:type="dxa"/>
            <w:vAlign w:val="bottom"/>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6-7</w:t>
            </w:r>
          </w:p>
        </w:tc>
      </w:tr>
      <w:tr w:rsidR="00F6409E" w:rsidTr="00B21299">
        <w:trPr>
          <w:trHeight w:val="215"/>
        </w:trPr>
        <w:tc>
          <w:tcPr>
            <w:tcW w:w="2868"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Comprehensive School</w:t>
            </w:r>
          </w:p>
        </w:tc>
        <w:tc>
          <w:tcPr>
            <w:tcW w:w="1507"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7-16</w:t>
            </w:r>
          </w:p>
        </w:tc>
      </w:tr>
      <w:tr w:rsidR="00F6409E" w:rsidTr="00B21299">
        <w:trPr>
          <w:trHeight w:val="340"/>
        </w:trPr>
        <w:tc>
          <w:tcPr>
            <w:tcW w:w="2868"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Upper secondary school</w:t>
            </w:r>
          </w:p>
        </w:tc>
        <w:tc>
          <w:tcPr>
            <w:tcW w:w="1507"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16-19</w:t>
            </w:r>
          </w:p>
        </w:tc>
      </w:tr>
      <w:tr w:rsidR="00F6409E" w:rsidTr="00B21299">
        <w:trPr>
          <w:trHeight w:val="381"/>
        </w:trPr>
        <w:tc>
          <w:tcPr>
            <w:tcW w:w="2868"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Bachelor</w:t>
            </w:r>
          </w:p>
        </w:tc>
        <w:tc>
          <w:tcPr>
            <w:tcW w:w="1507"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+3-4</w:t>
            </w:r>
          </w:p>
        </w:tc>
      </w:tr>
      <w:tr w:rsidR="00F6409E" w:rsidTr="00B21299">
        <w:trPr>
          <w:trHeight w:val="340"/>
        </w:trPr>
        <w:tc>
          <w:tcPr>
            <w:tcW w:w="2868" w:type="dxa"/>
            <w:vAlign w:val="center"/>
          </w:tcPr>
          <w:p w:rsidR="00F6409E" w:rsidRDefault="00F6409E" w:rsidP="00B21299">
            <w:pPr>
              <w:pStyle w:val="ListParagraph"/>
              <w:spacing w:line="480" w:lineRule="auto"/>
              <w:ind w:left="0"/>
              <w:jc w:val="center"/>
              <w:rPr>
                <w:rFonts w:ascii="Times New Roman" w:hAnsi="Times New Roman"/>
                <w:sz w:val="24"/>
                <w:szCs w:val="24"/>
                <w:shd w:val="clear" w:color="auto" w:fill="FFFFFF"/>
              </w:rPr>
            </w:pPr>
            <w:r>
              <w:rPr>
                <w:rFonts w:ascii="Times New Roman" w:hAnsi="Times New Roman"/>
                <w:sz w:val="24"/>
                <w:szCs w:val="24"/>
                <w:shd w:val="clear" w:color="auto" w:fill="FFFFFF"/>
              </w:rPr>
              <w:t>Master</w:t>
            </w:r>
          </w:p>
        </w:tc>
        <w:tc>
          <w:tcPr>
            <w:tcW w:w="1507" w:type="dxa"/>
            <w:vAlign w:val="center"/>
          </w:tcPr>
          <w:p w:rsidR="00F6409E" w:rsidRPr="00AC0B2A" w:rsidRDefault="00F6409E" w:rsidP="00B21299">
            <w:pPr>
              <w:keepNext/>
              <w:spacing w:line="48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+2-3</w:t>
            </w:r>
          </w:p>
        </w:tc>
      </w:tr>
    </w:tbl>
    <w:p w:rsidR="00F6409E" w:rsidRDefault="00F6409E" w:rsidP="00F6409E">
      <w:pPr>
        <w:spacing w:line="480" w:lineRule="auto"/>
        <w:ind w:firstLine="720"/>
        <w:jc w:val="both"/>
        <w:rPr>
          <w:rFonts w:ascii="Times New Roman" w:hAnsi="Times New Roman"/>
          <w:sz w:val="24"/>
          <w:szCs w:val="24"/>
          <w:shd w:val="clear" w:color="auto" w:fill="FFFFFF"/>
        </w:rPr>
      </w:pPr>
    </w:p>
    <w:p w:rsidR="00F6409E" w:rsidRDefault="00F6409E" w:rsidP="00F6409E">
      <w:pPr>
        <w:spacing w:line="480" w:lineRule="auto"/>
        <w:ind w:firstLine="720"/>
        <w:jc w:val="both"/>
        <w:rPr>
          <w:rFonts w:ascii="Times New Roman" w:hAnsi="Times New Roman"/>
          <w:sz w:val="24"/>
          <w:szCs w:val="24"/>
          <w:shd w:val="clear" w:color="auto" w:fill="FFFFFF"/>
        </w:rPr>
      </w:pPr>
    </w:p>
    <w:p w:rsidR="00F6409E" w:rsidRDefault="00F6409E" w:rsidP="00F6409E">
      <w:pPr>
        <w:spacing w:line="480" w:lineRule="auto"/>
        <w:ind w:firstLine="720"/>
        <w:jc w:val="both"/>
        <w:rPr>
          <w:rFonts w:ascii="Times New Roman" w:hAnsi="Times New Roman"/>
          <w:sz w:val="24"/>
          <w:szCs w:val="24"/>
          <w:shd w:val="clear" w:color="auto" w:fill="FFFFFF"/>
        </w:rPr>
      </w:pPr>
    </w:p>
    <w:p w:rsidR="00F6409E" w:rsidRDefault="00F6409E" w:rsidP="00F6409E">
      <w:pPr>
        <w:spacing w:line="480" w:lineRule="auto"/>
        <w:ind w:firstLine="720"/>
        <w:jc w:val="both"/>
        <w:rPr>
          <w:rFonts w:ascii="Times New Roman" w:hAnsi="Times New Roman"/>
          <w:sz w:val="24"/>
          <w:szCs w:val="24"/>
          <w:shd w:val="clear" w:color="auto" w:fill="FFFFFF"/>
        </w:rPr>
      </w:pPr>
    </w:p>
    <w:p w:rsidR="00F6409E" w:rsidRDefault="00F6409E" w:rsidP="00F6409E">
      <w:pPr>
        <w:spacing w:line="480" w:lineRule="auto"/>
        <w:ind w:firstLine="720"/>
        <w:jc w:val="both"/>
        <w:rPr>
          <w:rFonts w:ascii="Times New Roman" w:hAnsi="Times New Roman"/>
          <w:sz w:val="24"/>
          <w:szCs w:val="24"/>
          <w:shd w:val="clear" w:color="auto" w:fill="FFFFFF"/>
        </w:rPr>
      </w:pPr>
    </w:p>
    <w:p w:rsidR="00F6409E" w:rsidRDefault="00F6409E" w:rsidP="00F6409E">
      <w:pPr>
        <w:pStyle w:val="Caption"/>
        <w:framePr w:hSpace="180" w:wrap="around" w:vAnchor="text" w:hAnchor="page" w:x="5776" w:y="291"/>
      </w:pPr>
      <w:r>
        <w:t xml:space="preserve">Figure </w:t>
      </w:r>
      <w:r>
        <w:fldChar w:fldCharType="begin"/>
      </w:r>
      <w:r>
        <w:instrText xml:space="preserve"> SEQ Figure \* ARABIC </w:instrText>
      </w:r>
      <w:r>
        <w:fldChar w:fldCharType="separate"/>
      </w:r>
      <w:r>
        <w:rPr>
          <w:noProof/>
        </w:rPr>
        <w:t>4</w:t>
      </w:r>
      <w:r>
        <w:fldChar w:fldCharType="end"/>
      </w:r>
    </w:p>
    <w:p w:rsidR="00F6409E" w:rsidRDefault="00F6409E" w:rsidP="00F6409E">
      <w:pPr>
        <w:spacing w:line="480" w:lineRule="auto"/>
        <w:jc w:val="both"/>
        <w:rPr>
          <w:rFonts w:ascii="Times New Roman" w:hAnsi="Times New Roman"/>
          <w:sz w:val="24"/>
          <w:szCs w:val="24"/>
          <w:shd w:val="clear" w:color="auto" w:fill="FFFFFF"/>
        </w:rPr>
      </w:pPr>
    </w:p>
    <w:p w:rsidR="00F6409E"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No early than seven years old entering to school for Finnish child, however, at the age of eight months to five years old, parents can send their child to a </w:t>
      </w:r>
      <w:proofErr w:type="spellStart"/>
      <w:r>
        <w:rPr>
          <w:rFonts w:ascii="Times New Roman" w:hAnsi="Times New Roman"/>
          <w:sz w:val="24"/>
          <w:szCs w:val="24"/>
          <w:shd w:val="clear" w:color="auto" w:fill="FFFFFF"/>
        </w:rPr>
        <w:t>daycare</w:t>
      </w:r>
      <w:proofErr w:type="spellEnd"/>
      <w:r>
        <w:rPr>
          <w:rFonts w:ascii="Times New Roman" w:hAnsi="Times New Roman"/>
          <w:sz w:val="24"/>
          <w:szCs w:val="24"/>
          <w:shd w:val="clear" w:color="auto" w:fill="FFFFFF"/>
        </w:rPr>
        <w:t xml:space="preserve"> for free or if any parents desire to do a home </w:t>
      </w:r>
      <w:proofErr w:type="spellStart"/>
      <w:r>
        <w:rPr>
          <w:rFonts w:ascii="Times New Roman" w:hAnsi="Times New Roman"/>
          <w:sz w:val="24"/>
          <w:szCs w:val="24"/>
          <w:shd w:val="clear" w:color="auto" w:fill="FFFFFF"/>
        </w:rPr>
        <w:t>daycare</w:t>
      </w:r>
      <w:proofErr w:type="spellEnd"/>
      <w:r>
        <w:rPr>
          <w:rFonts w:ascii="Times New Roman" w:hAnsi="Times New Roman"/>
          <w:sz w:val="24"/>
          <w:szCs w:val="24"/>
          <w:shd w:val="clear" w:color="auto" w:fill="FFFFFF"/>
        </w:rPr>
        <w:t xml:space="preserve"> for their child, municipality will pay for mother to stay at home and do a home </w:t>
      </w:r>
      <w:proofErr w:type="spellStart"/>
      <w:r>
        <w:rPr>
          <w:rFonts w:ascii="Times New Roman" w:hAnsi="Times New Roman"/>
          <w:sz w:val="24"/>
          <w:szCs w:val="24"/>
          <w:shd w:val="clear" w:color="auto" w:fill="FFFFFF"/>
        </w:rPr>
        <w:t>daycare</w:t>
      </w:r>
      <w:proofErr w:type="spellEnd"/>
      <w:r>
        <w:rPr>
          <w:rFonts w:ascii="Times New Roman" w:hAnsi="Times New Roman"/>
          <w:sz w:val="24"/>
          <w:szCs w:val="24"/>
          <w:shd w:val="clear" w:color="auto" w:fill="FFFFFF"/>
        </w:rPr>
        <w:t xml:space="preserve"> for first three years of their child. Early childhood education is not mandatory in Finland but is used by almost every family. “</w:t>
      </w:r>
      <w:proofErr w:type="spellStart"/>
      <w:r>
        <w:rPr>
          <w:rFonts w:ascii="Times New Roman" w:hAnsi="Times New Roman"/>
          <w:sz w:val="24"/>
          <w:szCs w:val="24"/>
          <w:shd w:val="clear" w:color="auto" w:fill="FFFFFF"/>
        </w:rPr>
        <w:t>Daycare</w:t>
      </w:r>
      <w:proofErr w:type="spellEnd"/>
      <w:r>
        <w:rPr>
          <w:rFonts w:ascii="Times New Roman" w:hAnsi="Times New Roman"/>
          <w:sz w:val="24"/>
          <w:szCs w:val="24"/>
          <w:shd w:val="clear" w:color="auto" w:fill="FFFFFF"/>
        </w:rPr>
        <w:t xml:space="preserve"> is not a place where you dump your child when you are working. It is a place for your child to play and learn and make friends. Good parents put their children in </w:t>
      </w:r>
      <w:proofErr w:type="spellStart"/>
      <w:r>
        <w:rPr>
          <w:rFonts w:ascii="Times New Roman" w:hAnsi="Times New Roman"/>
          <w:sz w:val="24"/>
          <w:szCs w:val="24"/>
          <w:shd w:val="clear" w:color="auto" w:fill="FFFFFF"/>
        </w:rPr>
        <w:t>daycare</w:t>
      </w:r>
      <w:proofErr w:type="spellEnd"/>
      <w:r>
        <w:rPr>
          <w:rFonts w:ascii="Times New Roman" w:hAnsi="Times New Roman"/>
          <w:sz w:val="24"/>
          <w:szCs w:val="24"/>
          <w:shd w:val="clear" w:color="auto" w:fill="FFFFFF"/>
        </w:rPr>
        <w:t>. It is not related to socio-economic class”</w:t>
      </w:r>
      <w:r w:rsidRPr="00A32EE0">
        <w:rPr>
          <w:rFonts w:ascii="Verdana" w:hAnsi="Verdana"/>
          <w:color w:val="000000"/>
          <w:sz w:val="18"/>
          <w:szCs w:val="18"/>
          <w:shd w:val="clear" w:color="auto" w:fill="FFFFFF"/>
        </w:rPr>
        <w:t xml:space="preserve"> </w:t>
      </w:r>
      <w:r w:rsidRPr="00A32EE0">
        <w:rPr>
          <w:rFonts w:ascii="Times New Roman" w:hAnsi="Times New Roman" w:cs="Times New Roman"/>
          <w:color w:val="000000"/>
          <w:sz w:val="24"/>
          <w:szCs w:val="24"/>
          <w:shd w:val="clear" w:color="auto" w:fill="FFFFFF"/>
        </w:rPr>
        <w:t xml:space="preserve">explained </w:t>
      </w:r>
      <w:proofErr w:type="spellStart"/>
      <w:r w:rsidRPr="00A32EE0">
        <w:rPr>
          <w:rFonts w:ascii="Times New Roman" w:hAnsi="Times New Roman" w:cs="Times New Roman"/>
          <w:color w:val="000000"/>
          <w:sz w:val="24"/>
          <w:szCs w:val="24"/>
          <w:shd w:val="clear" w:color="auto" w:fill="FFFFFF"/>
        </w:rPr>
        <w:t>Eeva</w:t>
      </w:r>
      <w:proofErr w:type="spellEnd"/>
      <w:r w:rsidRPr="00A32EE0">
        <w:rPr>
          <w:rFonts w:ascii="Times New Roman" w:hAnsi="Times New Roman" w:cs="Times New Roman"/>
          <w:color w:val="000000"/>
          <w:sz w:val="24"/>
          <w:szCs w:val="24"/>
          <w:shd w:val="clear" w:color="auto" w:fill="FFFFFF"/>
        </w:rPr>
        <w:t xml:space="preserve"> </w:t>
      </w:r>
      <w:proofErr w:type="spellStart"/>
      <w:r w:rsidRPr="00A32EE0">
        <w:rPr>
          <w:rFonts w:ascii="Times New Roman" w:hAnsi="Times New Roman" w:cs="Times New Roman"/>
          <w:color w:val="000000"/>
          <w:sz w:val="24"/>
          <w:szCs w:val="24"/>
          <w:shd w:val="clear" w:color="auto" w:fill="FFFFFF"/>
        </w:rPr>
        <w:t>Penttila</w:t>
      </w:r>
      <w:proofErr w:type="spellEnd"/>
      <w:r w:rsidRPr="00A32EE0">
        <w:rPr>
          <w:rFonts w:ascii="Times New Roman" w:hAnsi="Times New Roman" w:cs="Times New Roman"/>
          <w:color w:val="000000"/>
          <w:sz w:val="24"/>
          <w:szCs w:val="24"/>
          <w:shd w:val="clear" w:color="auto" w:fill="FFFFFF"/>
        </w:rPr>
        <w:t>, head of international relations for Helsinki</w:t>
      </w:r>
      <w:r>
        <w:rPr>
          <w:rFonts w:ascii="Times New Roman" w:hAnsi="Times New Roman" w:cs="Times New Roman"/>
          <w:color w:val="000000"/>
          <w:sz w:val="24"/>
          <w:szCs w:val="24"/>
          <w:shd w:val="clear" w:color="auto" w:fill="FFFFFF"/>
        </w:rPr>
        <w:t>’</w:t>
      </w:r>
      <w:r w:rsidRPr="00A32EE0">
        <w:rPr>
          <w:rFonts w:ascii="Times New Roman" w:hAnsi="Times New Roman" w:cs="Times New Roman"/>
          <w:color w:val="000000"/>
          <w:sz w:val="24"/>
          <w:szCs w:val="24"/>
          <w:shd w:val="clear" w:color="auto" w:fill="FFFFFF"/>
        </w:rPr>
        <w:t>s education department.</w:t>
      </w:r>
      <w:r>
        <w:rPr>
          <w:rStyle w:val="apple-converted-space"/>
          <w:rFonts w:ascii="Verdana" w:hAnsi="Verdana"/>
          <w:color w:val="000000"/>
          <w:sz w:val="18"/>
          <w:szCs w:val="18"/>
          <w:shd w:val="clear" w:color="auto" w:fill="FFFFFF"/>
        </w:rPr>
        <w:t> </w:t>
      </w:r>
      <w:r>
        <w:rPr>
          <w:rStyle w:val="FootnoteReference"/>
          <w:rFonts w:ascii="Times New Roman" w:hAnsi="Times New Roman"/>
          <w:sz w:val="24"/>
          <w:szCs w:val="24"/>
          <w:shd w:val="clear" w:color="auto" w:fill="FFFFFF"/>
        </w:rPr>
        <w:footnoteReference w:id="4"/>
      </w:r>
      <w:r>
        <w:rPr>
          <w:rFonts w:ascii="Times New Roman" w:hAnsi="Times New Roman"/>
          <w:sz w:val="24"/>
          <w:szCs w:val="24"/>
          <w:shd w:val="clear" w:color="auto" w:fill="FFFFFF"/>
        </w:rPr>
        <w:t xml:space="preserve">. The focus of kindergarten students is to learn how to learn. Instead of formal </w:t>
      </w:r>
      <w:r>
        <w:rPr>
          <w:rFonts w:ascii="Times New Roman" w:hAnsi="Times New Roman"/>
          <w:sz w:val="24"/>
          <w:szCs w:val="24"/>
          <w:shd w:val="clear" w:color="auto" w:fill="FFFFFF"/>
        </w:rPr>
        <w:lastRenderedPageBreak/>
        <w:t>instruction in reading and mathematics there are lessons on nature, animals, and the circle of life and focus on materials-based learning.</w:t>
      </w:r>
      <w:r>
        <w:rPr>
          <w:rStyle w:val="FootnoteReference"/>
          <w:rFonts w:ascii="Times New Roman" w:hAnsi="Times New Roman"/>
          <w:sz w:val="24"/>
          <w:szCs w:val="24"/>
          <w:shd w:val="clear" w:color="auto" w:fill="FFFFFF"/>
        </w:rPr>
        <w:footnoteReference w:id="5"/>
      </w:r>
    </w:p>
    <w:p w:rsidR="00F6409E"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Entering to the school at the age of seven, comprehensive school is no tuition fees compulsory levels of education for every Finnish child for nine years (until the student is at the age of 15-16). Later students have a choice to continue their studying in bachelor and master degree or start working first to find what their career path is, then continue studying in the specific course. </w:t>
      </w:r>
    </w:p>
    <w:p w:rsidR="00F6409E"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Enrolment rate of </w:t>
      </w:r>
    </w:p>
    <w:p w:rsidR="00F6409E" w:rsidRPr="00BE069B" w:rsidRDefault="00F6409E" w:rsidP="00F6409E">
      <w:pPr>
        <w:numPr>
          <w:ilvl w:val="0"/>
          <w:numId w:val="1"/>
        </w:numPr>
        <w:shd w:val="clear" w:color="auto" w:fill="FAFCFF"/>
        <w:spacing w:before="100" w:beforeAutospacing="1" w:after="100" w:afterAutospacing="1" w:line="240" w:lineRule="auto"/>
        <w:rPr>
          <w:rFonts w:ascii="Verdana" w:eastAsia="Times New Roman" w:hAnsi="Verdana" w:cs="Times New Roman"/>
          <w:color w:val="2A2A2A"/>
          <w:sz w:val="16"/>
          <w:szCs w:val="16"/>
          <w:lang w:eastAsia="en-GB"/>
        </w:rPr>
      </w:pPr>
      <w:r>
        <w:rPr>
          <w:rFonts w:ascii="Times New Roman" w:hAnsi="Times New Roman"/>
          <w:sz w:val="24"/>
          <w:szCs w:val="24"/>
          <w:shd w:val="clear" w:color="auto" w:fill="FFFFFF"/>
        </w:rPr>
        <w:t xml:space="preserve"> </w:t>
      </w:r>
      <w:r w:rsidRPr="00BE069B">
        <w:rPr>
          <w:rFonts w:ascii="Verdana" w:eastAsia="Times New Roman" w:hAnsi="Verdana" w:cs="Times New Roman"/>
          <w:b/>
          <w:bCs/>
          <w:color w:val="2A2A2A"/>
          <w:sz w:val="16"/>
          <w:szCs w:val="16"/>
          <w:lang w:eastAsia="en-GB"/>
        </w:rPr>
        <w:t>5)</w:t>
      </w:r>
      <w:r w:rsidRPr="00BE069B">
        <w:rPr>
          <w:rFonts w:ascii="Verdana" w:eastAsia="Times New Roman" w:hAnsi="Verdana" w:cs="Times New Roman"/>
          <w:color w:val="2A2A2A"/>
          <w:sz w:val="16"/>
          <w:szCs w:val="16"/>
          <w:lang w:eastAsia="en-GB"/>
        </w:rPr>
        <w:t> There are </w:t>
      </w:r>
      <w:r w:rsidRPr="00BE069B">
        <w:rPr>
          <w:rFonts w:ascii="Verdana" w:eastAsia="Times New Roman" w:hAnsi="Verdana" w:cs="Times New Roman"/>
          <w:b/>
          <w:bCs/>
          <w:color w:val="2A2A2A"/>
          <w:sz w:val="16"/>
          <w:szCs w:val="16"/>
          <w:lang w:eastAsia="en-GB"/>
        </w:rPr>
        <w:t>no mandatory tests or exams</w:t>
      </w:r>
      <w:r w:rsidRPr="00BE069B">
        <w:rPr>
          <w:rFonts w:ascii="Verdana" w:eastAsia="Times New Roman" w:hAnsi="Verdana" w:cs="Times New Roman"/>
          <w:color w:val="2A2A2A"/>
          <w:sz w:val="16"/>
          <w:szCs w:val="16"/>
          <w:lang w:eastAsia="en-GB"/>
        </w:rPr>
        <w:t>; except for the nationwide </w:t>
      </w:r>
      <w:r w:rsidRPr="00BE069B">
        <w:rPr>
          <w:rFonts w:ascii="Verdana" w:eastAsia="Times New Roman" w:hAnsi="Verdana" w:cs="Times New Roman"/>
          <w:i/>
          <w:iCs/>
          <w:color w:val="2A2A2A"/>
          <w:sz w:val="16"/>
          <w:szCs w:val="16"/>
          <w:lang w:eastAsia="en-GB"/>
        </w:rPr>
        <w:t>National Matriculation Examination</w:t>
      </w:r>
      <w:r w:rsidRPr="00BE069B">
        <w:rPr>
          <w:rFonts w:ascii="Verdana" w:eastAsia="Times New Roman" w:hAnsi="Verdana" w:cs="Times New Roman"/>
          <w:color w:val="2A2A2A"/>
          <w:sz w:val="16"/>
          <w:szCs w:val="16"/>
          <w:lang w:eastAsia="en-GB"/>
        </w:rPr>
        <w:t>, in mother tongue, foreign language, mathematics and social/natural sciences, at the end of the upper-secondary school (from 17-19-year-old). Teachers make their own assessment tests, not quoting numeric grades, but using descriptive feedback, no longer comparing students with one another. This helped teachers and students </w:t>
      </w:r>
      <w:r w:rsidRPr="00BE069B">
        <w:rPr>
          <w:rFonts w:ascii="Verdana" w:eastAsia="Times New Roman" w:hAnsi="Verdana" w:cs="Times New Roman"/>
          <w:b/>
          <w:bCs/>
          <w:color w:val="2A2A2A"/>
          <w:sz w:val="16"/>
          <w:szCs w:val="16"/>
          <w:lang w:eastAsia="en-GB"/>
        </w:rPr>
        <w:t xml:space="preserve">focusing on </w:t>
      </w:r>
      <w:proofErr w:type="spellStart"/>
      <w:r w:rsidRPr="00BE069B">
        <w:rPr>
          <w:rFonts w:ascii="Verdana" w:eastAsia="Times New Roman" w:hAnsi="Verdana" w:cs="Times New Roman"/>
          <w:b/>
          <w:bCs/>
          <w:color w:val="2A2A2A"/>
          <w:sz w:val="16"/>
          <w:szCs w:val="16"/>
          <w:lang w:eastAsia="en-GB"/>
        </w:rPr>
        <w:t>learning</w:t>
      </w:r>
      <w:r w:rsidRPr="00BE069B">
        <w:rPr>
          <w:rFonts w:ascii="Verdana" w:eastAsia="Times New Roman" w:hAnsi="Verdana" w:cs="Times New Roman"/>
          <w:color w:val="2A2A2A"/>
          <w:sz w:val="16"/>
          <w:szCs w:val="16"/>
          <w:lang w:eastAsia="en-GB"/>
        </w:rPr>
        <w:t>in</w:t>
      </w:r>
      <w:proofErr w:type="spellEnd"/>
      <w:r w:rsidRPr="00BE069B">
        <w:rPr>
          <w:rFonts w:ascii="Verdana" w:eastAsia="Times New Roman" w:hAnsi="Verdana" w:cs="Times New Roman"/>
          <w:color w:val="2A2A2A"/>
          <w:sz w:val="16"/>
          <w:szCs w:val="16"/>
          <w:lang w:eastAsia="en-GB"/>
        </w:rPr>
        <w:t xml:space="preserve"> a fear-free environment, in which creativity and risk-taking are encouraged. </w:t>
      </w:r>
      <w:r w:rsidRPr="00BE069B">
        <w:rPr>
          <w:rFonts w:ascii="Verdana" w:eastAsia="Times New Roman" w:hAnsi="Verdana" w:cs="Times New Roman"/>
          <w:b/>
          <w:bCs/>
          <w:color w:val="2A2A2A"/>
          <w:sz w:val="16"/>
          <w:szCs w:val="16"/>
          <w:lang w:eastAsia="en-GB"/>
        </w:rPr>
        <w:t>Teachers have more real freedom in time planning</w:t>
      </w:r>
      <w:r w:rsidRPr="00BE069B">
        <w:rPr>
          <w:rFonts w:ascii="Verdana" w:eastAsia="Times New Roman" w:hAnsi="Verdana" w:cs="Times New Roman"/>
          <w:color w:val="2A2A2A"/>
          <w:sz w:val="16"/>
          <w:szCs w:val="16"/>
          <w:lang w:eastAsia="en-GB"/>
        </w:rPr>
        <w:t> when they do not need have to focus on annual tests or exams.</w:t>
      </w:r>
      <w:r w:rsidRPr="00BE069B">
        <w:rPr>
          <w:rFonts w:ascii="Verdana" w:eastAsia="Times New Roman" w:hAnsi="Verdana" w:cs="Times New Roman"/>
          <w:color w:val="2A2A2A"/>
          <w:sz w:val="16"/>
          <w:szCs w:val="16"/>
          <w:lang w:eastAsia="en-GB"/>
        </w:rPr>
        <w:br/>
        <w:t>–</w:t>
      </w:r>
    </w:p>
    <w:p w:rsidR="00F6409E" w:rsidRPr="00387984" w:rsidRDefault="00F6409E" w:rsidP="00F6409E">
      <w:pPr>
        <w:spacing w:line="480" w:lineRule="auto"/>
        <w:ind w:firstLine="720"/>
        <w:jc w:val="thaiDistribute"/>
        <w:rPr>
          <w:rFonts w:ascii="Times New Roman" w:hAnsi="Times New Roman"/>
          <w:sz w:val="24"/>
          <w:szCs w:val="24"/>
          <w:shd w:val="clear" w:color="auto" w:fill="FFFFFF"/>
          <w:lang w:val="en-US"/>
        </w:rPr>
      </w:pPr>
      <w:r w:rsidRPr="00387984">
        <w:rPr>
          <w:rFonts w:ascii="Times New Roman" w:hAnsi="Times New Roman"/>
          <w:sz w:val="24"/>
          <w:szCs w:val="24"/>
          <w:highlight w:val="yellow"/>
          <w:shd w:val="clear" w:color="auto" w:fill="FFFFFF"/>
          <w:lang w:val="en-US"/>
        </w:rPr>
        <w:t xml:space="preserve">Rate </w:t>
      </w:r>
      <w:r>
        <w:rPr>
          <w:rFonts w:ascii="Times New Roman" w:hAnsi="Times New Roman"/>
          <w:sz w:val="24"/>
          <w:szCs w:val="24"/>
          <w:highlight w:val="yellow"/>
          <w:shd w:val="clear" w:color="auto" w:fill="FFFFFF"/>
          <w:lang w:val="en-US"/>
        </w:rPr>
        <w:t xml:space="preserve">enroll and </w:t>
      </w:r>
      <w:proofErr w:type="spellStart"/>
      <w:r>
        <w:rPr>
          <w:rFonts w:ascii="Times New Roman" w:hAnsi="Times New Roman"/>
          <w:sz w:val="24"/>
          <w:szCs w:val="24"/>
          <w:highlight w:val="yellow"/>
          <w:shd w:val="clear" w:color="auto" w:fill="FFFFFF"/>
          <w:lang w:val="en-US"/>
        </w:rPr>
        <w:t>rean</w:t>
      </w:r>
      <w:proofErr w:type="spellEnd"/>
      <w:r>
        <w:rPr>
          <w:rFonts w:ascii="Times New Roman" w:hAnsi="Times New Roman"/>
          <w:sz w:val="24"/>
          <w:szCs w:val="24"/>
          <w:highlight w:val="yellow"/>
          <w:shd w:val="clear" w:color="auto" w:fill="FFFFFF"/>
          <w:lang w:val="en-US"/>
        </w:rPr>
        <w:t xml:space="preserve"> tor </w:t>
      </w:r>
    </w:p>
    <w:p w:rsidR="00F6409E"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In addition students with full readiness for school, the education system will not completely successful if there has no good quality of human capital, “teacher”, the person who impels the classroom and supports student to achieve the goals, is the main human capital in education system. Not easily to be a teacher in Finland, only 10 </w:t>
      </w:r>
      <w:proofErr w:type="spellStart"/>
      <w:r>
        <w:rPr>
          <w:rFonts w:ascii="Times New Roman" w:hAnsi="Times New Roman"/>
          <w:sz w:val="24"/>
          <w:szCs w:val="24"/>
          <w:shd w:val="clear" w:color="auto" w:fill="FFFFFF"/>
        </w:rPr>
        <w:t>percent</w:t>
      </w:r>
      <w:proofErr w:type="spellEnd"/>
      <w:r>
        <w:rPr>
          <w:rFonts w:ascii="Times New Roman" w:hAnsi="Times New Roman"/>
          <w:sz w:val="24"/>
          <w:szCs w:val="24"/>
          <w:shd w:val="clear" w:color="auto" w:fill="FFFFFF"/>
        </w:rPr>
        <w:t xml:space="preserve"> of 5,000 applicants are accepted to the faculties of education in Finnish universities each year. All teachers are highly respected and appreciated, partly because all teachers require at least master’s degree to qualify for a permanent job. A common feature in Finnish schools is trust the school and teachers. The ministry of education always believed that teacher together with principals, parents and their communities know how to provide the best possible education </w:t>
      </w:r>
      <w:r>
        <w:rPr>
          <w:rFonts w:ascii="Times New Roman" w:hAnsi="Times New Roman"/>
          <w:sz w:val="24"/>
          <w:szCs w:val="24"/>
          <w:shd w:val="clear" w:color="auto" w:fill="FFFFFF"/>
        </w:rPr>
        <w:lastRenderedPageBreak/>
        <w:t xml:space="preserve">for their children and youth. School and individual teacher can design their own curricula to reflect their own local concern based on the guideline for learning goals and assessment criteria from The National Board of Education. </w:t>
      </w:r>
    </w:p>
    <w:p w:rsidR="00F6409E" w:rsidRDefault="00F6409E" w:rsidP="00F6409E">
      <w:pPr>
        <w:spacing w:line="480" w:lineRule="auto"/>
        <w:ind w:firstLine="720"/>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 xml:space="preserve">Nowadays, </w:t>
      </w:r>
      <w:r>
        <w:rPr>
          <w:rFonts w:ascii="Times New Roman" w:hAnsi="Times New Roman"/>
          <w:sz w:val="24"/>
          <w:szCs w:val="24"/>
          <w:shd w:val="clear" w:color="auto" w:fill="FFFFFF"/>
          <w:lang w:val="en-US"/>
        </w:rPr>
        <w:t>Technologies are inevitably accepted as very helpful tool for an education. Even though Finland is the leader in education, education ministers and leaders of education-related private sector industries still pay attention to adapt their education system to be well-working with up-to-date technologies. They need to reformat learning environments to incorporate technological innovations that could widen access to and improve the quality of education, also supporting teachers through professional development activities as they adapt their teaching styles to make greater and more effective use of digital innovation</w:t>
      </w:r>
      <w:r>
        <w:rPr>
          <w:rStyle w:val="FootnoteReference"/>
          <w:rFonts w:ascii="Times New Roman" w:hAnsi="Times New Roman"/>
          <w:sz w:val="24"/>
          <w:szCs w:val="24"/>
          <w:shd w:val="clear" w:color="auto" w:fill="FFFFFF"/>
          <w:lang w:val="en-US"/>
        </w:rPr>
        <w:footnoteReference w:id="6"/>
      </w:r>
      <w:r>
        <w:rPr>
          <w:rFonts w:ascii="Times New Roman" w:hAnsi="Times New Roman"/>
          <w:sz w:val="24"/>
          <w:szCs w:val="24"/>
          <w:shd w:val="clear" w:color="auto" w:fill="FFFFFF"/>
          <w:lang w:val="en-US"/>
        </w:rPr>
        <w:t xml:space="preserve">.  </w:t>
      </w:r>
      <w:r>
        <w:rPr>
          <w:rFonts w:ascii="Times New Roman" w:hAnsi="Times New Roman"/>
          <w:sz w:val="24"/>
          <w:szCs w:val="24"/>
          <w:shd w:val="clear" w:color="auto" w:fill="FFFFFF"/>
        </w:rPr>
        <w:t xml:space="preserve"> </w:t>
      </w:r>
    </w:p>
    <w:p w:rsidR="00F6409E" w:rsidRDefault="00F6409E" w:rsidP="00F6409E">
      <w:pPr>
        <w:spacing w:line="480" w:lineRule="auto"/>
        <w:jc w:val="thaiDistribute"/>
        <w:rPr>
          <w:rFonts w:ascii="Times New Roman" w:hAnsi="Times New Roman"/>
          <w:sz w:val="24"/>
          <w:szCs w:val="24"/>
          <w:shd w:val="clear" w:color="auto" w:fill="FFFFFF"/>
        </w:rPr>
      </w:pPr>
    </w:p>
    <w:p w:rsidR="00F6409E" w:rsidRDefault="00F6409E" w:rsidP="00F6409E">
      <w:pPr>
        <w:rPr>
          <w:rFonts w:ascii="Times New Roman" w:hAnsi="Times New Roman"/>
          <w:b/>
          <w:bCs/>
          <w:sz w:val="24"/>
          <w:szCs w:val="24"/>
          <w:shd w:val="clear" w:color="auto" w:fill="FFFFFF"/>
        </w:rPr>
      </w:pPr>
      <w:r>
        <w:rPr>
          <w:rFonts w:ascii="Times New Roman" w:hAnsi="Times New Roman"/>
          <w:b/>
          <w:bCs/>
          <w:sz w:val="24"/>
          <w:szCs w:val="24"/>
          <w:shd w:val="clear" w:color="auto" w:fill="FFFFFF"/>
        </w:rPr>
        <w:br w:type="page"/>
      </w:r>
    </w:p>
    <w:p w:rsidR="00F6409E" w:rsidRDefault="00F6409E" w:rsidP="00F6409E">
      <w:pPr>
        <w:spacing w:line="480" w:lineRule="auto"/>
        <w:jc w:val="thaiDistribute"/>
        <w:rPr>
          <w:rFonts w:ascii="Times New Roman" w:hAnsi="Times New Roman"/>
          <w:sz w:val="24"/>
          <w:szCs w:val="24"/>
          <w:shd w:val="clear" w:color="auto" w:fill="FFFFFF"/>
        </w:rPr>
      </w:pPr>
      <w:r>
        <w:rPr>
          <w:rFonts w:ascii="Times New Roman" w:hAnsi="Times New Roman"/>
          <w:b/>
          <w:bCs/>
          <w:sz w:val="24"/>
          <w:szCs w:val="24"/>
          <w:shd w:val="clear" w:color="auto" w:fill="FFFFFF"/>
        </w:rPr>
        <w:lastRenderedPageBreak/>
        <w:t>Conclusion</w:t>
      </w:r>
    </w:p>
    <w:p w:rsidR="00F6409E" w:rsidRDefault="00F6409E" w:rsidP="00F6409E">
      <w:pPr>
        <w:spacing w:line="480" w:lineRule="auto"/>
        <w:jc w:val="thaiDistribute"/>
        <w:rPr>
          <w:rFonts w:ascii="Times New Roman" w:hAnsi="Times New Roman"/>
          <w:sz w:val="24"/>
          <w:szCs w:val="24"/>
          <w:shd w:val="clear" w:color="auto" w:fill="FFFFFF"/>
        </w:rPr>
      </w:pPr>
      <w:r>
        <w:rPr>
          <w:rFonts w:ascii="Times New Roman" w:hAnsi="Times New Roman"/>
          <w:sz w:val="24"/>
          <w:szCs w:val="24"/>
          <w:shd w:val="clear" w:color="auto" w:fill="FFFFFF"/>
        </w:rPr>
        <w:tab/>
        <w:t>Finland is a developed country mainly focused on developing human capital by education. Education system in Finland is very successful and also be a model for many countries both in European Union and outsides. Free and equally education for all student policy with high quality of teachers and learning instrument are the main factors driving the education system become successful as in the present. Finland improved its public education system not by privatizing its schools or constantly testing its students with hard exam, but by strengthening the education profession and investing in teacher preparation and support, also very adaptive to the change in the society which using more digitalize innovation in education to make everything more effective and easily access.</w:t>
      </w:r>
    </w:p>
    <w:p w:rsidR="00F6409E" w:rsidRPr="00EB4287" w:rsidRDefault="00F6409E" w:rsidP="00F6409E">
      <w:pPr>
        <w:spacing w:line="480" w:lineRule="auto"/>
        <w:ind w:firstLine="720"/>
        <w:jc w:val="thaiDistribute"/>
        <w:rPr>
          <w:rFonts w:ascii="Times New Roman" w:hAnsi="Times New Roman"/>
          <w:sz w:val="24"/>
        </w:rPr>
      </w:pPr>
    </w:p>
    <w:p w:rsidR="00F6409E" w:rsidRDefault="00F6409E" w:rsidP="00F6409E">
      <w:pPr>
        <w:keepNext/>
        <w:jc w:val="thaiDistribute"/>
      </w:pPr>
    </w:p>
    <w:p w:rsidR="00F6409E" w:rsidRDefault="00F6409E" w:rsidP="00F6409E">
      <w:pPr>
        <w:jc w:val="thaiDistribute"/>
        <w:rPr>
          <w:rFonts w:ascii="Times New Roman" w:hAnsi="Times New Roman"/>
          <w:b/>
          <w:bCs/>
          <w:sz w:val="24"/>
          <w:u w:val="single"/>
        </w:rPr>
      </w:pPr>
      <w:r>
        <w:rPr>
          <w:rFonts w:ascii="Times New Roman" w:hAnsi="Times New Roman"/>
          <w:b/>
          <w:bCs/>
          <w:sz w:val="24"/>
          <w:u w:val="single"/>
        </w:rPr>
        <w:br w:type="page"/>
      </w:r>
    </w:p>
    <w:p w:rsidR="00F6409E" w:rsidRPr="007D7DD2" w:rsidRDefault="00F6409E" w:rsidP="00F6409E">
      <w:pPr>
        <w:spacing w:line="480" w:lineRule="auto"/>
        <w:jc w:val="thaiDistribute"/>
        <w:rPr>
          <w:rFonts w:ascii="Times New Roman" w:hAnsi="Times New Roman"/>
          <w:b/>
          <w:bCs/>
          <w:sz w:val="28"/>
          <w:szCs w:val="32"/>
          <w:u w:val="single"/>
        </w:rPr>
      </w:pPr>
      <w:r w:rsidRPr="007D7DD2">
        <w:rPr>
          <w:rFonts w:ascii="Times New Roman" w:hAnsi="Times New Roman"/>
          <w:b/>
          <w:bCs/>
          <w:sz w:val="28"/>
          <w:szCs w:val="32"/>
          <w:u w:val="single"/>
        </w:rPr>
        <w:lastRenderedPageBreak/>
        <w:t>Appendix</w:t>
      </w:r>
    </w:p>
    <w:p w:rsidR="00F6409E" w:rsidRPr="00943068" w:rsidRDefault="00F6409E" w:rsidP="00F6409E">
      <w:pPr>
        <w:spacing w:line="480" w:lineRule="auto"/>
        <w:jc w:val="thaiDistribute"/>
        <w:rPr>
          <w:rFonts w:ascii="Times New Roman" w:hAnsi="Times New Roman"/>
          <w:b/>
          <w:bCs/>
          <w:sz w:val="24"/>
        </w:rPr>
      </w:pPr>
      <w:r>
        <w:rPr>
          <w:rFonts w:ascii="Times New Roman" w:hAnsi="Times New Roman"/>
          <w:b/>
          <w:bCs/>
          <w:sz w:val="24"/>
        </w:rPr>
        <w:t>Figure1: Finnish Age Structure</w:t>
      </w:r>
    </w:p>
    <w:p w:rsidR="00F6409E" w:rsidRDefault="00F6409E" w:rsidP="00F6409E">
      <w:pPr>
        <w:jc w:val="center"/>
        <w:rPr>
          <w:rFonts w:ascii="Times New Roman" w:hAnsi="Times New Roman"/>
          <w:b/>
          <w:bCs/>
          <w:sz w:val="24"/>
        </w:rPr>
      </w:pPr>
      <w:r w:rsidRPr="000855A1">
        <w:rPr>
          <w:rFonts w:ascii="Times New Roman" w:hAnsi="Times New Roman"/>
          <w:b/>
          <w:bCs/>
          <w:noProof/>
          <w:sz w:val="24"/>
          <w:lang w:eastAsia="en-GB"/>
        </w:rPr>
        <mc:AlternateContent>
          <mc:Choice Requires="wps">
            <w:drawing>
              <wp:anchor distT="0" distB="0" distL="114300" distR="114300" simplePos="0" relativeHeight="251662336" behindDoc="1" locked="0" layoutInCell="1" allowOverlap="1" wp14:anchorId="0E1A850B" wp14:editId="2A6EB1AB">
                <wp:simplePos x="0" y="0"/>
                <wp:positionH relativeFrom="column">
                  <wp:posOffset>371475</wp:posOffset>
                </wp:positionH>
                <wp:positionV relativeFrom="paragraph">
                  <wp:posOffset>3157855</wp:posOffset>
                </wp:positionV>
                <wp:extent cx="2266950" cy="3048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Central Intelligence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9.25pt;margin-top:248.65pt;width:178.5pt;height:2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Central Intelligence Agency</w:t>
                      </w:r>
                    </w:p>
                  </w:txbxContent>
                </v:textbox>
              </v:shape>
            </w:pict>
          </mc:Fallback>
        </mc:AlternateContent>
      </w:r>
      <w:r>
        <w:rPr>
          <w:rFonts w:ascii="Times New Roman" w:hAnsi="Times New Roman"/>
          <w:b/>
          <w:bCs/>
          <w:noProof/>
          <w:sz w:val="24"/>
          <w:lang w:eastAsia="en-GB"/>
        </w:rPr>
        <w:drawing>
          <wp:inline distT="0" distB="0" distL="0" distR="0" wp14:anchorId="73A2A936" wp14:editId="42427062">
            <wp:extent cx="4991100" cy="3152775"/>
            <wp:effectExtent l="0" t="0" r="1905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6409E" w:rsidRDefault="00F6409E" w:rsidP="00F6409E">
      <w:pPr>
        <w:tabs>
          <w:tab w:val="left" w:pos="2340"/>
        </w:tabs>
        <w:rPr>
          <w:rFonts w:ascii="Times New Roman" w:hAnsi="Times New Roman"/>
          <w:b/>
          <w:bCs/>
          <w:sz w:val="24"/>
        </w:rPr>
      </w:pPr>
      <w:r>
        <w:rPr>
          <w:rFonts w:ascii="Times New Roman" w:hAnsi="Times New Roman"/>
          <w:b/>
          <w:bCs/>
          <w:sz w:val="24"/>
        </w:rPr>
        <w:tab/>
      </w:r>
    </w:p>
    <w:p w:rsidR="00F6409E" w:rsidRDefault="00F6409E" w:rsidP="00F6409E">
      <w:pPr>
        <w:rPr>
          <w:rFonts w:ascii="Times New Roman" w:hAnsi="Times New Roman"/>
          <w:b/>
          <w:bCs/>
          <w:sz w:val="24"/>
        </w:rPr>
      </w:pPr>
      <w:r>
        <w:rPr>
          <w:rFonts w:ascii="Times New Roman" w:hAnsi="Times New Roman"/>
          <w:b/>
          <w:bCs/>
          <w:sz w:val="24"/>
        </w:rPr>
        <w:br/>
        <w:t>Figure2: Government Expenditure per primary student as % of GDP per capita (%)</w:t>
      </w:r>
    </w:p>
    <w:p w:rsidR="00F6409E" w:rsidRDefault="00F6409E" w:rsidP="00F6409E">
      <w:pPr>
        <w:jc w:val="center"/>
        <w:rPr>
          <w:rFonts w:ascii="Times New Roman" w:hAnsi="Times New Roman"/>
          <w:b/>
          <w:bCs/>
          <w:sz w:val="24"/>
        </w:rPr>
      </w:pPr>
      <w:r w:rsidRPr="000855A1">
        <w:rPr>
          <w:rFonts w:ascii="Times New Roman" w:hAnsi="Times New Roman"/>
          <w:b/>
          <w:bCs/>
          <w:noProof/>
          <w:sz w:val="24"/>
          <w:lang w:eastAsia="en-GB"/>
        </w:rPr>
        <mc:AlternateContent>
          <mc:Choice Requires="wps">
            <w:drawing>
              <wp:anchor distT="0" distB="0" distL="114300" distR="114300" simplePos="0" relativeHeight="251665408" behindDoc="1" locked="0" layoutInCell="1" allowOverlap="1" wp14:anchorId="53C78205" wp14:editId="27D3D78E">
                <wp:simplePos x="0" y="0"/>
                <wp:positionH relativeFrom="column">
                  <wp:posOffset>276225</wp:posOffset>
                </wp:positionH>
                <wp:positionV relativeFrom="paragraph">
                  <wp:posOffset>2851150</wp:posOffset>
                </wp:positionV>
                <wp:extent cx="2266950" cy="3048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World 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1.75pt;margin-top:224.5pt;width:178.5pt;height: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World Bank</w:t>
                      </w:r>
                    </w:p>
                  </w:txbxContent>
                </v:textbox>
              </v:shape>
            </w:pict>
          </mc:Fallback>
        </mc:AlternateContent>
      </w:r>
      <w:r>
        <w:rPr>
          <w:rFonts w:ascii="Times New Roman" w:hAnsi="Times New Roman"/>
          <w:b/>
          <w:bCs/>
          <w:noProof/>
          <w:sz w:val="24"/>
          <w:lang w:eastAsia="en-GB"/>
        </w:rPr>
        <w:drawing>
          <wp:inline distT="0" distB="0" distL="0" distR="0" wp14:anchorId="05011EFB" wp14:editId="170E4619">
            <wp:extent cx="5200650" cy="283845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6409E" w:rsidRDefault="00F6409E" w:rsidP="00F6409E">
      <w:pPr>
        <w:jc w:val="center"/>
        <w:rPr>
          <w:rFonts w:ascii="Times New Roman" w:hAnsi="Times New Roman"/>
          <w:b/>
          <w:bCs/>
          <w:sz w:val="24"/>
        </w:rPr>
      </w:pPr>
    </w:p>
    <w:p w:rsidR="00F6409E" w:rsidRDefault="00F6409E" w:rsidP="00F6409E">
      <w:pPr>
        <w:jc w:val="center"/>
        <w:rPr>
          <w:rFonts w:ascii="Times New Roman" w:hAnsi="Times New Roman"/>
          <w:b/>
          <w:bCs/>
          <w:sz w:val="24"/>
        </w:rPr>
      </w:pPr>
    </w:p>
    <w:p w:rsidR="00F6409E" w:rsidRDefault="00F6409E" w:rsidP="00F6409E">
      <w:pPr>
        <w:rPr>
          <w:rFonts w:ascii="Times New Roman" w:hAnsi="Times New Roman"/>
          <w:b/>
          <w:bCs/>
          <w:sz w:val="24"/>
        </w:rPr>
      </w:pPr>
      <w:r>
        <w:rPr>
          <w:rFonts w:ascii="Times New Roman" w:hAnsi="Times New Roman"/>
          <w:b/>
          <w:bCs/>
          <w:sz w:val="24"/>
        </w:rPr>
        <w:lastRenderedPageBreak/>
        <w:t>Figure3: Government Expenditure per secondary student as % of GDP per capita (%)</w:t>
      </w:r>
    </w:p>
    <w:p w:rsidR="00F6409E" w:rsidRDefault="00F6409E" w:rsidP="00F6409E">
      <w:pPr>
        <w:jc w:val="center"/>
        <w:rPr>
          <w:rFonts w:ascii="Times New Roman" w:hAnsi="Times New Roman"/>
          <w:b/>
          <w:bCs/>
          <w:sz w:val="24"/>
        </w:rPr>
      </w:pPr>
      <w:r w:rsidRPr="000855A1">
        <w:rPr>
          <w:rFonts w:ascii="Times New Roman" w:hAnsi="Times New Roman"/>
          <w:b/>
          <w:bCs/>
          <w:noProof/>
          <w:sz w:val="24"/>
          <w:lang w:eastAsia="en-GB"/>
        </w:rPr>
        <mc:AlternateContent>
          <mc:Choice Requires="wps">
            <w:drawing>
              <wp:anchor distT="0" distB="0" distL="114300" distR="114300" simplePos="0" relativeHeight="251666432" behindDoc="1" locked="0" layoutInCell="1" allowOverlap="1" wp14:anchorId="6D160D6E" wp14:editId="020E1F5D">
                <wp:simplePos x="0" y="0"/>
                <wp:positionH relativeFrom="column">
                  <wp:posOffset>257175</wp:posOffset>
                </wp:positionH>
                <wp:positionV relativeFrom="paragraph">
                  <wp:posOffset>2842895</wp:posOffset>
                </wp:positionV>
                <wp:extent cx="2266950" cy="30480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World 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0.25pt;margin-top:223.85pt;width:178.5pt;height:2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World Bank</w:t>
                      </w:r>
                    </w:p>
                  </w:txbxContent>
                </v:textbox>
              </v:shape>
            </w:pict>
          </mc:Fallback>
        </mc:AlternateContent>
      </w:r>
      <w:r>
        <w:rPr>
          <w:rFonts w:ascii="Times New Roman" w:hAnsi="Times New Roman"/>
          <w:b/>
          <w:bCs/>
          <w:noProof/>
          <w:sz w:val="24"/>
          <w:lang w:eastAsia="en-GB"/>
        </w:rPr>
        <w:drawing>
          <wp:inline distT="0" distB="0" distL="0" distR="0" wp14:anchorId="72D5E390" wp14:editId="1287EEAC">
            <wp:extent cx="5200650" cy="283845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6409E" w:rsidRDefault="00F6409E" w:rsidP="00F6409E">
      <w:pPr>
        <w:jc w:val="center"/>
        <w:rPr>
          <w:rFonts w:ascii="Times New Roman" w:hAnsi="Times New Roman"/>
          <w:b/>
          <w:bCs/>
          <w:sz w:val="24"/>
        </w:rPr>
      </w:pPr>
    </w:p>
    <w:p w:rsidR="00F6409E" w:rsidRDefault="00F6409E" w:rsidP="00F6409E">
      <w:pPr>
        <w:rPr>
          <w:rFonts w:ascii="Times New Roman" w:hAnsi="Times New Roman"/>
          <w:b/>
          <w:bCs/>
          <w:sz w:val="24"/>
        </w:rPr>
      </w:pPr>
      <w:r>
        <w:rPr>
          <w:rFonts w:ascii="Times New Roman" w:hAnsi="Times New Roman"/>
          <w:b/>
          <w:bCs/>
          <w:sz w:val="24"/>
        </w:rPr>
        <w:t xml:space="preserve">Figure4: Annual Expenditure by Educational Institutions per Student for All Services </w:t>
      </w:r>
    </w:p>
    <w:p w:rsidR="00F6409E" w:rsidRPr="00EB0A00" w:rsidRDefault="00F6409E" w:rsidP="00F6409E">
      <w:pPr>
        <w:jc w:val="center"/>
        <w:rPr>
          <w:rFonts w:ascii="Times New Roman" w:hAnsi="Times New Roman"/>
          <w:b/>
          <w:bCs/>
          <w:sz w:val="24"/>
          <w:cs/>
        </w:rPr>
        <w:sectPr w:rsidR="00F6409E" w:rsidRPr="00EB0A00">
          <w:footerReference w:type="default" r:id="rId14"/>
          <w:pgSz w:w="11906" w:h="16838"/>
          <w:pgMar w:top="1440" w:right="1440" w:bottom="1440" w:left="1440" w:header="720" w:footer="720" w:gutter="0"/>
          <w:cols w:space="720"/>
          <w:docGrid w:linePitch="360"/>
        </w:sectPr>
      </w:pPr>
      <w:r w:rsidRPr="000855A1">
        <w:rPr>
          <w:rFonts w:ascii="Times New Roman" w:hAnsi="Times New Roman"/>
          <w:b/>
          <w:bCs/>
          <w:noProof/>
          <w:sz w:val="24"/>
          <w:lang w:eastAsia="en-GB"/>
        </w:rPr>
        <mc:AlternateContent>
          <mc:Choice Requires="wps">
            <w:drawing>
              <wp:anchor distT="0" distB="0" distL="114300" distR="114300" simplePos="0" relativeHeight="251668480" behindDoc="1" locked="0" layoutInCell="1" allowOverlap="1" wp14:anchorId="713C7CBE" wp14:editId="388A7F3B">
                <wp:simplePos x="0" y="0"/>
                <wp:positionH relativeFrom="column">
                  <wp:posOffset>4400550</wp:posOffset>
                </wp:positionH>
                <wp:positionV relativeFrom="paragraph">
                  <wp:posOffset>3213735</wp:posOffset>
                </wp:positionV>
                <wp:extent cx="1200150" cy="30480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04800"/>
                        </a:xfrm>
                        <a:prstGeom prst="rect">
                          <a:avLst/>
                        </a:prstGeom>
                        <a:solidFill>
                          <a:srgbClr val="FFFFFF"/>
                        </a:solidFill>
                        <a:ln w="9525">
                          <a:noFill/>
                          <a:miter lim="800000"/>
                          <a:headEnd/>
                          <a:tailEnd/>
                        </a:ln>
                      </wps:spPr>
                      <wps:txbx>
                        <w:txbxContent>
                          <w:p w:rsidR="00F6409E" w:rsidRPr="00BE069B" w:rsidRDefault="00F6409E" w:rsidP="00F6409E">
                            <w:pPr>
                              <w:rPr>
                                <w:rFonts w:ascii="Times New Roman" w:hAnsi="Times New Roman" w:cs="Times New Roman"/>
                                <w:i/>
                                <w:iCs/>
                                <w:sz w:val="20"/>
                                <w:szCs w:val="24"/>
                                <w:lang w:val="en-US"/>
                              </w:rPr>
                            </w:pPr>
                            <w:r>
                              <w:rPr>
                                <w:rFonts w:ascii="Times New Roman" w:hAnsi="Times New Roman" w:cs="Times New Roman"/>
                                <w:i/>
                                <w:iCs/>
                                <w:sz w:val="20"/>
                                <w:szCs w:val="24"/>
                                <w:lang w:val="en-US"/>
                              </w:rPr>
                              <w:t>2011, in USD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46.5pt;margin-top:253.05pt;width:94.5pt;height:2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" stroked="f">
                <v:textbox>
                  <w:txbxContent>
                    <w:p w:rsidR="00F6409E" w:rsidRPr="00BE069B" w:rsidRDefault="00F6409E" w:rsidP="00F6409E">
                      <w:pPr>
                        <w:rPr>
                          <w:rFonts w:ascii="Times New Roman" w:hAnsi="Times New Roman" w:cs="Times New Roman"/>
                          <w:i/>
                          <w:iCs/>
                          <w:sz w:val="20"/>
                          <w:szCs w:val="24"/>
                          <w:lang w:val="en-US"/>
                        </w:rPr>
                      </w:pPr>
                      <w:r>
                        <w:rPr>
                          <w:rFonts w:ascii="Times New Roman" w:hAnsi="Times New Roman" w:cs="Times New Roman"/>
                          <w:i/>
                          <w:iCs/>
                          <w:sz w:val="20"/>
                          <w:szCs w:val="24"/>
                          <w:lang w:val="en-US"/>
                        </w:rPr>
                        <w:t>2011, in USD</w:t>
                      </w:r>
                    </w:p>
                  </w:txbxContent>
                </v:textbox>
              </v:shape>
            </w:pict>
          </mc:Fallback>
        </mc:AlternateContent>
      </w:r>
      <w:r w:rsidRPr="000855A1">
        <w:rPr>
          <w:rFonts w:ascii="Times New Roman" w:hAnsi="Times New Roman"/>
          <w:b/>
          <w:bCs/>
          <w:noProof/>
          <w:sz w:val="24"/>
          <w:lang w:eastAsia="en-GB"/>
        </w:rPr>
        <mc:AlternateContent>
          <mc:Choice Requires="wps">
            <w:drawing>
              <wp:anchor distT="0" distB="0" distL="114300" distR="114300" simplePos="0" relativeHeight="251667456" behindDoc="1" locked="0" layoutInCell="1" allowOverlap="1" wp14:anchorId="343FDE2A" wp14:editId="113AC209">
                <wp:simplePos x="0" y="0"/>
                <wp:positionH relativeFrom="column">
                  <wp:posOffset>114300</wp:posOffset>
                </wp:positionH>
                <wp:positionV relativeFrom="paragraph">
                  <wp:posOffset>3213735</wp:posOffset>
                </wp:positionV>
                <wp:extent cx="1200150" cy="30480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OECD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9pt;margin-top:253.05pt;width:94.5pt;height:2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OECD</w:t>
                      </w:r>
                    </w:p>
                  </w:txbxContent>
                </v:textbox>
              </v:shape>
            </w:pict>
          </mc:Fallback>
        </mc:AlternateContent>
      </w:r>
      <w:r>
        <w:rPr>
          <w:rFonts w:ascii="Times New Roman" w:hAnsi="Times New Roman"/>
          <w:b/>
          <w:bCs/>
          <w:noProof/>
          <w:sz w:val="24"/>
          <w:lang w:eastAsia="en-GB"/>
        </w:rPr>
        <w:drawing>
          <wp:inline distT="0" distB="0" distL="0" distR="0" wp14:anchorId="16327F68" wp14:editId="2A4E6BBC">
            <wp:extent cx="5486400" cy="3200400"/>
            <wp:effectExtent l="0" t="0" r="1905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6409E" w:rsidRDefault="00F6409E" w:rsidP="00F6409E">
      <w:pPr>
        <w:rPr>
          <w:rFonts w:ascii="Times New Roman" w:hAnsi="Times New Roman"/>
          <w:b/>
          <w:bCs/>
          <w:sz w:val="24"/>
          <w:lang w:val="en-US"/>
        </w:rPr>
      </w:pPr>
      <w:r w:rsidRPr="000855A1">
        <w:rPr>
          <w:rFonts w:ascii="Times New Roman" w:hAnsi="Times New Roman"/>
          <w:b/>
          <w:bCs/>
          <w:noProof/>
          <w:sz w:val="24"/>
          <w:lang w:eastAsia="en-GB"/>
        </w:rPr>
        <w:lastRenderedPageBreak/>
        <mc:AlternateContent>
          <mc:Choice Requires="wps">
            <w:drawing>
              <wp:anchor distT="0" distB="0" distL="114300" distR="114300" simplePos="0" relativeHeight="251669504" behindDoc="1" locked="0" layoutInCell="1" allowOverlap="1" wp14:anchorId="2EA602A3" wp14:editId="31BFF8AA">
                <wp:simplePos x="0" y="0"/>
                <wp:positionH relativeFrom="column">
                  <wp:posOffset>8210550</wp:posOffset>
                </wp:positionH>
                <wp:positionV relativeFrom="paragraph">
                  <wp:posOffset>114300</wp:posOffset>
                </wp:positionV>
                <wp:extent cx="1143000" cy="30480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04800"/>
                        </a:xfrm>
                        <a:prstGeom prst="rect">
                          <a:avLst/>
                        </a:prstGeom>
                        <a:solidFill>
                          <a:srgbClr val="FFFFFF"/>
                        </a:solidFill>
                        <a:ln w="9525">
                          <a:noFill/>
                          <a:miter lim="800000"/>
                          <a:headEnd/>
                          <a:tailEnd/>
                        </a:ln>
                      </wps:spPr>
                      <wps:txbx>
                        <w:txbxContent>
                          <w:p w:rsidR="00F6409E" w:rsidRPr="00BE069B" w:rsidRDefault="00F6409E" w:rsidP="00F6409E">
                            <w:pPr>
                              <w:rPr>
                                <w:rFonts w:ascii="Times New Roman" w:hAnsi="Times New Roman" w:cs="Times New Roman"/>
                                <w:i/>
                                <w:iCs/>
                                <w:sz w:val="20"/>
                                <w:szCs w:val="24"/>
                                <w:lang w:val="en-US"/>
                              </w:rPr>
                            </w:pPr>
                            <w:proofErr w:type="gramStart"/>
                            <w:r>
                              <w:rPr>
                                <w:rFonts w:ascii="Times New Roman" w:hAnsi="Times New Roman" w:cs="Times New Roman"/>
                                <w:i/>
                                <w:iCs/>
                                <w:sz w:val="20"/>
                                <w:szCs w:val="24"/>
                                <w:lang w:val="en-US"/>
                              </w:rPr>
                              <w:t>in</w:t>
                            </w:r>
                            <w:proofErr w:type="gramEnd"/>
                            <w:r>
                              <w:rPr>
                                <w:rFonts w:ascii="Times New Roman" w:hAnsi="Times New Roman" w:cs="Times New Roman"/>
                                <w:i/>
                                <w:iCs/>
                                <w:sz w:val="20"/>
                                <w:szCs w:val="24"/>
                                <w:lang w:val="en-US"/>
                              </w:rPr>
                              <w:t xml:space="preserve"> million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646.5pt;margin-top:9pt;width:90pt;height:2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" stroked="f">
                <v:textbox>
                  <w:txbxContent>
                    <w:p w:rsidR="00F6409E" w:rsidRPr="00BE069B" w:rsidRDefault="00F6409E" w:rsidP="00F6409E">
                      <w:pPr>
                        <w:rPr>
                          <w:rFonts w:ascii="Times New Roman" w:hAnsi="Times New Roman" w:cs="Times New Roman"/>
                          <w:i/>
                          <w:iCs/>
                          <w:sz w:val="20"/>
                          <w:szCs w:val="24"/>
                          <w:lang w:val="en-US"/>
                        </w:rPr>
                      </w:pPr>
                      <w:proofErr w:type="gramStart"/>
                      <w:r>
                        <w:rPr>
                          <w:rFonts w:ascii="Times New Roman" w:hAnsi="Times New Roman" w:cs="Times New Roman"/>
                          <w:i/>
                          <w:iCs/>
                          <w:sz w:val="20"/>
                          <w:szCs w:val="24"/>
                          <w:lang w:val="en-US"/>
                        </w:rPr>
                        <w:t>in</w:t>
                      </w:r>
                      <w:proofErr w:type="gramEnd"/>
                      <w:r>
                        <w:rPr>
                          <w:rFonts w:ascii="Times New Roman" w:hAnsi="Times New Roman" w:cs="Times New Roman"/>
                          <w:i/>
                          <w:iCs/>
                          <w:sz w:val="20"/>
                          <w:szCs w:val="24"/>
                          <w:lang w:val="en-US"/>
                        </w:rPr>
                        <w:t xml:space="preserve"> million Euro</w:t>
                      </w:r>
                    </w:p>
                  </w:txbxContent>
                </v:textbox>
              </v:shape>
            </w:pict>
          </mc:Fallback>
        </mc:AlternateContent>
      </w:r>
      <w:r>
        <w:rPr>
          <w:rFonts w:ascii="Times New Roman" w:hAnsi="Times New Roman"/>
          <w:b/>
          <w:bCs/>
          <w:sz w:val="24"/>
          <w:lang w:val="en-US"/>
        </w:rPr>
        <w:t>Table1: Consolidated Total Expenditures by function, General Government 2009-2013</w:t>
      </w:r>
    </w:p>
    <w:tbl>
      <w:tblPr>
        <w:tblW w:w="15232" w:type="dxa"/>
        <w:tblInd w:w="-522" w:type="dxa"/>
        <w:tblLook w:val="04A0" w:firstRow="1" w:lastRow="0" w:firstColumn="1" w:lastColumn="0" w:noHBand="0" w:noVBand="1"/>
      </w:tblPr>
      <w:tblGrid>
        <w:gridCol w:w="3078"/>
        <w:gridCol w:w="1170"/>
        <w:gridCol w:w="1190"/>
        <w:gridCol w:w="1170"/>
        <w:gridCol w:w="1190"/>
        <w:gridCol w:w="1170"/>
        <w:gridCol w:w="1190"/>
        <w:gridCol w:w="1348"/>
        <w:gridCol w:w="1189"/>
        <w:gridCol w:w="1348"/>
        <w:gridCol w:w="1189"/>
      </w:tblGrid>
      <w:tr w:rsidR="00F6409E" w:rsidRPr="00A0451E" w:rsidTr="00B21299">
        <w:trPr>
          <w:trHeight w:val="223"/>
        </w:trPr>
        <w:tc>
          <w:tcPr>
            <w:tcW w:w="3078" w:type="dxa"/>
            <w:vMerge w:val="restart"/>
            <w:tcBorders>
              <w:top w:val="single" w:sz="4" w:space="0" w:color="auto"/>
              <w:left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Functions</w:t>
            </w:r>
          </w:p>
        </w:tc>
        <w:tc>
          <w:tcPr>
            <w:tcW w:w="23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2009</w:t>
            </w:r>
          </w:p>
        </w:tc>
        <w:tc>
          <w:tcPr>
            <w:tcW w:w="23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2010</w:t>
            </w:r>
          </w:p>
        </w:tc>
        <w:tc>
          <w:tcPr>
            <w:tcW w:w="2360" w:type="dxa"/>
            <w:gridSpan w:val="2"/>
            <w:tcBorders>
              <w:top w:val="single" w:sz="4" w:space="0" w:color="auto"/>
              <w:left w:val="nil"/>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2011</w:t>
            </w:r>
          </w:p>
        </w:tc>
        <w:tc>
          <w:tcPr>
            <w:tcW w:w="253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2012</w:t>
            </w:r>
          </w:p>
        </w:tc>
        <w:tc>
          <w:tcPr>
            <w:tcW w:w="253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2013</w:t>
            </w:r>
          </w:p>
        </w:tc>
      </w:tr>
      <w:tr w:rsidR="00F6409E" w:rsidRPr="00A0451E" w:rsidTr="00B21299">
        <w:trPr>
          <w:trHeight w:val="223"/>
        </w:trPr>
        <w:tc>
          <w:tcPr>
            <w:tcW w:w="3078" w:type="dxa"/>
            <w:vMerge/>
            <w:tcBorders>
              <w:left w:val="single" w:sz="4" w:space="0" w:color="auto"/>
              <w:bottom w:val="single" w:sz="4" w:space="0" w:color="auto"/>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p>
        </w:tc>
        <w:tc>
          <w:tcPr>
            <w:tcW w:w="1170" w:type="dxa"/>
            <w:tcBorders>
              <w:top w:val="single" w:sz="4" w:space="0" w:color="auto"/>
              <w:left w:val="single" w:sz="4" w:space="0" w:color="auto"/>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single" w:sz="4" w:space="0" w:color="auto"/>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70" w:type="dxa"/>
            <w:tcBorders>
              <w:top w:val="single" w:sz="4" w:space="0" w:color="auto"/>
              <w:left w:val="nil"/>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single" w:sz="4" w:space="0" w:color="auto"/>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170" w:type="dxa"/>
            <w:tcBorders>
              <w:top w:val="single" w:sz="4" w:space="0" w:color="auto"/>
              <w:left w:val="nil"/>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90" w:type="dxa"/>
            <w:tcBorders>
              <w:top w:val="single" w:sz="4" w:space="0" w:color="auto"/>
              <w:left w:val="nil"/>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48" w:type="dxa"/>
            <w:tcBorders>
              <w:top w:val="single" w:sz="4" w:space="0" w:color="auto"/>
              <w:left w:val="single" w:sz="4" w:space="0" w:color="auto"/>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c>
          <w:tcPr>
            <w:tcW w:w="1348" w:type="dxa"/>
            <w:tcBorders>
              <w:top w:val="single" w:sz="4" w:space="0" w:color="auto"/>
              <w:left w:val="nil"/>
              <w:bottom w:val="single" w:sz="4" w:space="0" w:color="auto"/>
              <w:right w:val="nil"/>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Amount</w:t>
            </w:r>
          </w:p>
        </w:tc>
        <w:tc>
          <w:tcPr>
            <w:tcW w:w="1189" w:type="dxa"/>
            <w:tcBorders>
              <w:top w:val="single" w:sz="4" w:space="0" w:color="auto"/>
              <w:left w:val="nil"/>
              <w:bottom w:val="single" w:sz="4" w:space="0" w:color="auto"/>
              <w:right w:val="single" w:sz="4" w:space="0" w:color="auto"/>
            </w:tcBorders>
            <w:shd w:val="clear" w:color="auto" w:fill="auto"/>
            <w:noWrap/>
            <w:vAlign w:val="center"/>
            <w:hideMark/>
          </w:tcPr>
          <w:p w:rsidR="00F6409E" w:rsidRPr="00A0451E" w:rsidRDefault="00F6409E" w:rsidP="00B21299">
            <w:pPr>
              <w:spacing w:after="0" w:line="240" w:lineRule="auto"/>
              <w:jc w:val="center"/>
              <w:rPr>
                <w:rFonts w:ascii="Times New Roman" w:eastAsia="Times New Roman" w:hAnsi="Times New Roman" w:cs="Times New Roman"/>
                <w:color w:val="000000"/>
                <w:szCs w:val="22"/>
              </w:rPr>
            </w:pPr>
            <w:r w:rsidRPr="00A0451E">
              <w:rPr>
                <w:rFonts w:ascii="Times New Roman" w:eastAsia="Times New Roman" w:hAnsi="Times New Roman" w:cs="Times New Roman"/>
                <w:color w:val="000000"/>
                <w:szCs w:val="22"/>
              </w:rPr>
              <w:t>Percentage</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All Function</w:t>
            </w:r>
          </w:p>
        </w:tc>
        <w:tc>
          <w:tcPr>
            <w:tcW w:w="1170" w:type="dxa"/>
            <w:tcBorders>
              <w:top w:val="nil"/>
              <w:left w:val="single" w:sz="4" w:space="0" w:color="auto"/>
              <w:bottom w:val="nil"/>
              <w:right w:val="nil"/>
            </w:tcBorders>
            <w:shd w:val="clear" w:color="auto" w:fill="auto"/>
            <w:noWrap/>
            <w:vAlign w:val="center"/>
          </w:tcPr>
          <w:p w:rsidR="00F6409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96,788</w:t>
            </w:r>
          </w:p>
        </w:tc>
        <w:tc>
          <w:tcPr>
            <w:tcW w:w="1190" w:type="dxa"/>
            <w:tcBorders>
              <w:top w:val="nil"/>
              <w:left w:val="nil"/>
              <w:bottom w:val="nil"/>
              <w:right w:val="single" w:sz="4" w:space="0" w:color="auto"/>
            </w:tcBorders>
            <w:shd w:val="clear" w:color="auto" w:fill="auto"/>
            <w:noWrap/>
            <w:vAlign w:val="center"/>
          </w:tcPr>
          <w:p w:rsidR="00F6409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56.1%</w:t>
            </w:r>
          </w:p>
        </w:tc>
        <w:tc>
          <w:tcPr>
            <w:tcW w:w="1170" w:type="dxa"/>
            <w:tcBorders>
              <w:top w:val="nil"/>
              <w:left w:val="nil"/>
              <w:bottom w:val="nil"/>
              <w:right w:val="nil"/>
            </w:tcBorders>
            <w:shd w:val="clear" w:color="auto" w:fill="auto"/>
            <w:noWrap/>
            <w:vAlign w:val="center"/>
          </w:tcPr>
          <w:p w:rsidR="00F6409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99,835</w:t>
            </w:r>
          </w:p>
        </w:tc>
        <w:tc>
          <w:tcPr>
            <w:tcW w:w="1190" w:type="dxa"/>
            <w:tcBorders>
              <w:top w:val="nil"/>
              <w:left w:val="nil"/>
              <w:bottom w:val="nil"/>
              <w:right w:val="single" w:sz="4" w:space="0" w:color="auto"/>
            </w:tcBorders>
            <w:shd w:val="clear" w:color="auto" w:fill="auto"/>
            <w:noWrap/>
            <w:vAlign w:val="center"/>
          </w:tcPr>
          <w:p w:rsidR="00F6409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55.1%</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104,049</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55.1%</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109,071</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56.7%</w:t>
            </w:r>
          </w:p>
        </w:tc>
        <w:tc>
          <w:tcPr>
            <w:tcW w:w="1348" w:type="dxa"/>
            <w:tcBorders>
              <w:top w:val="nil"/>
              <w:left w:val="nil"/>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116,697</w:t>
            </w:r>
          </w:p>
        </w:tc>
        <w:tc>
          <w:tcPr>
            <w:tcW w:w="1189" w:type="dxa"/>
            <w:tcBorders>
              <w:top w:val="nil"/>
              <w:left w:val="nil"/>
              <w:bottom w:val="nil"/>
              <w:right w:val="single" w:sz="4" w:space="0" w:color="auto"/>
            </w:tcBorders>
            <w:shd w:val="clear" w:color="auto" w:fill="auto"/>
            <w:noWrap/>
            <w:vAlign w:val="center"/>
          </w:tcPr>
          <w:p w:rsidR="00F6409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52.4%</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General public services</w:t>
            </w:r>
          </w:p>
        </w:tc>
        <w:tc>
          <w:tcPr>
            <w:tcW w:w="1170"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12,694</w:t>
            </w:r>
          </w:p>
        </w:tc>
        <w:tc>
          <w:tcPr>
            <w:tcW w:w="1190"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7.4%</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13,018</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7.2%</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13,827</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7.3%</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14,280</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7.4%</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16,812</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7.6</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Pr>
                <w:rFonts w:ascii="Times New Roman" w:eastAsia="Times New Roman" w:hAnsi="Times New Roman" w:cs="Times New Roman"/>
                <w:b/>
                <w:bCs/>
                <w:color w:val="000000"/>
                <w:szCs w:val="22"/>
              </w:rPr>
              <w:t>Defenc</w:t>
            </w:r>
            <w:r w:rsidRPr="00A0451E">
              <w:rPr>
                <w:rFonts w:ascii="Times New Roman" w:eastAsia="Times New Roman" w:hAnsi="Times New Roman" w:cs="Times New Roman"/>
                <w:b/>
                <w:bCs/>
                <w:color w:val="000000"/>
                <w:szCs w:val="22"/>
              </w:rPr>
              <w:t>e</w:t>
            </w:r>
          </w:p>
        </w:tc>
        <w:tc>
          <w:tcPr>
            <w:tcW w:w="1170"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2,851</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1.7%</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2,789</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2,753</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3,108</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2,984</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Public order and safety</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2,571</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2,766</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2,825</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2,933</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1.5%</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2,810</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Economic affairs</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8,648</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5.0%</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8,748</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4.9%</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9,129</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4.8%</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9,329</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4.9%</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9,530</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4.3</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Environment</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608</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0.4%</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506</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0.3%</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471</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0.2%</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486</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0.3%</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514</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0.2</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2F5BDF">
              <w:rPr>
                <w:rFonts w:ascii="Times New Roman" w:eastAsia="Times New Roman" w:hAnsi="Times New Roman" w:cs="Times New Roman"/>
                <w:b/>
                <w:bCs/>
                <w:color w:val="000000"/>
                <w:sz w:val="18"/>
                <w:szCs w:val="18"/>
              </w:rPr>
              <w:t>Housing and community amenities</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887</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0.5%</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914</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0.5%</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1,012</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0.5%</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871</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0.5%</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804</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0.4</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Health</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13,696</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7.9%</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14,130</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7.9%</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14,841</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7.9%</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15,743</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8.2%</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16,867</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7.8</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2F5BDF">
              <w:rPr>
                <w:rFonts w:ascii="Times New Roman" w:eastAsia="Times New Roman" w:hAnsi="Times New Roman" w:cs="Times New Roman"/>
                <w:b/>
                <w:bCs/>
                <w:color w:val="000000"/>
                <w:sz w:val="20"/>
                <w:szCs w:val="20"/>
              </w:rPr>
              <w:t>Recreation, culture and religion</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2,092</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2,204</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2,336</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2,419</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2,963</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nil"/>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Education</w:t>
            </w:r>
          </w:p>
        </w:tc>
        <w:tc>
          <w:tcPr>
            <w:tcW w:w="1170" w:type="dxa"/>
            <w:tcBorders>
              <w:top w:val="nil"/>
              <w:left w:val="single" w:sz="4" w:space="0" w:color="auto"/>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11,357</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6.6%</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11,735</w:t>
            </w:r>
          </w:p>
        </w:tc>
        <w:tc>
          <w:tcPr>
            <w:tcW w:w="1190"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6.5%</w:t>
            </w:r>
          </w:p>
        </w:tc>
        <w:tc>
          <w:tcPr>
            <w:tcW w:w="117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12,074</w:t>
            </w:r>
          </w:p>
        </w:tc>
        <w:tc>
          <w:tcPr>
            <w:tcW w:w="1190" w:type="dxa"/>
            <w:tcBorders>
              <w:top w:val="nil"/>
              <w:left w:val="nil"/>
              <w:bottom w:val="nil"/>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6.4%</w:t>
            </w:r>
          </w:p>
        </w:tc>
        <w:tc>
          <w:tcPr>
            <w:tcW w:w="1348" w:type="dxa"/>
            <w:tcBorders>
              <w:top w:val="nil"/>
              <w:left w:val="single" w:sz="4" w:space="0" w:color="auto"/>
              <w:bottom w:val="nil"/>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12,213</w:t>
            </w:r>
          </w:p>
        </w:tc>
        <w:tc>
          <w:tcPr>
            <w:tcW w:w="1189" w:type="dxa"/>
            <w:tcBorders>
              <w:top w:val="nil"/>
              <w:left w:val="nil"/>
              <w:bottom w:val="nil"/>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6.3%</w:t>
            </w:r>
          </w:p>
        </w:tc>
        <w:tc>
          <w:tcPr>
            <w:tcW w:w="1348" w:type="dxa"/>
            <w:tcBorders>
              <w:top w:val="nil"/>
              <w:left w:val="nil"/>
              <w:bottom w:val="nil"/>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13,076</w:t>
            </w:r>
          </w:p>
        </w:tc>
        <w:tc>
          <w:tcPr>
            <w:tcW w:w="1189" w:type="dxa"/>
            <w:tcBorders>
              <w:top w:val="nil"/>
              <w:left w:val="nil"/>
              <w:bottom w:val="nil"/>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5.9</w:t>
            </w:r>
            <w:r w:rsidRPr="00A0451E">
              <w:rPr>
                <w:rFonts w:ascii="Times New Roman" w:eastAsia="Times New Roman" w:hAnsi="Times New Roman" w:cs="Times New Roman"/>
                <w:color w:val="000000"/>
                <w:szCs w:val="22"/>
              </w:rPr>
              <w:t>%</w:t>
            </w:r>
          </w:p>
        </w:tc>
      </w:tr>
      <w:tr w:rsidR="00F6409E" w:rsidRPr="00A0451E" w:rsidTr="00B21299">
        <w:trPr>
          <w:trHeight w:val="223"/>
        </w:trPr>
        <w:tc>
          <w:tcPr>
            <w:tcW w:w="3078" w:type="dxa"/>
            <w:tcBorders>
              <w:top w:val="nil"/>
              <w:left w:val="single" w:sz="4" w:space="0" w:color="auto"/>
              <w:bottom w:val="single" w:sz="4" w:space="0" w:color="auto"/>
              <w:right w:val="nil"/>
            </w:tcBorders>
            <w:shd w:val="clear" w:color="auto" w:fill="auto"/>
            <w:noWrap/>
            <w:vAlign w:val="center"/>
            <w:hideMark/>
          </w:tcPr>
          <w:p w:rsidR="00F6409E" w:rsidRPr="00A0451E" w:rsidRDefault="00F6409E" w:rsidP="00B21299">
            <w:pPr>
              <w:spacing w:after="0" w:line="240" w:lineRule="auto"/>
              <w:rPr>
                <w:rFonts w:ascii="Times New Roman" w:eastAsia="Times New Roman" w:hAnsi="Times New Roman" w:cs="Times New Roman"/>
                <w:b/>
                <w:bCs/>
                <w:color w:val="000000"/>
                <w:szCs w:val="22"/>
              </w:rPr>
            </w:pPr>
            <w:r w:rsidRPr="00A0451E">
              <w:rPr>
                <w:rFonts w:ascii="Times New Roman" w:eastAsia="Times New Roman" w:hAnsi="Times New Roman" w:cs="Times New Roman"/>
                <w:b/>
                <w:bCs/>
                <w:color w:val="000000"/>
                <w:szCs w:val="22"/>
              </w:rPr>
              <w:t>Social protection</w:t>
            </w:r>
          </w:p>
        </w:tc>
        <w:tc>
          <w:tcPr>
            <w:tcW w:w="1170" w:type="dxa"/>
            <w:tcBorders>
              <w:top w:val="nil"/>
              <w:left w:val="single" w:sz="4" w:space="0" w:color="auto"/>
              <w:bottom w:val="single" w:sz="4" w:space="0" w:color="auto"/>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41,386</w:t>
            </w:r>
          </w:p>
        </w:tc>
        <w:tc>
          <w:tcPr>
            <w:tcW w:w="1190" w:type="dxa"/>
            <w:tcBorders>
              <w:top w:val="nil"/>
              <w:left w:val="nil"/>
              <w:bottom w:val="single" w:sz="4" w:space="0" w:color="auto"/>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24.0%</w:t>
            </w:r>
          </w:p>
        </w:tc>
        <w:tc>
          <w:tcPr>
            <w:tcW w:w="1170" w:type="dxa"/>
            <w:tcBorders>
              <w:top w:val="nil"/>
              <w:left w:val="nil"/>
              <w:bottom w:val="single" w:sz="4" w:space="0" w:color="auto"/>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43,025</w:t>
            </w:r>
          </w:p>
        </w:tc>
        <w:tc>
          <w:tcPr>
            <w:tcW w:w="1190" w:type="dxa"/>
            <w:tcBorders>
              <w:top w:val="nil"/>
              <w:left w:val="nil"/>
              <w:bottom w:val="single" w:sz="4" w:space="0" w:color="auto"/>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23.9%</w:t>
            </w:r>
          </w:p>
        </w:tc>
        <w:tc>
          <w:tcPr>
            <w:tcW w:w="1170" w:type="dxa"/>
            <w:tcBorders>
              <w:top w:val="nil"/>
              <w:left w:val="nil"/>
              <w:bottom w:val="single" w:sz="4" w:space="0" w:color="auto"/>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44,781</w:t>
            </w:r>
          </w:p>
        </w:tc>
        <w:tc>
          <w:tcPr>
            <w:tcW w:w="1190" w:type="dxa"/>
            <w:tcBorders>
              <w:top w:val="nil"/>
              <w:left w:val="nil"/>
              <w:bottom w:val="single" w:sz="4" w:space="0" w:color="auto"/>
              <w:right w:val="nil"/>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23.7%</w:t>
            </w:r>
          </w:p>
        </w:tc>
        <w:tc>
          <w:tcPr>
            <w:tcW w:w="1348" w:type="dxa"/>
            <w:tcBorders>
              <w:top w:val="nil"/>
              <w:left w:val="single" w:sz="4" w:space="0" w:color="auto"/>
              <w:bottom w:val="single" w:sz="4" w:space="0" w:color="auto"/>
              <w:right w:val="nil"/>
            </w:tcBorders>
            <w:shd w:val="clear" w:color="auto" w:fill="auto"/>
            <w:vAlign w:val="center"/>
          </w:tcPr>
          <w:p w:rsidR="00F6409E" w:rsidRPr="00A0451E" w:rsidRDefault="00F6409E" w:rsidP="00B21299">
            <w:pPr>
              <w:spacing w:after="0" w:line="240" w:lineRule="auto"/>
              <w:jc w:val="right"/>
              <w:rPr>
                <w:rFonts w:ascii="Times New Roman" w:eastAsia="Times New Roman" w:hAnsi="Times New Roman" w:cs="Times New Roman"/>
                <w:color w:val="363435"/>
                <w:szCs w:val="22"/>
              </w:rPr>
            </w:pPr>
            <w:r>
              <w:rPr>
                <w:rFonts w:ascii="Times New Roman" w:eastAsia="Times New Roman" w:hAnsi="Times New Roman" w:cs="Times New Roman"/>
                <w:color w:val="363435"/>
                <w:szCs w:val="22"/>
              </w:rPr>
              <w:t>47,689</w:t>
            </w:r>
          </w:p>
        </w:tc>
        <w:tc>
          <w:tcPr>
            <w:tcW w:w="1189" w:type="dxa"/>
            <w:tcBorders>
              <w:top w:val="nil"/>
              <w:left w:val="nil"/>
              <w:bottom w:val="single" w:sz="4" w:space="0" w:color="auto"/>
              <w:right w:val="single" w:sz="4" w:space="0" w:color="auto"/>
            </w:tcBorders>
            <w:shd w:val="clear" w:color="auto" w:fill="auto"/>
            <w:noWrap/>
            <w:vAlign w:val="center"/>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24.8%</w:t>
            </w:r>
          </w:p>
        </w:tc>
        <w:tc>
          <w:tcPr>
            <w:tcW w:w="1348" w:type="dxa"/>
            <w:tcBorders>
              <w:top w:val="nil"/>
              <w:left w:val="nil"/>
              <w:bottom w:val="single" w:sz="4" w:space="0" w:color="auto"/>
              <w:right w:val="nil"/>
            </w:tcBorders>
            <w:shd w:val="clear" w:color="auto" w:fill="auto"/>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50,337</w:t>
            </w:r>
          </w:p>
        </w:tc>
        <w:tc>
          <w:tcPr>
            <w:tcW w:w="1189" w:type="dxa"/>
            <w:tcBorders>
              <w:top w:val="nil"/>
              <w:left w:val="nil"/>
              <w:bottom w:val="single" w:sz="4" w:space="0" w:color="auto"/>
              <w:right w:val="single" w:sz="4" w:space="0" w:color="auto"/>
            </w:tcBorders>
            <w:shd w:val="clear" w:color="auto" w:fill="auto"/>
            <w:noWrap/>
            <w:vAlign w:val="center"/>
            <w:hideMark/>
          </w:tcPr>
          <w:p w:rsidR="00F6409E" w:rsidRPr="00A0451E" w:rsidRDefault="00F6409E" w:rsidP="00B21299">
            <w:pPr>
              <w:spacing w:after="0" w:line="240" w:lineRule="auto"/>
              <w:jc w:val="right"/>
              <w:rPr>
                <w:rFonts w:ascii="Times New Roman" w:eastAsia="Times New Roman" w:hAnsi="Times New Roman" w:cs="Times New Roman"/>
                <w:color w:val="000000"/>
                <w:szCs w:val="22"/>
              </w:rPr>
            </w:pPr>
            <w:r>
              <w:rPr>
                <w:rFonts w:ascii="Times New Roman" w:eastAsia="Times New Roman" w:hAnsi="Times New Roman" w:cs="Times New Roman"/>
                <w:color w:val="000000"/>
                <w:szCs w:val="22"/>
              </w:rPr>
              <w:t>22.6</w:t>
            </w:r>
            <w:r w:rsidRPr="00A0451E">
              <w:rPr>
                <w:rFonts w:ascii="Times New Roman" w:eastAsia="Times New Roman" w:hAnsi="Times New Roman" w:cs="Times New Roman"/>
                <w:color w:val="000000"/>
                <w:szCs w:val="22"/>
              </w:rPr>
              <w:t>%</w:t>
            </w:r>
          </w:p>
        </w:tc>
      </w:tr>
    </w:tbl>
    <w:p w:rsidR="00F6409E" w:rsidRDefault="00F6409E" w:rsidP="00F6409E">
      <w:pPr>
        <w:rPr>
          <w:rFonts w:ascii="Times New Roman" w:hAnsi="Times New Roman"/>
          <w:b/>
          <w:bCs/>
          <w:sz w:val="24"/>
          <w:lang w:val="en-US"/>
        </w:rPr>
      </w:pPr>
      <w:r w:rsidRPr="000855A1">
        <w:rPr>
          <w:rFonts w:ascii="Times New Roman" w:hAnsi="Times New Roman"/>
          <w:b/>
          <w:bCs/>
          <w:noProof/>
          <w:sz w:val="24"/>
          <w:lang w:eastAsia="en-GB"/>
        </w:rPr>
        <mc:AlternateContent>
          <mc:Choice Requires="wps">
            <w:drawing>
              <wp:anchor distT="0" distB="0" distL="114300" distR="114300" simplePos="0" relativeHeight="251660288" behindDoc="0" locked="0" layoutInCell="1" allowOverlap="1" wp14:anchorId="7EE39D94" wp14:editId="7D212176">
                <wp:simplePos x="0" y="0"/>
                <wp:positionH relativeFrom="column">
                  <wp:posOffset>-416560</wp:posOffset>
                </wp:positionH>
                <wp:positionV relativeFrom="paragraph">
                  <wp:posOffset>0</wp:posOffset>
                </wp:positionV>
                <wp:extent cx="2305050" cy="3048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Source: Statistics Finland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2.8pt;margin-top:0;width:181.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Source: Statistics Finland</w:t>
                      </w:r>
                    </w:p>
                  </w:txbxContent>
                </v:textbox>
              </v:shape>
            </w:pict>
          </mc:Fallback>
        </mc:AlternateContent>
      </w:r>
    </w:p>
    <w:p w:rsidR="00F6409E" w:rsidRDefault="00F6409E" w:rsidP="00F6409E">
      <w:pPr>
        <w:jc w:val="center"/>
        <w:rPr>
          <w:rFonts w:ascii="Times New Roman" w:hAnsi="Times New Roman"/>
          <w:sz w:val="24"/>
          <w:lang w:val="en-US"/>
        </w:rPr>
      </w:pPr>
      <w:r w:rsidRPr="000855A1">
        <w:rPr>
          <w:rFonts w:ascii="Times New Roman" w:hAnsi="Times New Roman"/>
          <w:b/>
          <w:bCs/>
          <w:noProof/>
          <w:sz w:val="24"/>
          <w:lang w:eastAsia="en-GB"/>
        </w:rPr>
        <mc:AlternateContent>
          <mc:Choice Requires="wps">
            <w:drawing>
              <wp:anchor distT="0" distB="0" distL="114300" distR="114300" simplePos="0" relativeHeight="251661312" behindDoc="1" locked="0" layoutInCell="1" allowOverlap="1" wp14:anchorId="4087CE07" wp14:editId="34F7B08B">
                <wp:simplePos x="0" y="0"/>
                <wp:positionH relativeFrom="column">
                  <wp:posOffset>1666875</wp:posOffset>
                </wp:positionH>
                <wp:positionV relativeFrom="paragraph">
                  <wp:posOffset>2820670</wp:posOffset>
                </wp:positionV>
                <wp:extent cx="1762125" cy="30480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Source: Statistics Finland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31.25pt;margin-top:222.1pt;width:138.75pt;height: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Source: Statistics Finland</w:t>
                      </w:r>
                    </w:p>
                  </w:txbxContent>
                </v:textbox>
              </v:shape>
            </w:pict>
          </mc:Fallback>
        </mc:AlternateContent>
      </w:r>
      <w:r>
        <w:rPr>
          <w:rFonts w:ascii="Times New Roman" w:hAnsi="Times New Roman"/>
          <w:b/>
          <w:bCs/>
          <w:noProof/>
          <w:sz w:val="24"/>
          <w:lang w:eastAsia="en-GB"/>
        </w:rPr>
        <w:drawing>
          <wp:inline distT="0" distB="0" distL="0" distR="0" wp14:anchorId="1D3CA1B6" wp14:editId="3A147518">
            <wp:extent cx="5505450" cy="2819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6409E" w:rsidRPr="00BE069B" w:rsidRDefault="00F6409E" w:rsidP="00F6409E">
      <w:pPr>
        <w:jc w:val="center"/>
        <w:rPr>
          <w:rFonts w:ascii="Times New Roman" w:hAnsi="Times New Roman"/>
          <w:sz w:val="24"/>
          <w:lang w:val="en-US"/>
        </w:rPr>
        <w:sectPr w:rsidR="00F6409E" w:rsidRPr="00BE069B" w:rsidSect="002F5BDF">
          <w:pgSz w:w="16838" w:h="11906" w:orient="landscape"/>
          <w:pgMar w:top="1440" w:right="1440" w:bottom="1440" w:left="1440" w:header="720" w:footer="720" w:gutter="0"/>
          <w:cols w:space="720"/>
          <w:docGrid w:linePitch="360"/>
        </w:sectPr>
      </w:pPr>
    </w:p>
    <w:tbl>
      <w:tblPr>
        <w:tblStyle w:val="TableGrid"/>
        <w:tblpPr w:leftFromText="180" w:rightFromText="180" w:horzAnchor="margin" w:tblpXSpec="center" w:tblpY="525"/>
        <w:tblW w:w="0" w:type="auto"/>
        <w:tblLook w:val="04A0" w:firstRow="1" w:lastRow="0" w:firstColumn="1" w:lastColumn="0" w:noHBand="0" w:noVBand="1"/>
      </w:tblPr>
      <w:tblGrid>
        <w:gridCol w:w="4497"/>
        <w:gridCol w:w="1068"/>
        <w:gridCol w:w="1092"/>
        <w:gridCol w:w="1080"/>
        <w:gridCol w:w="1170"/>
      </w:tblGrid>
      <w:tr w:rsidR="00F6409E" w:rsidRPr="00BE069B" w:rsidTr="00B21299">
        <w:tc>
          <w:tcPr>
            <w:tcW w:w="4497"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lastRenderedPageBreak/>
              <w:t>Indicator</w:t>
            </w:r>
          </w:p>
        </w:tc>
        <w:tc>
          <w:tcPr>
            <w:tcW w:w="2160" w:type="dxa"/>
            <w:gridSpan w:val="2"/>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Finland</w:t>
            </w:r>
          </w:p>
        </w:tc>
        <w:tc>
          <w:tcPr>
            <w:tcW w:w="2250" w:type="dxa"/>
            <w:gridSpan w:val="2"/>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OECD average</w:t>
            </w:r>
          </w:p>
        </w:tc>
      </w:tr>
      <w:tr w:rsidR="00F6409E" w:rsidRPr="00BE069B" w:rsidTr="00B21299">
        <w:tc>
          <w:tcPr>
            <w:tcW w:w="4497" w:type="dxa"/>
            <w:vAlign w:val="center"/>
          </w:tcPr>
          <w:p w:rsidR="00F6409E" w:rsidRPr="00BE069B" w:rsidRDefault="00F6409E" w:rsidP="00B21299">
            <w:pPr>
              <w:rPr>
                <w:rFonts w:ascii="Times New Roman" w:hAnsi="Times New Roman"/>
                <w:b/>
                <w:bCs/>
                <w:sz w:val="24"/>
              </w:rPr>
            </w:pPr>
            <w:r w:rsidRPr="00BE069B">
              <w:rPr>
                <w:rFonts w:ascii="Times New Roman" w:hAnsi="Times New Roman"/>
                <w:b/>
                <w:bCs/>
                <w:sz w:val="24"/>
              </w:rPr>
              <w:t>Enrolment rates</w:t>
            </w:r>
          </w:p>
        </w:tc>
        <w:tc>
          <w:tcPr>
            <w:tcW w:w="1068"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092"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2005</w:t>
            </w:r>
          </w:p>
        </w:tc>
        <w:tc>
          <w:tcPr>
            <w:tcW w:w="108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17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2005</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3-years-old (in early childhood education)</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51%</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38%</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70%</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64%</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4-years-old (in early childhood and primary education)</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59%</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47%</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84%</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79%</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5-14 years-old (all levels)</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96%</w:t>
            </w:r>
          </w:p>
        </w:tc>
        <w:tc>
          <w:tcPr>
            <w:tcW w:w="1092" w:type="dxa"/>
            <w:vAlign w:val="center"/>
          </w:tcPr>
          <w:p w:rsidR="00F6409E" w:rsidRPr="00BE069B" w:rsidRDefault="00F6409E" w:rsidP="00B21299">
            <w:pPr>
              <w:jc w:val="center"/>
              <w:rPr>
                <w:rFonts w:ascii="Times New Roman" w:hAnsi="Times New Roman"/>
                <w:sz w:val="24"/>
              </w:rPr>
            </w:pP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98%</w:t>
            </w:r>
          </w:p>
        </w:tc>
        <w:tc>
          <w:tcPr>
            <w:tcW w:w="1170" w:type="dxa"/>
            <w:vAlign w:val="center"/>
          </w:tcPr>
          <w:p w:rsidR="00F6409E" w:rsidRPr="00BE069B" w:rsidRDefault="00F6409E" w:rsidP="00B21299">
            <w:pPr>
              <w:jc w:val="center"/>
              <w:rPr>
                <w:rFonts w:ascii="Times New Roman" w:hAnsi="Times New Roman"/>
                <w:sz w:val="24"/>
              </w:rPr>
            </w:pPr>
          </w:p>
        </w:tc>
      </w:tr>
      <w:tr w:rsidR="00F6409E" w:rsidRPr="00BE069B" w:rsidTr="00B21299">
        <w:tc>
          <w:tcPr>
            <w:tcW w:w="4497" w:type="dxa"/>
            <w:vAlign w:val="center"/>
          </w:tcPr>
          <w:p w:rsidR="00F6409E" w:rsidRPr="00BE069B" w:rsidRDefault="00F6409E" w:rsidP="00B21299">
            <w:pPr>
              <w:rPr>
                <w:rFonts w:ascii="Times New Roman" w:hAnsi="Times New Roman"/>
                <w:b/>
                <w:bCs/>
                <w:sz w:val="24"/>
              </w:rPr>
            </w:pPr>
            <w:r w:rsidRPr="00BE069B">
              <w:rPr>
                <w:rFonts w:ascii="Times New Roman" w:hAnsi="Times New Roman"/>
                <w:b/>
                <w:bCs/>
                <w:sz w:val="24"/>
              </w:rPr>
              <w:t>% of population that has only attained below upper secondary education</w:t>
            </w:r>
          </w:p>
        </w:tc>
        <w:tc>
          <w:tcPr>
            <w:tcW w:w="1068"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092" w:type="dxa"/>
            <w:vAlign w:val="center"/>
          </w:tcPr>
          <w:p w:rsidR="00F6409E" w:rsidRPr="00BE069B" w:rsidRDefault="00F6409E" w:rsidP="00B21299">
            <w:pPr>
              <w:jc w:val="center"/>
              <w:rPr>
                <w:rFonts w:ascii="Times New Roman" w:hAnsi="Times New Roman"/>
                <w:b/>
                <w:bCs/>
                <w:sz w:val="24"/>
              </w:rPr>
            </w:pPr>
            <w:r>
              <w:rPr>
                <w:rFonts w:ascii="Times New Roman" w:hAnsi="Times New Roman"/>
                <w:b/>
                <w:bCs/>
                <w:sz w:val="24"/>
              </w:rPr>
              <w:t>2000</w:t>
            </w:r>
          </w:p>
        </w:tc>
        <w:tc>
          <w:tcPr>
            <w:tcW w:w="108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170" w:type="dxa"/>
            <w:vAlign w:val="center"/>
          </w:tcPr>
          <w:p w:rsidR="00F6409E" w:rsidRPr="00BE069B" w:rsidRDefault="00F6409E" w:rsidP="00B21299">
            <w:pPr>
              <w:jc w:val="center"/>
              <w:rPr>
                <w:rFonts w:ascii="Times New Roman" w:hAnsi="Times New Roman"/>
                <w:b/>
                <w:bCs/>
                <w:sz w:val="24"/>
              </w:rPr>
            </w:pPr>
            <w:r>
              <w:rPr>
                <w:rFonts w:ascii="Times New Roman" w:hAnsi="Times New Roman"/>
                <w:b/>
                <w:bCs/>
                <w:sz w:val="24"/>
              </w:rPr>
              <w:t>2000</w:t>
            </w:r>
          </w:p>
        </w:tc>
      </w:tr>
      <w:tr w:rsidR="00F6409E" w:rsidRPr="00BE069B" w:rsidTr="00B21299">
        <w:tc>
          <w:tcPr>
            <w:tcW w:w="4497" w:type="dxa"/>
            <w:vAlign w:val="center"/>
          </w:tcPr>
          <w:p w:rsidR="00F6409E" w:rsidRPr="00BE069B" w:rsidRDefault="00F6409E" w:rsidP="00B21299">
            <w:pPr>
              <w:tabs>
                <w:tab w:val="center" w:pos="2081"/>
              </w:tabs>
              <w:rPr>
                <w:rFonts w:ascii="Times New Roman" w:hAnsi="Times New Roman"/>
                <w:sz w:val="24"/>
              </w:rPr>
            </w:pPr>
            <w:r>
              <w:rPr>
                <w:rFonts w:ascii="Times New Roman" w:hAnsi="Times New Roman"/>
                <w:sz w:val="24"/>
              </w:rPr>
              <w:t>25-64 years old</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15%</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27%</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24%</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34%</w:t>
            </w:r>
          </w:p>
        </w:tc>
      </w:tr>
      <w:tr w:rsidR="00F6409E" w:rsidRPr="00BE069B" w:rsidTr="00B21299">
        <w:tc>
          <w:tcPr>
            <w:tcW w:w="4497" w:type="dxa"/>
            <w:vAlign w:val="center"/>
          </w:tcPr>
          <w:p w:rsidR="00F6409E" w:rsidRPr="00BE069B" w:rsidRDefault="00F6409E" w:rsidP="00B21299">
            <w:pPr>
              <w:rPr>
                <w:rFonts w:ascii="Times New Roman" w:hAnsi="Times New Roman"/>
                <w:b/>
                <w:bCs/>
                <w:sz w:val="24"/>
              </w:rPr>
            </w:pPr>
            <w:r w:rsidRPr="00BE069B">
              <w:rPr>
                <w:rFonts w:ascii="Times New Roman" w:hAnsi="Times New Roman"/>
                <w:b/>
                <w:bCs/>
                <w:sz w:val="24"/>
              </w:rPr>
              <w:t>% of the population whose highest level of attainments is upper secondary education</w:t>
            </w:r>
          </w:p>
        </w:tc>
        <w:tc>
          <w:tcPr>
            <w:tcW w:w="1068"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092"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c>
          <w:tcPr>
            <w:tcW w:w="108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17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25-64 years old</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45%</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41%</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44%</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44%</w:t>
            </w:r>
          </w:p>
        </w:tc>
      </w:tr>
      <w:tr w:rsidR="00F6409E" w:rsidRPr="00BE069B" w:rsidTr="00B21299">
        <w:tc>
          <w:tcPr>
            <w:tcW w:w="4497" w:type="dxa"/>
            <w:vAlign w:val="center"/>
          </w:tcPr>
          <w:p w:rsidR="00F6409E" w:rsidRPr="00BE069B" w:rsidRDefault="00F6409E" w:rsidP="00B21299">
            <w:pPr>
              <w:rPr>
                <w:rFonts w:ascii="Times New Roman" w:hAnsi="Times New Roman"/>
                <w:b/>
                <w:bCs/>
                <w:sz w:val="24"/>
              </w:rPr>
            </w:pPr>
            <w:r w:rsidRPr="00BE069B">
              <w:rPr>
                <w:rFonts w:ascii="Times New Roman" w:hAnsi="Times New Roman"/>
                <w:b/>
                <w:bCs/>
                <w:sz w:val="24"/>
              </w:rPr>
              <w:t>% of population that has attained tertiary education</w:t>
            </w:r>
          </w:p>
        </w:tc>
        <w:tc>
          <w:tcPr>
            <w:tcW w:w="1068"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092"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c>
          <w:tcPr>
            <w:tcW w:w="108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17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25-64 years old</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40%</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33%</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33%</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22%</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25-34 years old</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40%</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39%</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40%</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26%</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55-64 years old</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31%</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23%</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25%</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15%</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Entry rates into tertiary education</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2012</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2000</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2012</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2000</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Youth expected to enter tertiary-type A programmes before turning 25</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49%</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m</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48%</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m</w:t>
            </w:r>
          </w:p>
        </w:tc>
      </w:tr>
      <w:tr w:rsidR="00F6409E" w:rsidRPr="00BE069B" w:rsidTr="00B21299">
        <w:tc>
          <w:tcPr>
            <w:tcW w:w="4497" w:type="dxa"/>
            <w:vAlign w:val="center"/>
          </w:tcPr>
          <w:p w:rsidR="00F6409E" w:rsidRPr="00BE069B" w:rsidRDefault="00F6409E" w:rsidP="00B21299">
            <w:pPr>
              <w:rPr>
                <w:rFonts w:ascii="Times New Roman" w:hAnsi="Times New Roman"/>
                <w:b/>
                <w:bCs/>
                <w:sz w:val="24"/>
              </w:rPr>
            </w:pPr>
            <w:r w:rsidRPr="00BE069B">
              <w:rPr>
                <w:rFonts w:ascii="Times New Roman" w:hAnsi="Times New Roman"/>
                <w:b/>
                <w:bCs/>
                <w:sz w:val="24"/>
              </w:rPr>
              <w:t>Graduation rates</w:t>
            </w:r>
          </w:p>
        </w:tc>
        <w:tc>
          <w:tcPr>
            <w:tcW w:w="1068"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092"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c>
          <w:tcPr>
            <w:tcW w:w="108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2012</w:t>
            </w:r>
          </w:p>
        </w:tc>
        <w:tc>
          <w:tcPr>
            <w:tcW w:w="1170" w:type="dxa"/>
            <w:vAlign w:val="center"/>
          </w:tcPr>
          <w:p w:rsidR="00F6409E" w:rsidRPr="00BE069B" w:rsidRDefault="00F6409E" w:rsidP="00B21299">
            <w:pPr>
              <w:jc w:val="center"/>
              <w:rPr>
                <w:rFonts w:ascii="Times New Roman" w:hAnsi="Times New Roman"/>
                <w:b/>
                <w:bCs/>
                <w:sz w:val="24"/>
              </w:rPr>
            </w:pPr>
            <w:r w:rsidRPr="00BE069B">
              <w:rPr>
                <w:rFonts w:ascii="Times New Roman" w:hAnsi="Times New Roman"/>
                <w:b/>
                <w:bCs/>
                <w:sz w:val="24"/>
              </w:rPr>
              <w:t>2000</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 of today’s young people expected to complete upper secondary education in their lifetime</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93%</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91%</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84%</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76%</w:t>
            </w:r>
          </w:p>
        </w:tc>
      </w:tr>
      <w:tr w:rsidR="00F6409E" w:rsidRPr="00BE069B" w:rsidTr="00B21299">
        <w:tc>
          <w:tcPr>
            <w:tcW w:w="4497" w:type="dxa"/>
            <w:vAlign w:val="center"/>
          </w:tcPr>
          <w:p w:rsidR="00F6409E" w:rsidRPr="00BE069B" w:rsidRDefault="00F6409E" w:rsidP="00B21299">
            <w:pPr>
              <w:rPr>
                <w:rFonts w:ascii="Times New Roman" w:hAnsi="Times New Roman"/>
                <w:sz w:val="24"/>
              </w:rPr>
            </w:pPr>
            <w:r>
              <w:rPr>
                <w:rFonts w:ascii="Times New Roman" w:hAnsi="Times New Roman"/>
                <w:sz w:val="24"/>
              </w:rPr>
              <w:t>% of today’s young people expected to complete university education (tertiary-type A) in their lifetime</w:t>
            </w:r>
          </w:p>
        </w:tc>
        <w:tc>
          <w:tcPr>
            <w:tcW w:w="1068"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47%</w:t>
            </w:r>
          </w:p>
        </w:tc>
        <w:tc>
          <w:tcPr>
            <w:tcW w:w="1092"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40%</w:t>
            </w:r>
          </w:p>
        </w:tc>
        <w:tc>
          <w:tcPr>
            <w:tcW w:w="108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38%</w:t>
            </w:r>
          </w:p>
        </w:tc>
        <w:tc>
          <w:tcPr>
            <w:tcW w:w="1170" w:type="dxa"/>
            <w:vAlign w:val="center"/>
          </w:tcPr>
          <w:p w:rsidR="00F6409E" w:rsidRPr="00BE069B" w:rsidRDefault="00F6409E" w:rsidP="00B21299">
            <w:pPr>
              <w:jc w:val="center"/>
              <w:rPr>
                <w:rFonts w:ascii="Times New Roman" w:hAnsi="Times New Roman"/>
                <w:sz w:val="24"/>
              </w:rPr>
            </w:pPr>
            <w:r>
              <w:rPr>
                <w:rFonts w:ascii="Times New Roman" w:hAnsi="Times New Roman"/>
                <w:sz w:val="24"/>
              </w:rPr>
              <w:t>28%</w:t>
            </w:r>
          </w:p>
        </w:tc>
      </w:tr>
    </w:tbl>
    <w:p w:rsidR="00F6409E" w:rsidRPr="00BE069B" w:rsidRDefault="00F6409E" w:rsidP="00F6409E">
      <w:pPr>
        <w:rPr>
          <w:rFonts w:ascii="Times New Roman" w:hAnsi="Times New Roman"/>
          <w:b/>
          <w:bCs/>
          <w:sz w:val="24"/>
        </w:rPr>
      </w:pPr>
      <w:r w:rsidRPr="000855A1">
        <w:rPr>
          <w:rFonts w:ascii="Times New Roman" w:hAnsi="Times New Roman"/>
          <w:b/>
          <w:bCs/>
          <w:noProof/>
          <w:sz w:val="24"/>
          <w:lang w:eastAsia="en-GB"/>
        </w:rPr>
        <mc:AlternateContent>
          <mc:Choice Requires="wps">
            <w:drawing>
              <wp:anchor distT="0" distB="0" distL="114300" distR="114300" simplePos="0" relativeHeight="251670528" behindDoc="1" locked="0" layoutInCell="1" allowOverlap="1" wp14:anchorId="70BCDBB1" wp14:editId="184508D8">
                <wp:simplePos x="0" y="0"/>
                <wp:positionH relativeFrom="column">
                  <wp:posOffset>28575</wp:posOffset>
                </wp:positionH>
                <wp:positionV relativeFrom="paragraph">
                  <wp:posOffset>5362575</wp:posOffset>
                </wp:positionV>
                <wp:extent cx="1200150" cy="30480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04800"/>
                        </a:xfrm>
                        <a:prstGeom prst="rect">
                          <a:avLst/>
                        </a:prstGeom>
                        <a:solidFill>
                          <a:srgbClr val="FFFFFF"/>
                        </a:solidFill>
                        <a:ln w="9525">
                          <a:noFill/>
                          <a:miter lim="800000"/>
                          <a:headEnd/>
                          <a:tailEnd/>
                        </a:ln>
                      </wps:spPr>
                      <wps:txb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OECD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25pt;margin-top:422.25pt;width:94.5pt;height:2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" stroked="f">
                <v:textbox>
                  <w:txbxContent>
                    <w:p w:rsidR="00F6409E" w:rsidRPr="000855A1" w:rsidRDefault="00F6409E" w:rsidP="00F6409E">
                      <w:pPr>
                        <w:rPr>
                          <w:rFonts w:ascii="Times New Roman" w:hAnsi="Times New Roman" w:cs="Times New Roman"/>
                          <w:i/>
                          <w:iCs/>
                          <w:sz w:val="20"/>
                          <w:szCs w:val="24"/>
                        </w:rPr>
                      </w:pPr>
                      <w:r w:rsidRPr="000855A1">
                        <w:rPr>
                          <w:rFonts w:ascii="Times New Roman" w:hAnsi="Times New Roman" w:cs="Times New Roman"/>
                          <w:i/>
                          <w:iCs/>
                          <w:sz w:val="20"/>
                          <w:szCs w:val="24"/>
                        </w:rPr>
                        <w:t xml:space="preserve">Source: </w:t>
                      </w:r>
                      <w:r>
                        <w:rPr>
                          <w:rFonts w:ascii="Times New Roman" w:hAnsi="Times New Roman" w:cs="Times New Roman"/>
                          <w:i/>
                          <w:iCs/>
                          <w:sz w:val="20"/>
                          <w:szCs w:val="24"/>
                        </w:rPr>
                        <w:t>OECD</w:t>
                      </w:r>
                    </w:p>
                  </w:txbxContent>
                </v:textbox>
              </v:shape>
            </w:pict>
          </mc:Fallback>
        </mc:AlternateContent>
      </w:r>
      <w:r w:rsidRPr="00BE069B">
        <w:rPr>
          <w:rFonts w:ascii="Times New Roman" w:hAnsi="Times New Roman"/>
          <w:b/>
          <w:bCs/>
          <w:sz w:val="24"/>
        </w:rPr>
        <w:t xml:space="preserve">Table2: Educational Access and output </w:t>
      </w:r>
      <w:r w:rsidRPr="00BE069B">
        <w:rPr>
          <w:rFonts w:ascii="Times New Roman" w:hAnsi="Times New Roman"/>
          <w:b/>
          <w:bCs/>
          <w:sz w:val="24"/>
        </w:rPr>
        <w:br w:type="page"/>
      </w:r>
    </w:p>
    <w:p w:rsidR="00F6409E" w:rsidRPr="00A66C6D" w:rsidRDefault="00F6409E" w:rsidP="00F6409E">
      <w:pPr>
        <w:rPr>
          <w:rFonts w:ascii="Times New Roman" w:hAnsi="Times New Roman"/>
          <w:b/>
          <w:bCs/>
          <w:sz w:val="24"/>
          <w:u w:val="single"/>
        </w:rPr>
      </w:pPr>
      <w:r>
        <w:rPr>
          <w:rFonts w:ascii="Times New Roman" w:hAnsi="Times New Roman"/>
          <w:b/>
          <w:bCs/>
          <w:sz w:val="24"/>
          <w:u w:val="single"/>
        </w:rPr>
        <w:lastRenderedPageBreak/>
        <w:t>References</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Early childhood education and care.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http://www.oph.fi/english/education_system/early_childhood_education </w:t>
      </w:r>
    </w:p>
    <w:p w:rsidR="00F6409E"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Education in Finland.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https://en.wikipedia.org/wiki/Education_in_Finland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 xml:space="preserve">Finland in facts - </w:t>
      </w:r>
      <w:proofErr w:type="spellStart"/>
      <w:r w:rsidRPr="00BE069B">
        <w:rPr>
          <w:rFonts w:ascii="Times New Roman" w:eastAsia="Times New Roman" w:hAnsi="Times New Roman" w:cs="Times New Roman"/>
          <w:sz w:val="24"/>
          <w:szCs w:val="24"/>
          <w:lang w:eastAsia="en-GB"/>
        </w:rPr>
        <w:t>thisisFINLAND</w:t>
      </w:r>
      <w:proofErr w:type="spellEnd"/>
      <w:r w:rsidRPr="00BE069B">
        <w:rPr>
          <w:rFonts w:ascii="Times New Roman" w:eastAsia="Times New Roman" w:hAnsi="Times New Roman" w:cs="Times New Roman"/>
          <w:sz w:val="24"/>
          <w:szCs w:val="24"/>
          <w:lang w:eastAsia="en-GB"/>
        </w:rPr>
        <w:t xml:space="preserve">. (2015, October 26). Retrieved January 4, 2016, from http://finland.fi/facts-stats-and-info/finland-in-facts/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Teaching and education.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http://www.suomi.fi/suomifi/english/services_by_topic/teaching_and_education/index.html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 xml:space="preserve">Study - </w:t>
      </w:r>
      <w:proofErr w:type="spellStart"/>
      <w:r w:rsidRPr="00BE069B">
        <w:rPr>
          <w:rFonts w:ascii="Times New Roman" w:eastAsia="Times New Roman" w:hAnsi="Times New Roman" w:cs="Times New Roman"/>
          <w:sz w:val="24"/>
          <w:szCs w:val="24"/>
          <w:lang w:eastAsia="en-GB"/>
        </w:rPr>
        <w:t>thisisFINLAND</w:t>
      </w:r>
      <w:proofErr w:type="spellEnd"/>
      <w:r w:rsidRPr="00BE069B">
        <w:rPr>
          <w:rFonts w:ascii="Times New Roman" w:eastAsia="Times New Roman" w:hAnsi="Times New Roman" w:cs="Times New Roman"/>
          <w:sz w:val="24"/>
          <w:szCs w:val="24"/>
          <w:lang w:eastAsia="en-GB"/>
        </w:rPr>
        <w:t xml:space="preserve">. (2000, May 13). Retrieved January 4, 2016, from http://finland.fi/facts-stats-and-info/study/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Expenditure on education as % of total government expenditure (%).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http://data.worldbank.org/indicator/SE.XPD.TOTL.GB.ZS/countries?page=1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 xml:space="preserve">The key to the nation's success - </w:t>
      </w:r>
      <w:proofErr w:type="spellStart"/>
      <w:r w:rsidRPr="00BE069B">
        <w:rPr>
          <w:rFonts w:ascii="Times New Roman" w:eastAsia="Times New Roman" w:hAnsi="Times New Roman" w:cs="Times New Roman"/>
          <w:sz w:val="24"/>
          <w:szCs w:val="24"/>
          <w:lang w:eastAsia="en-GB"/>
        </w:rPr>
        <w:t>thisisFINLAND</w:t>
      </w:r>
      <w:proofErr w:type="spellEnd"/>
      <w:r w:rsidRPr="00BE069B">
        <w:rPr>
          <w:rFonts w:ascii="Times New Roman" w:eastAsia="Times New Roman" w:hAnsi="Times New Roman" w:cs="Times New Roman"/>
          <w:sz w:val="24"/>
          <w:szCs w:val="24"/>
          <w:lang w:eastAsia="en-GB"/>
        </w:rPr>
        <w:t xml:space="preserve">. (2012, April 23). Retrieved January 4, 2016, from http://finland.fi/life-society/the-key-to-the-nations-success/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Statistics Finland.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http://www.stat.fi/til/perh/index_en.html </w:t>
      </w:r>
    </w:p>
    <w:p w:rsidR="00F6409E" w:rsidRPr="00BE069B"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Finland Age structure. (</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http://www.indexmundi.com/finland/age_structure.html </w:t>
      </w:r>
    </w:p>
    <w:p w:rsidR="00F6409E" w:rsidRPr="0096059C" w:rsidRDefault="00F6409E" w:rsidP="00F6409E">
      <w:pPr>
        <w:pStyle w:val="ListParagraph"/>
        <w:numPr>
          <w:ilvl w:val="0"/>
          <w:numId w:val="2"/>
        </w:numPr>
        <w:spacing w:after="0" w:line="480" w:lineRule="auto"/>
        <w:rPr>
          <w:rFonts w:ascii="Times New Roman" w:eastAsia="Times New Roman" w:hAnsi="Times New Roman" w:cs="Times New Roman"/>
          <w:sz w:val="24"/>
          <w:szCs w:val="24"/>
          <w:lang w:eastAsia="en-GB"/>
        </w:rPr>
      </w:pPr>
      <w:r w:rsidRPr="00BE069B">
        <w:rPr>
          <w:rFonts w:ascii="Times New Roman" w:eastAsia="Times New Roman" w:hAnsi="Times New Roman" w:cs="Times New Roman"/>
          <w:sz w:val="24"/>
          <w:szCs w:val="24"/>
          <w:lang w:eastAsia="en-GB"/>
        </w:rPr>
        <w:t>(</w:t>
      </w:r>
      <w:proofErr w:type="spellStart"/>
      <w:r w:rsidRPr="00BE069B">
        <w:rPr>
          <w:rFonts w:ascii="Times New Roman" w:eastAsia="Times New Roman" w:hAnsi="Times New Roman" w:cs="Times New Roman"/>
          <w:sz w:val="24"/>
          <w:szCs w:val="24"/>
          <w:lang w:eastAsia="en-GB"/>
        </w:rPr>
        <w:t>n.d.</w:t>
      </w:r>
      <w:proofErr w:type="spellEnd"/>
      <w:r w:rsidRPr="00BE069B">
        <w:rPr>
          <w:rFonts w:ascii="Times New Roman" w:eastAsia="Times New Roman" w:hAnsi="Times New Roman" w:cs="Times New Roman"/>
          <w:sz w:val="24"/>
          <w:szCs w:val="24"/>
          <w:lang w:eastAsia="en-GB"/>
        </w:rPr>
        <w:t xml:space="preserve">). Retrieved January 4, 2016, from http://ec.europa.eu/eurostat/documents/2995521/6899478/2-07072015-AP-EN.pdf/797f4af9-c37f-4631-8211-5dd0b32fcb31 </w:t>
      </w:r>
      <w:bookmarkStart w:id="0" w:name="_GoBack"/>
      <w:bookmarkEnd w:id="0"/>
    </w:p>
    <w:p w:rsidR="00865959" w:rsidRDefault="00865959"/>
    <w:sectPr w:rsidR="00865959" w:rsidSect="002F5BD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9BC" w:rsidRDefault="00CE19BC" w:rsidP="00F6409E">
      <w:pPr>
        <w:spacing w:after="0" w:line="240" w:lineRule="auto"/>
      </w:pPr>
      <w:r>
        <w:separator/>
      </w:r>
    </w:p>
  </w:endnote>
  <w:endnote w:type="continuationSeparator" w:id="0">
    <w:p w:rsidR="00CE19BC" w:rsidRDefault="00CE19BC" w:rsidP="00F64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221861"/>
      <w:docPartObj>
        <w:docPartGallery w:val="Page Numbers (Bottom of Page)"/>
        <w:docPartUnique/>
      </w:docPartObj>
    </w:sdtPr>
    <w:sdtEndPr>
      <w:rPr>
        <w:noProof/>
      </w:rPr>
    </w:sdtEndPr>
    <w:sdtContent>
      <w:p w:rsidR="00F6409E" w:rsidRDefault="00F6409E">
        <w:pPr>
          <w:pStyle w:val="Footer"/>
          <w:jc w:val="right"/>
        </w:pPr>
        <w:r>
          <w:fldChar w:fldCharType="begin"/>
        </w:r>
        <w:r>
          <w:instrText xml:space="preserve"> PAGE   \* MERGEFORMAT </w:instrText>
        </w:r>
        <w:r>
          <w:fldChar w:fldCharType="separate"/>
        </w:r>
        <w:r w:rsidR="00483555">
          <w:rPr>
            <w:noProof/>
          </w:rPr>
          <w:t>13</w:t>
        </w:r>
        <w:r>
          <w:rPr>
            <w:noProof/>
          </w:rPr>
          <w:fldChar w:fldCharType="end"/>
        </w:r>
      </w:p>
    </w:sdtContent>
  </w:sdt>
  <w:p w:rsidR="00F6409E" w:rsidRDefault="00F640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9BC" w:rsidRDefault="00CE19BC" w:rsidP="00F6409E">
      <w:pPr>
        <w:spacing w:after="0" w:line="240" w:lineRule="auto"/>
      </w:pPr>
      <w:r>
        <w:separator/>
      </w:r>
    </w:p>
  </w:footnote>
  <w:footnote w:type="continuationSeparator" w:id="0">
    <w:p w:rsidR="00CE19BC" w:rsidRDefault="00CE19BC" w:rsidP="00F6409E">
      <w:pPr>
        <w:spacing w:after="0" w:line="240" w:lineRule="auto"/>
      </w:pPr>
      <w:r>
        <w:continuationSeparator/>
      </w:r>
    </w:p>
  </w:footnote>
  <w:footnote w:id="1">
    <w:p w:rsidR="00F6409E" w:rsidRPr="00F10641" w:rsidRDefault="00F6409E" w:rsidP="00F6409E">
      <w:pPr>
        <w:rPr>
          <w:rFonts w:ascii="Times New Roman" w:eastAsia="Times New Roman" w:hAnsi="Times New Roman" w:cs="Times New Roman"/>
          <w:sz w:val="20"/>
          <w:szCs w:val="20"/>
          <w:lang w:eastAsia="en-GB"/>
        </w:rPr>
      </w:pPr>
      <w:r w:rsidRPr="00F10641">
        <w:rPr>
          <w:rStyle w:val="FootnoteReference"/>
          <w:sz w:val="18"/>
          <w:szCs w:val="22"/>
        </w:rPr>
        <w:footnoteRef/>
      </w:r>
      <w:r w:rsidRPr="00F10641">
        <w:rPr>
          <w:sz w:val="18"/>
          <w:szCs w:val="22"/>
        </w:rPr>
        <w:t xml:space="preserve">  </w:t>
      </w:r>
      <w:proofErr w:type="gramStart"/>
      <w:r w:rsidRPr="00F10641">
        <w:rPr>
          <w:rFonts w:ascii="Times New Roman" w:eastAsia="Times New Roman" w:hAnsi="Times New Roman" w:cs="Times New Roman"/>
          <w:sz w:val="20"/>
          <w:szCs w:val="20"/>
          <w:lang w:eastAsia="en-GB"/>
        </w:rPr>
        <w:t xml:space="preserve">Finland in facts - </w:t>
      </w:r>
      <w:proofErr w:type="spellStart"/>
      <w:r w:rsidRPr="00F10641">
        <w:rPr>
          <w:rFonts w:ascii="Times New Roman" w:eastAsia="Times New Roman" w:hAnsi="Times New Roman" w:cs="Times New Roman"/>
          <w:sz w:val="20"/>
          <w:szCs w:val="20"/>
          <w:lang w:eastAsia="en-GB"/>
        </w:rPr>
        <w:t>thisisFINLAND</w:t>
      </w:r>
      <w:proofErr w:type="spellEnd"/>
      <w:r w:rsidRPr="00F10641">
        <w:rPr>
          <w:rFonts w:ascii="Times New Roman" w:eastAsia="Times New Roman" w:hAnsi="Times New Roman" w:cs="Times New Roman"/>
          <w:sz w:val="20"/>
          <w:szCs w:val="20"/>
          <w:lang w:eastAsia="en-GB"/>
        </w:rPr>
        <w:t>.</w:t>
      </w:r>
      <w:proofErr w:type="gramEnd"/>
      <w:r w:rsidRPr="00F10641">
        <w:rPr>
          <w:rFonts w:ascii="Times New Roman" w:eastAsia="Times New Roman" w:hAnsi="Times New Roman" w:cs="Times New Roman"/>
          <w:sz w:val="20"/>
          <w:szCs w:val="20"/>
          <w:lang w:eastAsia="en-GB"/>
        </w:rPr>
        <w:t xml:space="preserve"> (2015, October 26). Retrieved December 29, 2015, from http://finland.fi/facts-stats-and-info/finland-in-facts/ </w:t>
      </w:r>
    </w:p>
    <w:p w:rsidR="00F6409E" w:rsidRPr="00A66C6D" w:rsidRDefault="00F6409E" w:rsidP="00F6409E">
      <w:pPr>
        <w:rPr>
          <w:rFonts w:ascii="Times New Roman" w:eastAsia="Times New Roman" w:hAnsi="Times New Roman" w:cs="Times New Roman"/>
          <w:sz w:val="24"/>
          <w:szCs w:val="24"/>
          <w:lang w:eastAsia="en-GB"/>
        </w:rPr>
      </w:pPr>
    </w:p>
    <w:p w:rsidR="00F6409E" w:rsidRPr="00A66C6D" w:rsidRDefault="00F6409E" w:rsidP="00F6409E">
      <w:pPr>
        <w:pStyle w:val="FootnoteText"/>
        <w:rPr>
          <w:lang w:val="en-US"/>
        </w:rPr>
      </w:pPr>
    </w:p>
  </w:footnote>
  <w:footnote w:id="2">
    <w:p w:rsidR="00F6409E" w:rsidRPr="00F10641" w:rsidRDefault="00F6409E" w:rsidP="00F6409E">
      <w:pPr>
        <w:rPr>
          <w:rFonts w:ascii="Times New Roman" w:eastAsia="Times New Roman" w:hAnsi="Times New Roman" w:cs="Times New Roman"/>
          <w:sz w:val="24"/>
          <w:szCs w:val="24"/>
          <w:lang w:eastAsia="en-GB"/>
        </w:rPr>
      </w:pPr>
      <w:r>
        <w:rPr>
          <w:rStyle w:val="FootnoteReference"/>
        </w:rPr>
        <w:footnoteRef/>
      </w:r>
      <w:r>
        <w:t xml:space="preserve"> </w:t>
      </w:r>
      <w:proofErr w:type="gramStart"/>
      <w:r w:rsidRPr="00F10641">
        <w:rPr>
          <w:rFonts w:ascii="Times New Roman" w:eastAsia="Times New Roman" w:hAnsi="Times New Roman" w:cs="Times New Roman"/>
          <w:sz w:val="20"/>
          <w:szCs w:val="20"/>
          <w:lang w:eastAsia="en-GB"/>
        </w:rPr>
        <w:t xml:space="preserve">Finland in facts - </w:t>
      </w:r>
      <w:proofErr w:type="spellStart"/>
      <w:r w:rsidRPr="00F10641">
        <w:rPr>
          <w:rFonts w:ascii="Times New Roman" w:eastAsia="Times New Roman" w:hAnsi="Times New Roman" w:cs="Times New Roman"/>
          <w:sz w:val="20"/>
          <w:szCs w:val="20"/>
          <w:lang w:eastAsia="en-GB"/>
        </w:rPr>
        <w:t>thisisFINLAND</w:t>
      </w:r>
      <w:proofErr w:type="spellEnd"/>
      <w:r w:rsidRPr="00F10641">
        <w:rPr>
          <w:rFonts w:ascii="Times New Roman" w:eastAsia="Times New Roman" w:hAnsi="Times New Roman" w:cs="Times New Roman"/>
          <w:sz w:val="20"/>
          <w:szCs w:val="20"/>
          <w:lang w:eastAsia="en-GB"/>
        </w:rPr>
        <w:t>.</w:t>
      </w:r>
      <w:proofErr w:type="gramEnd"/>
      <w:r w:rsidRPr="00F10641">
        <w:rPr>
          <w:rFonts w:ascii="Times New Roman" w:eastAsia="Times New Roman" w:hAnsi="Times New Roman" w:cs="Times New Roman"/>
          <w:sz w:val="20"/>
          <w:szCs w:val="20"/>
          <w:lang w:eastAsia="en-GB"/>
        </w:rPr>
        <w:t xml:space="preserve"> (2015, October 26). Retrieved December 29, 2015, from http://finland.fi/facts-stats-and-info/finland-in-facts/ </w:t>
      </w:r>
    </w:p>
    <w:p w:rsidR="00F6409E" w:rsidRPr="00F10641" w:rsidRDefault="00F6409E" w:rsidP="00F6409E">
      <w:pPr>
        <w:pStyle w:val="FootnoteText"/>
      </w:pPr>
    </w:p>
  </w:footnote>
  <w:footnote w:id="3">
    <w:p w:rsidR="00F6409E" w:rsidRPr="00E24B47" w:rsidRDefault="00F6409E" w:rsidP="00F6409E">
      <w:pPr>
        <w:pStyle w:val="FootnoteText"/>
        <w:spacing w:line="276" w:lineRule="auto"/>
        <w:rPr>
          <w:lang w:val="en-US"/>
        </w:rPr>
      </w:pPr>
      <w:r>
        <w:rPr>
          <w:rStyle w:val="FootnoteReference"/>
        </w:rPr>
        <w:footnoteRef/>
      </w:r>
      <w:r>
        <w:t xml:space="preserve"> </w:t>
      </w:r>
      <w:r>
        <w:rPr>
          <w:rStyle w:val="apple-converted-space"/>
          <w:rFonts w:ascii="Arial" w:hAnsi="Arial" w:cs="Arial"/>
          <w:color w:val="252525"/>
          <w:sz w:val="19"/>
          <w:szCs w:val="19"/>
          <w:shd w:val="clear" w:color="auto" w:fill="FFFFFF"/>
        </w:rPr>
        <w:t> </w:t>
      </w:r>
      <w:proofErr w:type="spellStart"/>
      <w:proofErr w:type="gramStart"/>
      <w:r>
        <w:rPr>
          <w:rFonts w:ascii="Arial" w:hAnsi="Arial" w:cs="Arial"/>
          <w:color w:val="252525"/>
          <w:sz w:val="19"/>
          <w:szCs w:val="19"/>
          <w:shd w:val="clear" w:color="auto" w:fill="FFFFFF"/>
        </w:rPr>
        <w:t>Eeva</w:t>
      </w:r>
      <w:proofErr w:type="spellEnd"/>
      <w:r>
        <w:rPr>
          <w:rFonts w:ascii="Arial" w:hAnsi="Arial" w:cs="Arial"/>
          <w:color w:val="252525"/>
          <w:sz w:val="19"/>
          <w:szCs w:val="19"/>
          <w:shd w:val="clear" w:color="auto" w:fill="FFFFFF"/>
        </w:rPr>
        <w:t xml:space="preserve"> </w:t>
      </w:r>
      <w:proofErr w:type="spellStart"/>
      <w:r>
        <w:rPr>
          <w:rFonts w:ascii="Arial" w:hAnsi="Arial" w:cs="Arial"/>
          <w:color w:val="252525"/>
          <w:sz w:val="19"/>
          <w:szCs w:val="19"/>
          <w:shd w:val="clear" w:color="auto" w:fill="FFFFFF"/>
        </w:rPr>
        <w:t>Hujala</w:t>
      </w:r>
      <w:proofErr w:type="spellEnd"/>
      <w:r>
        <w:rPr>
          <w:rFonts w:ascii="Arial" w:hAnsi="Arial" w:cs="Arial"/>
          <w:color w:val="252525"/>
          <w:sz w:val="19"/>
          <w:szCs w:val="19"/>
          <w:shd w:val="clear" w:color="auto" w:fill="FFFFFF"/>
        </w:rPr>
        <w:t>, “The Development of Early Childhood as an Academic Discipline in Finland”,</w:t>
      </w:r>
      <w:r>
        <w:rPr>
          <w:rStyle w:val="apple-converted-space"/>
          <w:rFonts w:ascii="Arial" w:hAnsi="Arial" w:cs="Arial"/>
          <w:color w:val="252525"/>
          <w:sz w:val="19"/>
          <w:szCs w:val="19"/>
          <w:shd w:val="clear" w:color="auto" w:fill="FFFFFF"/>
        </w:rPr>
        <w:t> </w:t>
      </w:r>
      <w:r>
        <w:rPr>
          <w:rFonts w:ascii="Arial" w:hAnsi="Arial" w:cs="Arial"/>
          <w:i/>
          <w:iCs/>
          <w:color w:val="252525"/>
          <w:sz w:val="19"/>
          <w:szCs w:val="19"/>
          <w:shd w:val="clear" w:color="auto" w:fill="FFFFFF"/>
        </w:rPr>
        <w:t>Nordic Early Childhood Education Research</w:t>
      </w:r>
      <w:r>
        <w:rPr>
          <w:rFonts w:ascii="Arial" w:hAnsi="Arial" w:cs="Arial"/>
          <w:color w:val="252525"/>
          <w:sz w:val="19"/>
          <w:szCs w:val="19"/>
          <w:shd w:val="clear" w:color="auto" w:fill="FFFFFF"/>
        </w:rPr>
        <w:t>, Vol. 1, no. 1 (2008).</w:t>
      </w:r>
      <w:proofErr w:type="gramEnd"/>
    </w:p>
  </w:footnote>
  <w:footnote w:id="4">
    <w:p w:rsidR="00F6409E" w:rsidRPr="00A32EE0" w:rsidRDefault="00F6409E" w:rsidP="00F6409E">
      <w:pPr>
        <w:rPr>
          <w:rFonts w:ascii="Arial" w:eastAsia="Times New Roman" w:hAnsi="Arial" w:cs="Arial"/>
          <w:sz w:val="19"/>
          <w:szCs w:val="19"/>
          <w:lang w:eastAsia="en-GB"/>
        </w:rPr>
      </w:pPr>
      <w:r w:rsidRPr="00A32EE0">
        <w:rPr>
          <w:rStyle w:val="FootnoteReference"/>
          <w:rFonts w:ascii="Arial" w:hAnsi="Arial" w:cs="Arial"/>
          <w:sz w:val="19"/>
          <w:szCs w:val="19"/>
        </w:rPr>
        <w:footnoteRef/>
      </w:r>
      <w:r w:rsidRPr="00A32EE0">
        <w:rPr>
          <w:rFonts w:ascii="Arial" w:hAnsi="Arial" w:cs="Arial"/>
          <w:sz w:val="19"/>
          <w:szCs w:val="19"/>
        </w:rPr>
        <w:t xml:space="preserve"> </w:t>
      </w:r>
      <w:r w:rsidRPr="00A32EE0">
        <w:rPr>
          <w:rFonts w:ascii="Arial" w:eastAsia="Times New Roman" w:hAnsi="Arial" w:cs="Arial"/>
          <w:sz w:val="19"/>
          <w:szCs w:val="19"/>
          <w:lang w:eastAsia="en-GB"/>
        </w:rPr>
        <w:t xml:space="preserve">JIMÉNEZ, M. (2012, August 23). Early education's top model: Finland. Retrieved January 2, 2016, from http://www.theglobeandmail.com/life/early-educations-top-model-finland/article4212334/ </w:t>
      </w:r>
    </w:p>
    <w:p w:rsidR="00F6409E" w:rsidRPr="00A32EE0" w:rsidRDefault="00F6409E" w:rsidP="00F6409E">
      <w:pPr>
        <w:pStyle w:val="FootnoteText"/>
      </w:pPr>
    </w:p>
  </w:footnote>
  <w:footnote w:id="5">
    <w:p w:rsidR="00F6409E" w:rsidRPr="00B47141" w:rsidRDefault="00F6409E" w:rsidP="00F6409E">
      <w:pPr>
        <w:rPr>
          <w:rFonts w:ascii="Arial" w:eastAsia="Times New Roman" w:hAnsi="Arial" w:cs="Arial"/>
          <w:sz w:val="19"/>
          <w:szCs w:val="19"/>
          <w:lang w:eastAsia="en-GB"/>
        </w:rPr>
      </w:pPr>
      <w:r>
        <w:rPr>
          <w:rStyle w:val="FootnoteReference"/>
        </w:rPr>
        <w:footnoteRef/>
      </w:r>
      <w:r>
        <w:t xml:space="preserve"> </w:t>
      </w:r>
      <w:r w:rsidRPr="00A32EE0">
        <w:rPr>
          <w:rFonts w:ascii="Arial" w:eastAsia="Times New Roman" w:hAnsi="Arial" w:cs="Arial"/>
          <w:sz w:val="19"/>
          <w:szCs w:val="19"/>
          <w:lang w:eastAsia="en-GB"/>
        </w:rPr>
        <w:t xml:space="preserve">JIMÉNEZ, M. (2012, August 23). Early education's top model: Finland. Retrieved January 2, 2016, from http://www.theglobeandmail.com/life/early-educations-top-model-finland/article4212334/ </w:t>
      </w:r>
    </w:p>
  </w:footnote>
  <w:footnote w:id="6">
    <w:p w:rsidR="00F6409E" w:rsidRPr="00B47141" w:rsidRDefault="00F6409E" w:rsidP="00F6409E">
      <w:pPr>
        <w:rPr>
          <w:rFonts w:ascii="Arial" w:eastAsia="Times New Roman" w:hAnsi="Arial" w:cs="Arial"/>
          <w:sz w:val="19"/>
          <w:szCs w:val="19"/>
          <w:lang w:eastAsia="en-GB"/>
        </w:rPr>
      </w:pPr>
      <w:r>
        <w:rPr>
          <w:rStyle w:val="FootnoteReference"/>
        </w:rPr>
        <w:footnoteRef/>
      </w:r>
      <w:r>
        <w:t xml:space="preserve"> </w:t>
      </w:r>
      <w:proofErr w:type="spellStart"/>
      <w:r w:rsidRPr="00B47141">
        <w:rPr>
          <w:rFonts w:ascii="Arial" w:eastAsia="Times New Roman" w:hAnsi="Arial" w:cs="Arial"/>
          <w:sz w:val="19"/>
          <w:szCs w:val="19"/>
          <w:lang w:eastAsia="en-GB"/>
        </w:rPr>
        <w:t>Opetus</w:t>
      </w:r>
      <w:proofErr w:type="spellEnd"/>
      <w:r w:rsidRPr="00B47141">
        <w:rPr>
          <w:rFonts w:ascii="Arial" w:eastAsia="Times New Roman" w:hAnsi="Arial" w:cs="Arial"/>
          <w:sz w:val="19"/>
          <w:szCs w:val="19"/>
          <w:lang w:eastAsia="en-GB"/>
        </w:rPr>
        <w:t xml:space="preserve">- </w:t>
      </w:r>
      <w:proofErr w:type="spellStart"/>
      <w:proofErr w:type="gramStart"/>
      <w:r w:rsidRPr="00B47141">
        <w:rPr>
          <w:rFonts w:ascii="Arial" w:eastAsia="Times New Roman" w:hAnsi="Arial" w:cs="Arial"/>
          <w:sz w:val="19"/>
          <w:szCs w:val="19"/>
          <w:lang w:eastAsia="en-GB"/>
        </w:rPr>
        <w:t>ja</w:t>
      </w:r>
      <w:proofErr w:type="spellEnd"/>
      <w:proofErr w:type="gramEnd"/>
      <w:r w:rsidRPr="00B47141">
        <w:rPr>
          <w:rFonts w:ascii="Arial" w:eastAsia="Times New Roman" w:hAnsi="Arial" w:cs="Arial"/>
          <w:sz w:val="19"/>
          <w:szCs w:val="19"/>
          <w:lang w:eastAsia="en-GB"/>
        </w:rPr>
        <w:t xml:space="preserve"> </w:t>
      </w:r>
      <w:proofErr w:type="spellStart"/>
      <w:r w:rsidRPr="00B47141">
        <w:rPr>
          <w:rFonts w:ascii="Arial" w:eastAsia="Times New Roman" w:hAnsi="Arial" w:cs="Arial"/>
          <w:sz w:val="19"/>
          <w:szCs w:val="19"/>
          <w:lang w:eastAsia="en-GB"/>
        </w:rPr>
        <w:t>kulttuuriministeriö</w:t>
      </w:r>
      <w:proofErr w:type="spellEnd"/>
      <w:r w:rsidRPr="00B47141">
        <w:rPr>
          <w:rFonts w:ascii="Arial" w:eastAsia="Times New Roman" w:hAnsi="Arial" w:cs="Arial"/>
          <w:sz w:val="19"/>
          <w:szCs w:val="19"/>
          <w:lang w:eastAsia="en-GB"/>
        </w:rPr>
        <w:t xml:space="preserve">. </w:t>
      </w:r>
      <w:proofErr w:type="gramStart"/>
      <w:r w:rsidRPr="00B47141">
        <w:rPr>
          <w:rFonts w:ascii="Arial" w:eastAsia="Times New Roman" w:hAnsi="Arial" w:cs="Arial"/>
          <w:sz w:val="19"/>
          <w:szCs w:val="19"/>
          <w:lang w:eastAsia="en-GB"/>
        </w:rPr>
        <w:t>(</w:t>
      </w:r>
      <w:proofErr w:type="spellStart"/>
      <w:r w:rsidRPr="00B47141">
        <w:rPr>
          <w:rFonts w:ascii="Arial" w:eastAsia="Times New Roman" w:hAnsi="Arial" w:cs="Arial"/>
          <w:sz w:val="19"/>
          <w:szCs w:val="19"/>
          <w:lang w:eastAsia="en-GB"/>
        </w:rPr>
        <w:t>n.d.</w:t>
      </w:r>
      <w:proofErr w:type="spellEnd"/>
      <w:r w:rsidRPr="00B47141">
        <w:rPr>
          <w:rFonts w:ascii="Arial" w:eastAsia="Times New Roman" w:hAnsi="Arial" w:cs="Arial"/>
          <w:sz w:val="19"/>
          <w:szCs w:val="19"/>
          <w:lang w:eastAsia="en-GB"/>
        </w:rPr>
        <w:t>).</w:t>
      </w:r>
      <w:proofErr w:type="gramEnd"/>
      <w:r w:rsidRPr="00B47141">
        <w:rPr>
          <w:rFonts w:ascii="Arial" w:eastAsia="Times New Roman" w:hAnsi="Arial" w:cs="Arial"/>
          <w:sz w:val="19"/>
          <w:szCs w:val="19"/>
          <w:lang w:eastAsia="en-GB"/>
        </w:rPr>
        <w:t xml:space="preserve"> Retrieved January 3, 2016, from http://minedu.fi/OPM/Tiedotteet/2015/10/geis.html?lang=en </w:t>
      </w:r>
    </w:p>
    <w:p w:rsidR="00F6409E" w:rsidRPr="00B47141" w:rsidRDefault="00F6409E" w:rsidP="00F6409E">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51971"/>
    <w:multiLevelType w:val="multilevel"/>
    <w:tmpl w:val="652C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C16E6F"/>
    <w:multiLevelType w:val="hybridMultilevel"/>
    <w:tmpl w:val="2D46385E"/>
    <w:lvl w:ilvl="0" w:tplc="77A8C8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09E"/>
    <w:rsid w:val="00483555"/>
    <w:rsid w:val="00865959"/>
    <w:rsid w:val="00CE19BC"/>
    <w:rsid w:val="00F6409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GB"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0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6409E"/>
    <w:pPr>
      <w:spacing w:line="240" w:lineRule="auto"/>
    </w:pPr>
    <w:rPr>
      <w:b/>
      <w:bCs/>
      <w:color w:val="4F81BD" w:themeColor="accent1"/>
      <w:sz w:val="18"/>
      <w:szCs w:val="22"/>
    </w:rPr>
  </w:style>
  <w:style w:type="paragraph" w:styleId="Footer">
    <w:name w:val="footer"/>
    <w:basedOn w:val="Normal"/>
    <w:link w:val="FooterChar"/>
    <w:uiPriority w:val="99"/>
    <w:unhideWhenUsed/>
    <w:rsid w:val="00F64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09E"/>
  </w:style>
  <w:style w:type="paragraph" w:styleId="FootnoteText">
    <w:name w:val="footnote text"/>
    <w:basedOn w:val="Normal"/>
    <w:link w:val="FootnoteTextChar"/>
    <w:uiPriority w:val="99"/>
    <w:semiHidden/>
    <w:unhideWhenUsed/>
    <w:rsid w:val="00F6409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F6409E"/>
    <w:rPr>
      <w:sz w:val="20"/>
      <w:szCs w:val="25"/>
    </w:rPr>
  </w:style>
  <w:style w:type="character" w:styleId="FootnoteReference">
    <w:name w:val="footnote reference"/>
    <w:basedOn w:val="DefaultParagraphFont"/>
    <w:uiPriority w:val="99"/>
    <w:semiHidden/>
    <w:unhideWhenUsed/>
    <w:rsid w:val="00F6409E"/>
    <w:rPr>
      <w:vertAlign w:val="superscript"/>
    </w:rPr>
  </w:style>
  <w:style w:type="character" w:customStyle="1" w:styleId="apple-converted-space">
    <w:name w:val="apple-converted-space"/>
    <w:basedOn w:val="DefaultParagraphFont"/>
    <w:rsid w:val="00F6409E"/>
  </w:style>
  <w:style w:type="paragraph" w:styleId="ListParagraph">
    <w:name w:val="List Paragraph"/>
    <w:basedOn w:val="Normal"/>
    <w:uiPriority w:val="34"/>
    <w:qFormat/>
    <w:rsid w:val="00F6409E"/>
    <w:pPr>
      <w:ind w:left="720"/>
      <w:contextualSpacing/>
    </w:pPr>
  </w:style>
  <w:style w:type="table" w:styleId="TableGrid">
    <w:name w:val="Table Grid"/>
    <w:basedOn w:val="TableNormal"/>
    <w:uiPriority w:val="59"/>
    <w:rsid w:val="00F640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409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6409E"/>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GB"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0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6409E"/>
    <w:pPr>
      <w:spacing w:line="240" w:lineRule="auto"/>
    </w:pPr>
    <w:rPr>
      <w:b/>
      <w:bCs/>
      <w:color w:val="4F81BD" w:themeColor="accent1"/>
      <w:sz w:val="18"/>
      <w:szCs w:val="22"/>
    </w:rPr>
  </w:style>
  <w:style w:type="paragraph" w:styleId="Footer">
    <w:name w:val="footer"/>
    <w:basedOn w:val="Normal"/>
    <w:link w:val="FooterChar"/>
    <w:uiPriority w:val="99"/>
    <w:unhideWhenUsed/>
    <w:rsid w:val="00F64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09E"/>
  </w:style>
  <w:style w:type="paragraph" w:styleId="FootnoteText">
    <w:name w:val="footnote text"/>
    <w:basedOn w:val="Normal"/>
    <w:link w:val="FootnoteTextChar"/>
    <w:uiPriority w:val="99"/>
    <w:semiHidden/>
    <w:unhideWhenUsed/>
    <w:rsid w:val="00F6409E"/>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F6409E"/>
    <w:rPr>
      <w:sz w:val="20"/>
      <w:szCs w:val="25"/>
    </w:rPr>
  </w:style>
  <w:style w:type="character" w:styleId="FootnoteReference">
    <w:name w:val="footnote reference"/>
    <w:basedOn w:val="DefaultParagraphFont"/>
    <w:uiPriority w:val="99"/>
    <w:semiHidden/>
    <w:unhideWhenUsed/>
    <w:rsid w:val="00F6409E"/>
    <w:rPr>
      <w:vertAlign w:val="superscript"/>
    </w:rPr>
  </w:style>
  <w:style w:type="character" w:customStyle="1" w:styleId="apple-converted-space">
    <w:name w:val="apple-converted-space"/>
    <w:basedOn w:val="DefaultParagraphFont"/>
    <w:rsid w:val="00F6409E"/>
  </w:style>
  <w:style w:type="paragraph" w:styleId="ListParagraph">
    <w:name w:val="List Paragraph"/>
    <w:basedOn w:val="Normal"/>
    <w:uiPriority w:val="34"/>
    <w:qFormat/>
    <w:rsid w:val="00F6409E"/>
    <w:pPr>
      <w:ind w:left="720"/>
      <w:contextualSpacing/>
    </w:pPr>
  </w:style>
  <w:style w:type="table" w:styleId="TableGrid">
    <w:name w:val="Table Grid"/>
    <w:basedOn w:val="TableNormal"/>
    <w:uiPriority w:val="59"/>
    <w:rsid w:val="00F640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409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F6409E"/>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300">
              <a:latin typeface="Times New Roman" pitchFamily="18" charset="0"/>
              <a:cs typeface="Times New Roman" pitchFamily="18" charset="0"/>
            </a:defRPr>
          </a:pPr>
          <a:endParaRPr lang="en-US"/>
        </a:p>
      </c:txPr>
    </c:title>
    <c:autoTitleDeleted val="0"/>
    <c:plotArea>
      <c:layout>
        <c:manualLayout>
          <c:layoutTarget val="inner"/>
          <c:xMode val="edge"/>
          <c:yMode val="edge"/>
          <c:x val="9.6293753280839889E-2"/>
          <c:y val="0.48681070354010619"/>
          <c:w val="0.83336128960891387"/>
          <c:h val="0.27944742016965746"/>
        </c:manualLayout>
      </c:layout>
      <c:barChart>
        <c:barDir val="col"/>
        <c:grouping val="clustered"/>
        <c:varyColors val="0"/>
        <c:ser>
          <c:idx val="0"/>
          <c:order val="0"/>
          <c:tx>
            <c:strRef>
              <c:f>Sheet1!$B$1</c:f>
              <c:strCache>
                <c:ptCount val="1"/>
                <c:pt idx="0">
                  <c:v>Share of Government Expenditure</c:v>
                </c:pt>
              </c:strCache>
            </c:strRef>
          </c:tx>
          <c:invertIfNegative val="0"/>
          <c:dPt>
            <c:idx val="0"/>
            <c:invertIfNegative val="0"/>
            <c:bubble3D val="0"/>
            <c:spPr>
              <a:solidFill>
                <a:schemeClr val="accent1"/>
              </a:solidFill>
              <a:ln>
                <a:noFill/>
              </a:ln>
              <a:effectLst>
                <a:outerShdw blurRad="63500" sx="102000" sy="102000" algn="ctr" rotWithShape="0">
                  <a:prstClr val="black">
                    <a:alpha val="20000"/>
                  </a:prstClr>
                </a:outerShdw>
              </a:effectLst>
            </c:spPr>
          </c:dPt>
          <c:dPt>
            <c:idx val="1"/>
            <c:invertIfNegative val="0"/>
            <c:bubble3D val="0"/>
            <c:spPr>
              <a:solidFill>
                <a:schemeClr val="accent2"/>
              </a:solidFill>
              <a:ln>
                <a:noFill/>
              </a:ln>
              <a:effectLst>
                <a:outerShdw blurRad="63500" sx="102000" sy="102000" algn="ctr" rotWithShape="0">
                  <a:prstClr val="black">
                    <a:alpha val="20000"/>
                  </a:prstClr>
                </a:outerShdw>
              </a:effectLst>
            </c:spPr>
          </c:dPt>
          <c:dPt>
            <c:idx val="2"/>
            <c:invertIfNegative val="0"/>
            <c:bubble3D val="0"/>
            <c:spPr>
              <a:solidFill>
                <a:schemeClr val="accent3"/>
              </a:solidFill>
              <a:ln>
                <a:noFill/>
              </a:ln>
              <a:effectLst>
                <a:outerShdw blurRad="63500" sx="102000" sy="102000" algn="ctr" rotWithShape="0">
                  <a:prstClr val="black">
                    <a:alpha val="20000"/>
                  </a:prstClr>
                </a:outerShdw>
              </a:effectLst>
            </c:spPr>
          </c:dPt>
          <c:dPt>
            <c:idx val="3"/>
            <c:invertIfNegative val="0"/>
            <c:bubble3D val="0"/>
            <c:spPr>
              <a:solidFill>
                <a:schemeClr val="accent4"/>
              </a:solidFill>
              <a:ln>
                <a:noFill/>
              </a:ln>
              <a:effectLst>
                <a:outerShdw blurRad="63500" sx="102000" sy="102000" algn="ctr" rotWithShape="0">
                  <a:prstClr val="black">
                    <a:alpha val="20000"/>
                  </a:prstClr>
                </a:outerShdw>
              </a:effectLst>
            </c:spPr>
          </c:dPt>
          <c:dPt>
            <c:idx val="4"/>
            <c:invertIfNegative val="0"/>
            <c:bubble3D val="0"/>
            <c:spPr>
              <a:solidFill>
                <a:schemeClr val="accent5"/>
              </a:solidFill>
              <a:ln>
                <a:noFill/>
              </a:ln>
              <a:effectLst>
                <a:outerShdw blurRad="63500" sx="102000" sy="102000" algn="ctr" rotWithShape="0">
                  <a:prstClr val="black">
                    <a:alpha val="20000"/>
                  </a:prstClr>
                </a:outerShdw>
              </a:effectLst>
            </c:spPr>
          </c:dPt>
          <c:dPt>
            <c:idx val="5"/>
            <c:invertIfNegative val="0"/>
            <c:bubble3D val="0"/>
            <c:spPr>
              <a:solidFill>
                <a:schemeClr val="accent6"/>
              </a:solidFill>
              <a:ln>
                <a:noFill/>
              </a:ln>
              <a:effectLst>
                <a:outerShdw blurRad="63500" sx="102000" sy="102000" algn="ctr" rotWithShape="0">
                  <a:prstClr val="black">
                    <a:alpha val="20000"/>
                  </a:prstClr>
                </a:outerShdw>
              </a:effectLst>
            </c:spPr>
          </c:dPt>
          <c:dPt>
            <c:idx val="6"/>
            <c:invertIfNegative val="0"/>
            <c:bubble3D val="0"/>
            <c:spPr>
              <a:solidFill>
                <a:schemeClr val="accent1">
                  <a:lumMod val="60000"/>
                </a:schemeClr>
              </a:solidFill>
              <a:ln>
                <a:noFill/>
              </a:ln>
              <a:effectLst>
                <a:outerShdw blurRad="63500" sx="102000" sy="102000" algn="ctr" rotWithShape="0">
                  <a:prstClr val="black">
                    <a:alpha val="20000"/>
                  </a:prstClr>
                </a:outerShdw>
              </a:effectLst>
            </c:spPr>
          </c:dPt>
          <c:dPt>
            <c:idx val="7"/>
            <c:invertIfNegative val="0"/>
            <c:bubble3D val="0"/>
            <c:spPr>
              <a:solidFill>
                <a:schemeClr val="accent2">
                  <a:lumMod val="60000"/>
                </a:schemeClr>
              </a:solidFill>
              <a:ln>
                <a:noFill/>
              </a:ln>
              <a:effectLst>
                <a:outerShdw blurRad="63500" sx="102000" sy="102000" algn="ctr" rotWithShape="0">
                  <a:prstClr val="black">
                    <a:alpha val="20000"/>
                  </a:prstClr>
                </a:outerShdw>
              </a:effectLst>
            </c:spPr>
          </c:dPt>
          <c:dPt>
            <c:idx val="8"/>
            <c:invertIfNegative val="0"/>
            <c:bubble3D val="0"/>
            <c:spPr>
              <a:solidFill>
                <a:schemeClr val="accent3">
                  <a:lumMod val="60000"/>
                </a:schemeClr>
              </a:solidFill>
              <a:ln>
                <a:noFill/>
              </a:ln>
              <a:effectLst>
                <a:outerShdw blurRad="63500" sx="102000" sy="102000" algn="ctr" rotWithShape="0">
                  <a:prstClr val="black">
                    <a:alpha val="20000"/>
                  </a:prstClr>
                </a:outerShdw>
              </a:effectLst>
            </c:spPr>
          </c:dPt>
          <c:dPt>
            <c:idx val="9"/>
            <c:invertIfNegative val="0"/>
            <c:bubble3D val="0"/>
            <c:spPr>
              <a:solidFill>
                <a:schemeClr val="accent4">
                  <a:lumMod val="60000"/>
                </a:schemeClr>
              </a:solidFill>
              <a:ln>
                <a:noFill/>
              </a:ln>
              <a:effectLst>
                <a:outerShdw blurRad="63500" sx="102000" sy="102000" algn="ctr" rotWithShape="0">
                  <a:prstClr val="black">
                    <a:alpha val="20000"/>
                  </a:prstClr>
                </a:outerShdw>
              </a:effectLst>
            </c:spPr>
          </c:dPt>
          <c:cat>
            <c:strRef>
              <c:f>Sheet1!$A$2:$A$11</c:f>
              <c:strCache>
                <c:ptCount val="10"/>
                <c:pt idx="0">
                  <c:v>General Public services</c:v>
                </c:pt>
                <c:pt idx="1">
                  <c:v>Defence</c:v>
                </c:pt>
                <c:pt idx="2">
                  <c:v>Public order and safety</c:v>
                </c:pt>
                <c:pt idx="3">
                  <c:v>Economic affairs</c:v>
                </c:pt>
                <c:pt idx="4">
                  <c:v>Environmental Protection</c:v>
                </c:pt>
                <c:pt idx="5">
                  <c:v>Housing and community amenities</c:v>
                </c:pt>
                <c:pt idx="6">
                  <c:v>Health</c:v>
                </c:pt>
                <c:pt idx="7">
                  <c:v>Recreation,Culture and religion</c:v>
                </c:pt>
                <c:pt idx="8">
                  <c:v>Education</c:v>
                </c:pt>
                <c:pt idx="9">
                  <c:v>Social protection</c:v>
                </c:pt>
              </c:strCache>
            </c:strRef>
          </c:cat>
          <c:val>
            <c:numRef>
              <c:f>Sheet1!$B$2:$B$11</c:f>
              <c:numCache>
                <c:formatCode>General</c:formatCode>
                <c:ptCount val="10"/>
                <c:pt idx="0">
                  <c:v>14.4</c:v>
                </c:pt>
                <c:pt idx="1">
                  <c:v>2.6</c:v>
                </c:pt>
                <c:pt idx="2">
                  <c:v>2.4</c:v>
                </c:pt>
                <c:pt idx="3">
                  <c:v>8.1999999999999993</c:v>
                </c:pt>
                <c:pt idx="4">
                  <c:v>0.4</c:v>
                </c:pt>
                <c:pt idx="5">
                  <c:v>0.7</c:v>
                </c:pt>
                <c:pt idx="6">
                  <c:v>14.5</c:v>
                </c:pt>
                <c:pt idx="7">
                  <c:v>2.5</c:v>
                </c:pt>
                <c:pt idx="8">
                  <c:v>11.2</c:v>
                </c:pt>
                <c:pt idx="9">
                  <c:v>43.1</c:v>
                </c:pt>
              </c:numCache>
            </c:numRef>
          </c:val>
        </c:ser>
        <c:dLbls>
          <c:showLegendKey val="0"/>
          <c:showVal val="1"/>
          <c:showCatName val="0"/>
          <c:showSerName val="0"/>
          <c:showPercent val="0"/>
          <c:showBubbleSize val="0"/>
        </c:dLbls>
        <c:gapWidth val="150"/>
        <c:overlap val="-25"/>
        <c:axId val="251539840"/>
        <c:axId val="251613568"/>
      </c:barChart>
      <c:catAx>
        <c:axId val="251539840"/>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en-US"/>
          </a:p>
        </c:txPr>
        <c:crossAx val="251613568"/>
        <c:crosses val="autoZero"/>
        <c:auto val="1"/>
        <c:lblAlgn val="ctr"/>
        <c:lblOffset val="100"/>
        <c:noMultiLvlLbl val="0"/>
      </c:catAx>
      <c:valAx>
        <c:axId val="251613568"/>
        <c:scaling>
          <c:orientation val="minMax"/>
        </c:scaling>
        <c:delete val="1"/>
        <c:axPos val="l"/>
        <c:numFmt formatCode="General" sourceLinked="1"/>
        <c:majorTickMark val="none"/>
        <c:minorTickMark val="none"/>
        <c:tickLblPos val="nextTo"/>
        <c:crossAx val="251539840"/>
        <c:crosses val="autoZero"/>
        <c:crossBetween val="between"/>
      </c:valAx>
      <c:spPr>
        <a:noFill/>
        <a:ln>
          <a:noFill/>
        </a:ln>
        <a:effectLst/>
      </c:spPr>
    </c:plotArea>
    <c:legend>
      <c:legendPos val="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spPr>
    <a:solidFill>
      <a:schemeClr val="bg1"/>
    </a:solidFill>
    <a:ln>
      <a:solidFill>
        <a:schemeClr val="tx1">
          <a:lumMod val="15000"/>
          <a:lumOff val="85000"/>
        </a:schemeClr>
      </a:solid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Times New Roman" pitchFamily="18" charset="0"/>
                <a:ea typeface="+mn-ea"/>
                <a:cs typeface="Times New Roman" pitchFamily="18" charset="0"/>
              </a:defRPr>
            </a:pPr>
            <a:r>
              <a:rPr lang="en-US" sz="1400">
                <a:latin typeface="Times New Roman" pitchFamily="18" charset="0"/>
                <a:cs typeface="Times New Roman" pitchFamily="18" charset="0"/>
              </a:rPr>
              <a:t>% share of government expenditure to GDP</a:t>
            </a:r>
          </a:p>
        </c:rich>
      </c:tx>
      <c:overlay val="0"/>
      <c:spPr>
        <a:noFill/>
        <a:ln>
          <a:noFill/>
        </a:ln>
        <a:effectLst/>
      </c:spPr>
    </c:title>
    <c:autoTitleDeleted val="0"/>
    <c:plotArea>
      <c:layout/>
      <c:lineChart>
        <c:grouping val="standard"/>
        <c:varyColors val="0"/>
        <c:ser>
          <c:idx val="0"/>
          <c:order val="0"/>
          <c:tx>
            <c:strRef>
              <c:f>Sheet1!$B$1</c:f>
              <c:strCache>
                <c:ptCount val="1"/>
                <c:pt idx="0">
                  <c:v>% share of government expenditure to GDP</c:v>
                </c:pt>
              </c:strCache>
            </c:strRef>
          </c:tx>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Sheet1!$A$2:$A$11</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Sheet1!$B$2:$B$11</c:f>
              <c:numCache>
                <c:formatCode>General</c:formatCode>
                <c:ptCount val="10"/>
                <c:pt idx="0">
                  <c:v>19.3</c:v>
                </c:pt>
                <c:pt idx="1">
                  <c:v>48.3</c:v>
                </c:pt>
                <c:pt idx="2">
                  <c:v>46.8</c:v>
                </c:pt>
                <c:pt idx="3">
                  <c:v>48.3</c:v>
                </c:pt>
                <c:pt idx="4">
                  <c:v>54.8</c:v>
                </c:pt>
                <c:pt idx="5">
                  <c:v>54.8</c:v>
                </c:pt>
                <c:pt idx="6">
                  <c:v>54.4</c:v>
                </c:pt>
                <c:pt idx="7">
                  <c:v>56.1</c:v>
                </c:pt>
                <c:pt idx="8">
                  <c:v>57.8</c:v>
                </c:pt>
                <c:pt idx="9">
                  <c:v>58.7</c:v>
                </c:pt>
              </c:numCache>
            </c:numRef>
          </c:val>
          <c:smooth val="0"/>
        </c:ser>
        <c:dLbls>
          <c:dLblPos val="ctr"/>
          <c:showLegendKey val="0"/>
          <c:showVal val="1"/>
          <c:showCatName val="0"/>
          <c:showSerName val="0"/>
          <c:showPercent val="0"/>
          <c:showBubbleSize val="0"/>
        </c:dLbls>
        <c:marker val="1"/>
        <c:smooth val="0"/>
        <c:axId val="230554240"/>
        <c:axId val="232314368"/>
      </c:lineChart>
      <c:catAx>
        <c:axId val="2305542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32314368"/>
        <c:crosses val="autoZero"/>
        <c:auto val="1"/>
        <c:lblAlgn val="ctr"/>
        <c:lblOffset val="100"/>
        <c:noMultiLvlLbl val="0"/>
      </c:catAx>
      <c:valAx>
        <c:axId val="2323143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305542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no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vert="horz"/>
          <a:lstStyle/>
          <a:p>
            <a:pPr>
              <a:defRPr sz="1600"/>
            </a:pPr>
            <a:r>
              <a:rPr lang="en-US" sz="1600"/>
              <a:t>% of expenditure on education to total government expenditure and GDP</a:t>
            </a:r>
          </a:p>
        </c:rich>
      </c:tx>
      <c:overlay val="0"/>
    </c:title>
    <c:autoTitleDeleted val="0"/>
    <c:plotArea>
      <c:layout/>
      <c:barChart>
        <c:barDir val="col"/>
        <c:grouping val="clustered"/>
        <c:varyColors val="0"/>
        <c:ser>
          <c:idx val="0"/>
          <c:order val="0"/>
          <c:tx>
            <c:strRef>
              <c:f>Sheet1!$B$1</c:f>
              <c:strCache>
                <c:ptCount val="1"/>
                <c:pt idx="0">
                  <c:v>% of expenditure on education as % of total government expenditure</c:v>
                </c:pt>
              </c:strCache>
            </c:strRef>
          </c:tx>
          <c:invertIfNegative val="0"/>
          <c:dLbls>
            <c:txPr>
              <a:bodyPr/>
              <a:lstStyle/>
              <a:p>
                <a:pPr>
                  <a:defRPr b="1">
                    <a:solidFill>
                      <a:schemeClr val="bg1"/>
                    </a:solidFill>
                  </a:defRPr>
                </a:pPr>
                <a:endParaRPr lang="en-US"/>
              </a:p>
            </c:txPr>
            <c:dLblPos val="inEnd"/>
            <c:showLegendKey val="0"/>
            <c:showVal val="1"/>
            <c:showCatName val="0"/>
            <c:showSerName val="0"/>
            <c:showPercent val="0"/>
            <c:showBubbleSize val="0"/>
            <c:showLeaderLines val="0"/>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Sheet1!$B$2:$B$11</c:f>
              <c:numCache>
                <c:formatCode>General</c:formatCode>
                <c:ptCount val="10"/>
                <c:pt idx="0">
                  <c:v>12.8</c:v>
                </c:pt>
                <c:pt idx="1">
                  <c:v>12.2</c:v>
                </c:pt>
                <c:pt idx="2">
                  <c:v>12.3</c:v>
                </c:pt>
                <c:pt idx="3">
                  <c:v>12.2</c:v>
                </c:pt>
                <c:pt idx="4">
                  <c:v>12.1</c:v>
                </c:pt>
                <c:pt idx="5">
                  <c:v>11.8</c:v>
                </c:pt>
                <c:pt idx="6">
                  <c:v>12</c:v>
                </c:pt>
                <c:pt idx="7">
                  <c:v>11.9</c:v>
                </c:pt>
                <c:pt idx="8">
                  <c:v>12.8</c:v>
                </c:pt>
                <c:pt idx="9">
                  <c:v>11.2</c:v>
                </c:pt>
              </c:numCache>
            </c:numRef>
          </c:val>
        </c:ser>
        <c:dLbls>
          <c:showLegendKey val="0"/>
          <c:showVal val="1"/>
          <c:showCatName val="0"/>
          <c:showSerName val="0"/>
          <c:showPercent val="0"/>
          <c:showBubbleSize val="0"/>
        </c:dLbls>
        <c:gapWidth val="150"/>
        <c:overlap val="-25"/>
        <c:axId val="246618752"/>
        <c:axId val="246703616"/>
      </c:barChart>
      <c:lineChart>
        <c:grouping val="standard"/>
        <c:varyColors val="0"/>
        <c:ser>
          <c:idx val="1"/>
          <c:order val="1"/>
          <c:tx>
            <c:strRef>
              <c:f>Sheet1!$C$1</c:f>
              <c:strCache>
                <c:ptCount val="1"/>
                <c:pt idx="0">
                  <c:v>% of government expenditure on eduction as % of GDP</c:v>
                </c:pt>
              </c:strCache>
            </c:strRef>
          </c:tx>
          <c:spPr>
            <a:ln>
              <a:solidFill>
                <a:srgbClr val="C00000"/>
              </a:solidFill>
            </a:ln>
          </c:spPr>
          <c:marker>
            <c:symbol val="diamond"/>
            <c:size val="5"/>
            <c:spPr>
              <a:solidFill>
                <a:srgbClr val="C00000"/>
              </a:solidFill>
            </c:spPr>
          </c:marker>
          <c:dLbls>
            <c:dLbl>
              <c:idx val="0"/>
              <c:layout>
                <c:manualLayout>
                  <c:x val="6.4412238325281803E-3"/>
                  <c:y val="4.6858359957401494E-2"/>
                </c:manualLayout>
              </c:layout>
              <c:dLblPos val="r"/>
              <c:showLegendKey val="0"/>
              <c:showVal val="1"/>
              <c:showCatName val="0"/>
              <c:showSerName val="0"/>
              <c:showPercent val="0"/>
              <c:showBubbleSize val="0"/>
            </c:dLbl>
            <c:dLbl>
              <c:idx val="1"/>
              <c:layout>
                <c:manualLayout>
                  <c:x val="2.1470746108427268E-3"/>
                  <c:y val="3.4078807241746618E-2"/>
                </c:manualLayout>
              </c:layout>
              <c:dLblPos val="r"/>
              <c:showLegendKey val="0"/>
              <c:showVal val="1"/>
              <c:showCatName val="0"/>
              <c:showSerName val="0"/>
              <c:showPercent val="0"/>
              <c:showBubbleSize val="0"/>
            </c:dLbl>
            <c:dLbl>
              <c:idx val="2"/>
              <c:layout>
                <c:manualLayout>
                  <c:x val="6.4412238325281803E-3"/>
                  <c:y val="3.4078807241746542E-2"/>
                </c:manualLayout>
              </c:layout>
              <c:dLblPos val="r"/>
              <c:showLegendKey val="0"/>
              <c:showVal val="1"/>
              <c:showCatName val="0"/>
              <c:showSerName val="0"/>
              <c:showPercent val="0"/>
              <c:showBubbleSize val="0"/>
            </c:dLbl>
            <c:dLbl>
              <c:idx val="3"/>
              <c:layout>
                <c:manualLayout>
                  <c:x val="2.1470746108427268E-3"/>
                  <c:y val="2.5559105431309903E-2"/>
                </c:manualLayout>
              </c:layout>
              <c:dLblPos val="r"/>
              <c:showLegendKey val="0"/>
              <c:showVal val="1"/>
              <c:showCatName val="0"/>
              <c:showSerName val="0"/>
              <c:showPercent val="0"/>
              <c:showBubbleSize val="0"/>
            </c:dLbl>
            <c:dLbl>
              <c:idx val="4"/>
              <c:layout>
                <c:manualLayout>
                  <c:x val="2.1470746108427268E-3"/>
                  <c:y val="2.9818956336528223E-2"/>
                </c:manualLayout>
              </c:layout>
              <c:dLblPos val="r"/>
              <c:showLegendKey val="0"/>
              <c:showVal val="1"/>
              <c:showCatName val="0"/>
              <c:showSerName val="0"/>
              <c:showPercent val="0"/>
              <c:showBubbleSize val="0"/>
            </c:dLbl>
            <c:dLbl>
              <c:idx val="5"/>
              <c:layout>
                <c:manualLayout>
                  <c:x val="6.4412238325281803E-3"/>
                  <c:y val="3.8338658146964855E-2"/>
                </c:manualLayout>
              </c:layout>
              <c:dLblPos val="r"/>
              <c:showLegendKey val="0"/>
              <c:showVal val="1"/>
              <c:showCatName val="0"/>
              <c:showSerName val="0"/>
              <c:showPercent val="0"/>
              <c:showBubbleSize val="0"/>
            </c:dLbl>
            <c:dLbl>
              <c:idx val="6"/>
              <c:layout>
                <c:manualLayout>
                  <c:x val="6.4412238325281803E-3"/>
                  <c:y val="2.9818956336528223E-2"/>
                </c:manualLayout>
              </c:layout>
              <c:dLblPos val="r"/>
              <c:showLegendKey val="0"/>
              <c:showVal val="1"/>
              <c:showCatName val="0"/>
              <c:showSerName val="0"/>
              <c:showPercent val="0"/>
              <c:showBubbleSize val="0"/>
            </c:dLbl>
            <c:dLbl>
              <c:idx val="7"/>
              <c:layout>
                <c:manualLayout>
                  <c:x val="8.5882984433709071E-3"/>
                  <c:y val="3.8338658146964855E-2"/>
                </c:manualLayout>
              </c:layout>
              <c:dLblPos val="r"/>
              <c:showLegendKey val="0"/>
              <c:showVal val="1"/>
              <c:showCatName val="0"/>
              <c:showSerName val="0"/>
              <c:showPercent val="0"/>
              <c:showBubbleSize val="0"/>
            </c:dLbl>
            <c:dLbl>
              <c:idx val="8"/>
              <c:layout>
                <c:manualLayout>
                  <c:x val="2.1470746108427268E-3"/>
                  <c:y val="2.9818956336528223E-2"/>
                </c:manualLayout>
              </c:layout>
              <c:dLblPos val="r"/>
              <c:showLegendKey val="0"/>
              <c:showVal val="1"/>
              <c:showCatName val="0"/>
              <c:showSerName val="0"/>
              <c:showPercent val="0"/>
              <c:showBubbleSize val="0"/>
            </c:dLbl>
            <c:dLbl>
              <c:idx val="9"/>
              <c:layout>
                <c:manualLayout>
                  <c:x val="4.2941492216854536E-3"/>
                  <c:y val="2.9818956336528223E-2"/>
                </c:manualLayout>
              </c:layout>
              <c:dLblPos val="r"/>
              <c:showLegendKey val="0"/>
              <c:showVal val="1"/>
              <c:showCatName val="0"/>
              <c:showSerName val="0"/>
              <c:showPercent val="0"/>
              <c:showBubbleSize val="0"/>
            </c:dLbl>
            <c:txPr>
              <a:bodyPr/>
              <a:lstStyle/>
              <a:p>
                <a:pPr>
                  <a:defRPr b="1"/>
                </a:pPr>
                <a:endParaRPr lang="en-US"/>
              </a:p>
            </c:txPr>
            <c:dLblPos val="r"/>
            <c:showLegendKey val="0"/>
            <c:showVal val="1"/>
            <c:showCatName val="0"/>
            <c:showSerName val="0"/>
            <c:showPercent val="0"/>
            <c:showBubbleSize val="0"/>
            <c:showLeaderLines val="0"/>
          </c:dLbls>
          <c:cat>
            <c:numRef>
              <c:f>Sheet1!$A$2:$A$11</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Sheet1!$C$2:$C$11</c:f>
              <c:numCache>
                <c:formatCode>General</c:formatCode>
                <c:ptCount val="10"/>
                <c:pt idx="0">
                  <c:v>6.2</c:v>
                </c:pt>
                <c:pt idx="1">
                  <c:v>6</c:v>
                </c:pt>
                <c:pt idx="2">
                  <c:v>5.9</c:v>
                </c:pt>
                <c:pt idx="3">
                  <c:v>5.7</c:v>
                </c:pt>
                <c:pt idx="4">
                  <c:v>5.8</c:v>
                </c:pt>
                <c:pt idx="5">
                  <c:v>6.5</c:v>
                </c:pt>
                <c:pt idx="6">
                  <c:v>6.5</c:v>
                </c:pt>
                <c:pt idx="7">
                  <c:v>6.5</c:v>
                </c:pt>
                <c:pt idx="8">
                  <c:v>7.2</c:v>
                </c:pt>
                <c:pt idx="9">
                  <c:v>7.2</c:v>
                </c:pt>
              </c:numCache>
            </c:numRef>
          </c:val>
          <c:smooth val="0"/>
        </c:ser>
        <c:dLbls>
          <c:showLegendKey val="0"/>
          <c:showVal val="1"/>
          <c:showCatName val="0"/>
          <c:showSerName val="0"/>
          <c:showPercent val="0"/>
          <c:showBubbleSize val="0"/>
        </c:dLbls>
        <c:marker val="1"/>
        <c:smooth val="0"/>
        <c:axId val="246618752"/>
        <c:axId val="246703616"/>
      </c:lineChart>
      <c:catAx>
        <c:axId val="24661875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246703616"/>
        <c:crosses val="autoZero"/>
        <c:auto val="1"/>
        <c:lblAlgn val="ctr"/>
        <c:lblOffset val="100"/>
        <c:noMultiLvlLbl val="0"/>
      </c:catAx>
      <c:valAx>
        <c:axId val="246703616"/>
        <c:scaling>
          <c:orientation val="minMax"/>
        </c:scaling>
        <c:delete val="1"/>
        <c:axPos val="l"/>
        <c:numFmt formatCode="General" sourceLinked="1"/>
        <c:majorTickMark val="none"/>
        <c:minorTickMark val="none"/>
        <c:tickLblPos val="nextTo"/>
        <c:crossAx val="246618752"/>
        <c:crosses val="autoZero"/>
        <c:crossBetween val="between"/>
      </c:valAx>
    </c:plotArea>
    <c:legend>
      <c:legendPos val="t"/>
      <c:overlay val="0"/>
      <c:txPr>
        <a:bodyPr rot="0" vert="horz"/>
        <a:lstStyle/>
        <a:p>
          <a:pPr>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pieChart>
        <c:varyColors val="1"/>
        <c:ser>
          <c:idx val="0"/>
          <c:order val="0"/>
          <c:tx>
            <c:strRef>
              <c:f>Sheet1!$B$1</c:f>
              <c:strCache>
                <c:ptCount val="1"/>
                <c:pt idx="0">
                  <c:v>Age</c:v>
                </c:pt>
              </c:strCache>
            </c:strRef>
          </c:tx>
          <c:dPt>
            <c:idx val="1"/>
            <c:bubble3D val="0"/>
          </c:dPt>
          <c:dPt>
            <c:idx val="2"/>
            <c:bubble3D val="0"/>
            <c:spPr>
              <a:ln w="19050"/>
            </c:spPr>
          </c:dPt>
          <c:dLbls>
            <c:dLbl>
              <c:idx val="0"/>
              <c:layout>
                <c:manualLayout>
                  <c:x val="-9.5961770601459676E-2"/>
                  <c:y val="0.13291226596675415"/>
                </c:manualLayout>
              </c:layout>
              <c:dLblPos val="bestFit"/>
              <c:showLegendKey val="0"/>
              <c:showVal val="0"/>
              <c:showCatName val="0"/>
              <c:showSerName val="0"/>
              <c:showPercent val="1"/>
              <c:showBubbleSize val="0"/>
            </c:dLbl>
            <c:dLbl>
              <c:idx val="2"/>
              <c:layout>
                <c:manualLayout>
                  <c:x val="-5.111399049802319E-2"/>
                  <c:y val="-0.19285109361329833"/>
                </c:manualLayout>
              </c:layout>
              <c:dLblPos val="bestFit"/>
              <c:showLegendKey val="0"/>
              <c:showVal val="0"/>
              <c:showCatName val="0"/>
              <c:showSerName val="0"/>
              <c:showPercent val="1"/>
              <c:showBubbleSize val="0"/>
            </c:dLbl>
            <c:dLbl>
              <c:idx val="3"/>
              <c:layout>
                <c:manualLayout>
                  <c:x val="9.2974517425828115E-2"/>
                  <c:y val="-2.0057532808398951E-2"/>
                </c:manualLayout>
              </c:layout>
              <c:dLblPos val="bestFit"/>
              <c:showLegendKey val="0"/>
              <c:showVal val="0"/>
              <c:showCatName val="0"/>
              <c:showSerName val="0"/>
              <c:showPercent val="1"/>
              <c:showBubbleSize val="0"/>
            </c:dLbl>
            <c:dLbl>
              <c:idx val="4"/>
              <c:layout>
                <c:manualLayout>
                  <c:x val="0.12251326179164314"/>
                  <c:y val="0.1201632195975503"/>
                </c:manualLayout>
              </c:layout>
              <c:dLblPos val="bestFit"/>
              <c:showLegendKey val="0"/>
              <c:showVal val="0"/>
              <c:showCatName val="0"/>
              <c:showSerName val="0"/>
              <c:showPercent val="1"/>
              <c:showBubbleSize val="0"/>
            </c:dLbl>
            <c:numFmt formatCode="0.00%" sourceLinked="0"/>
            <c:txPr>
              <a:bodyPr/>
              <a:lstStyle/>
              <a:p>
                <a:pPr>
                  <a:defRPr sz="1400" b="1">
                    <a:solidFill>
                      <a:schemeClr val="bg1"/>
                    </a:solidFill>
                    <a:latin typeface="Times New Roman" pitchFamily="18" charset="0"/>
                    <a:cs typeface="Times New Roman" pitchFamily="18" charset="0"/>
                  </a:defRPr>
                </a:pPr>
                <a:endParaRPr lang="en-US"/>
              </a:p>
            </c:txPr>
            <c:dLblPos val="inEnd"/>
            <c:showLegendKey val="0"/>
            <c:showVal val="0"/>
            <c:showCatName val="0"/>
            <c:showSerName val="0"/>
            <c:showPercent val="1"/>
            <c:showBubbleSize val="0"/>
            <c:showLeaderLines val="1"/>
          </c:dLbls>
          <c:cat>
            <c:strRef>
              <c:f>Sheet1!$A$2:$A$6</c:f>
              <c:strCache>
                <c:ptCount val="5"/>
                <c:pt idx="0">
                  <c:v>0-14 years</c:v>
                </c:pt>
                <c:pt idx="1">
                  <c:v>16-24 years</c:v>
                </c:pt>
                <c:pt idx="2">
                  <c:v>25-54 years</c:v>
                </c:pt>
                <c:pt idx="3">
                  <c:v>55-64 years</c:v>
                </c:pt>
                <c:pt idx="4">
                  <c:v>65 years and over</c:v>
                </c:pt>
              </c:strCache>
            </c:strRef>
          </c:cat>
          <c:val>
            <c:numRef>
              <c:f>Sheet1!$B$2:$B$6</c:f>
              <c:numCache>
                <c:formatCode>0.00%</c:formatCode>
                <c:ptCount val="5"/>
                <c:pt idx="0">
                  <c:v>0.158</c:v>
                </c:pt>
                <c:pt idx="1">
                  <c:v>0.121</c:v>
                </c:pt>
                <c:pt idx="2">
                  <c:v>0.38100000000000001</c:v>
                </c:pt>
                <c:pt idx="3">
                  <c:v>0.14199999999999999</c:v>
                </c:pt>
                <c:pt idx="4">
                  <c:v>0.19800000000000001</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72956443735672283"/>
          <c:y val="0.25392965879265089"/>
          <c:w val="0.25355792551247552"/>
          <c:h val="0.40680734908136484"/>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Column1</c:v>
                </c:pt>
              </c:strCache>
            </c:strRef>
          </c:tx>
          <c:invertIfNegative val="0"/>
          <c:cat>
            <c:numRef>
              <c:f>Sheet1!$A$2:$A$6</c:f>
              <c:numCache>
                <c:formatCode>General</c:formatCode>
                <c:ptCount val="5"/>
                <c:pt idx="0">
                  <c:v>2008</c:v>
                </c:pt>
                <c:pt idx="1">
                  <c:v>2009</c:v>
                </c:pt>
                <c:pt idx="2">
                  <c:v>2010</c:v>
                </c:pt>
                <c:pt idx="3">
                  <c:v>2011</c:v>
                </c:pt>
                <c:pt idx="4">
                  <c:v>2012</c:v>
                </c:pt>
              </c:numCache>
            </c:numRef>
          </c:cat>
          <c:val>
            <c:numRef>
              <c:f>Sheet1!$B$2:$B$6</c:f>
              <c:numCache>
                <c:formatCode>General</c:formatCode>
                <c:ptCount val="5"/>
                <c:pt idx="0">
                  <c:v>16.8</c:v>
                </c:pt>
                <c:pt idx="1">
                  <c:v>17.7</c:v>
                </c:pt>
                <c:pt idx="2">
                  <c:v>19.5</c:v>
                </c:pt>
                <c:pt idx="3">
                  <c:v>20.100000000000001</c:v>
                </c:pt>
                <c:pt idx="4">
                  <c:v>20.7</c:v>
                </c:pt>
              </c:numCache>
            </c:numRef>
          </c:val>
        </c:ser>
        <c:dLbls>
          <c:showLegendKey val="0"/>
          <c:showVal val="1"/>
          <c:showCatName val="0"/>
          <c:showSerName val="0"/>
          <c:showPercent val="0"/>
          <c:showBubbleSize val="0"/>
        </c:dLbls>
        <c:gapWidth val="75"/>
        <c:axId val="251484032"/>
        <c:axId val="251485568"/>
      </c:barChart>
      <c:catAx>
        <c:axId val="251484032"/>
        <c:scaling>
          <c:orientation val="minMax"/>
        </c:scaling>
        <c:delete val="0"/>
        <c:axPos val="b"/>
        <c:numFmt formatCode="General" sourceLinked="1"/>
        <c:majorTickMark val="none"/>
        <c:minorTickMark val="none"/>
        <c:tickLblPos val="nextTo"/>
        <c:crossAx val="251485568"/>
        <c:crosses val="autoZero"/>
        <c:auto val="1"/>
        <c:lblAlgn val="ctr"/>
        <c:lblOffset val="100"/>
        <c:noMultiLvlLbl val="0"/>
      </c:catAx>
      <c:valAx>
        <c:axId val="251485568"/>
        <c:scaling>
          <c:orientation val="minMax"/>
        </c:scaling>
        <c:delete val="0"/>
        <c:axPos val="l"/>
        <c:numFmt formatCode="General" sourceLinked="1"/>
        <c:majorTickMark val="none"/>
        <c:minorTickMark val="none"/>
        <c:tickLblPos val="nextTo"/>
        <c:crossAx val="25148403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Column1</c:v>
                </c:pt>
              </c:strCache>
            </c:strRef>
          </c:tx>
          <c:invertIfNegative val="0"/>
          <c:cat>
            <c:numRef>
              <c:f>Sheet1!$A$2:$A$6</c:f>
              <c:numCache>
                <c:formatCode>General</c:formatCode>
                <c:ptCount val="5"/>
                <c:pt idx="0">
                  <c:v>2008</c:v>
                </c:pt>
                <c:pt idx="1">
                  <c:v>2009</c:v>
                </c:pt>
                <c:pt idx="2">
                  <c:v>2010</c:v>
                </c:pt>
                <c:pt idx="3">
                  <c:v>2011</c:v>
                </c:pt>
                <c:pt idx="4">
                  <c:v>2012</c:v>
                </c:pt>
              </c:numCache>
            </c:numRef>
          </c:cat>
          <c:val>
            <c:numRef>
              <c:f>Sheet1!$B$2:$B$6</c:f>
              <c:numCache>
                <c:formatCode>General</c:formatCode>
                <c:ptCount val="5"/>
                <c:pt idx="0">
                  <c:v>30.8</c:v>
                </c:pt>
                <c:pt idx="1">
                  <c:v>34.4</c:v>
                </c:pt>
                <c:pt idx="2">
                  <c:v>34.9</c:v>
                </c:pt>
                <c:pt idx="3">
                  <c:v>34.700000000000003</c:v>
                </c:pt>
                <c:pt idx="4">
                  <c:v>35.200000000000003</c:v>
                </c:pt>
              </c:numCache>
            </c:numRef>
          </c:val>
        </c:ser>
        <c:dLbls>
          <c:showLegendKey val="0"/>
          <c:showVal val="1"/>
          <c:showCatName val="0"/>
          <c:showSerName val="0"/>
          <c:showPercent val="0"/>
          <c:showBubbleSize val="0"/>
        </c:dLbls>
        <c:gapWidth val="75"/>
        <c:axId val="251543552"/>
        <c:axId val="251545088"/>
      </c:barChart>
      <c:catAx>
        <c:axId val="251543552"/>
        <c:scaling>
          <c:orientation val="minMax"/>
        </c:scaling>
        <c:delete val="0"/>
        <c:axPos val="b"/>
        <c:numFmt formatCode="General" sourceLinked="1"/>
        <c:majorTickMark val="none"/>
        <c:minorTickMark val="none"/>
        <c:tickLblPos val="nextTo"/>
        <c:crossAx val="251545088"/>
        <c:crosses val="autoZero"/>
        <c:auto val="1"/>
        <c:lblAlgn val="ctr"/>
        <c:lblOffset val="100"/>
        <c:noMultiLvlLbl val="0"/>
      </c:catAx>
      <c:valAx>
        <c:axId val="251545088"/>
        <c:scaling>
          <c:orientation val="minMax"/>
        </c:scaling>
        <c:delete val="0"/>
        <c:axPos val="l"/>
        <c:numFmt formatCode="General" sourceLinked="1"/>
        <c:majorTickMark val="none"/>
        <c:minorTickMark val="none"/>
        <c:tickLblPos val="nextTo"/>
        <c:crossAx val="25154355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Finland</c:v>
                </c:pt>
              </c:strCache>
            </c:strRef>
          </c:tx>
          <c:invertIfNegative val="0"/>
          <c:cat>
            <c:strRef>
              <c:f>Sheet1!$A$2:$A$4</c:f>
              <c:strCache>
                <c:ptCount val="3"/>
                <c:pt idx="0">
                  <c:v>Primary</c:v>
                </c:pt>
                <c:pt idx="1">
                  <c:v>Lower Secondary</c:v>
                </c:pt>
                <c:pt idx="2">
                  <c:v>Upper Secondary</c:v>
                </c:pt>
              </c:strCache>
            </c:strRef>
          </c:cat>
          <c:val>
            <c:numRef>
              <c:f>Sheet1!$B$2:$B$4</c:f>
              <c:numCache>
                <c:formatCode>General</c:formatCode>
                <c:ptCount val="3"/>
                <c:pt idx="0">
                  <c:v>8159</c:v>
                </c:pt>
                <c:pt idx="1">
                  <c:v>12545</c:v>
                </c:pt>
                <c:pt idx="2">
                  <c:v>8467</c:v>
                </c:pt>
              </c:numCache>
            </c:numRef>
          </c:val>
        </c:ser>
        <c:ser>
          <c:idx val="1"/>
          <c:order val="1"/>
          <c:tx>
            <c:strRef>
              <c:f>Sheet1!$C$1</c:f>
              <c:strCache>
                <c:ptCount val="1"/>
                <c:pt idx="0">
                  <c:v>OECD average</c:v>
                </c:pt>
              </c:strCache>
            </c:strRef>
          </c:tx>
          <c:invertIfNegative val="0"/>
          <c:cat>
            <c:strRef>
              <c:f>Sheet1!$A$2:$A$4</c:f>
              <c:strCache>
                <c:ptCount val="3"/>
                <c:pt idx="0">
                  <c:v>Primary</c:v>
                </c:pt>
                <c:pt idx="1">
                  <c:v>Lower Secondary</c:v>
                </c:pt>
                <c:pt idx="2">
                  <c:v>Upper Secondary</c:v>
                </c:pt>
              </c:strCache>
            </c:strRef>
          </c:cat>
          <c:val>
            <c:numRef>
              <c:f>Sheet1!$C$2:$C$4</c:f>
              <c:numCache>
                <c:formatCode>General</c:formatCode>
                <c:ptCount val="3"/>
                <c:pt idx="0">
                  <c:v>8296</c:v>
                </c:pt>
                <c:pt idx="1">
                  <c:v>9377</c:v>
                </c:pt>
                <c:pt idx="2">
                  <c:v>9506</c:v>
                </c:pt>
              </c:numCache>
            </c:numRef>
          </c:val>
        </c:ser>
        <c:dLbls>
          <c:showLegendKey val="0"/>
          <c:showVal val="1"/>
          <c:showCatName val="0"/>
          <c:showSerName val="0"/>
          <c:showPercent val="0"/>
          <c:showBubbleSize val="0"/>
        </c:dLbls>
        <c:gapWidth val="75"/>
        <c:axId val="253062528"/>
        <c:axId val="253105280"/>
      </c:barChart>
      <c:catAx>
        <c:axId val="253062528"/>
        <c:scaling>
          <c:orientation val="minMax"/>
        </c:scaling>
        <c:delete val="0"/>
        <c:axPos val="b"/>
        <c:majorTickMark val="none"/>
        <c:minorTickMark val="none"/>
        <c:tickLblPos val="nextTo"/>
        <c:crossAx val="253105280"/>
        <c:crosses val="autoZero"/>
        <c:auto val="1"/>
        <c:lblAlgn val="ctr"/>
        <c:lblOffset val="100"/>
        <c:noMultiLvlLbl val="0"/>
      </c:catAx>
      <c:valAx>
        <c:axId val="253105280"/>
        <c:scaling>
          <c:orientation val="minMax"/>
        </c:scaling>
        <c:delete val="0"/>
        <c:axPos val="l"/>
        <c:numFmt formatCode="General" sourceLinked="1"/>
        <c:majorTickMark val="none"/>
        <c:minorTickMark val="none"/>
        <c:tickLblPos val="nextTo"/>
        <c:crossAx val="253062528"/>
        <c:crosses val="autoZero"/>
        <c:crossBetween val="between"/>
      </c:val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Sheet1!$B$1</c:f>
              <c:strCache>
                <c:ptCount val="1"/>
                <c:pt idx="0">
                  <c:v>General governmanet total expenditures</c:v>
                </c:pt>
              </c:strCache>
            </c:strRef>
          </c:tx>
          <c:marker>
            <c:symbol val="none"/>
          </c:marker>
          <c:cat>
            <c:numRef>
              <c:f>Sheet1!$A$2:$A$6</c:f>
              <c:numCache>
                <c:formatCode>General</c:formatCode>
                <c:ptCount val="5"/>
                <c:pt idx="0">
                  <c:v>2009</c:v>
                </c:pt>
                <c:pt idx="1">
                  <c:v>2010</c:v>
                </c:pt>
                <c:pt idx="2">
                  <c:v>2011</c:v>
                </c:pt>
                <c:pt idx="3">
                  <c:v>2012</c:v>
                </c:pt>
                <c:pt idx="4">
                  <c:v>2013</c:v>
                </c:pt>
              </c:numCache>
            </c:numRef>
          </c:cat>
          <c:val>
            <c:numRef>
              <c:f>Sheet1!$B$2:$B$6</c:f>
              <c:numCache>
                <c:formatCode>0.00%</c:formatCode>
                <c:ptCount val="5"/>
                <c:pt idx="0">
                  <c:v>0.56100000000000005</c:v>
                </c:pt>
                <c:pt idx="1">
                  <c:v>0.55100000000000005</c:v>
                </c:pt>
                <c:pt idx="2">
                  <c:v>0.55100000000000005</c:v>
                </c:pt>
                <c:pt idx="3">
                  <c:v>0.56699999999999995</c:v>
                </c:pt>
                <c:pt idx="4">
                  <c:v>0.52400000000000002</c:v>
                </c:pt>
              </c:numCache>
            </c:numRef>
          </c:val>
          <c:smooth val="0"/>
        </c:ser>
        <c:dLbls>
          <c:showLegendKey val="0"/>
          <c:showVal val="0"/>
          <c:showCatName val="0"/>
          <c:showSerName val="0"/>
          <c:showPercent val="0"/>
          <c:showBubbleSize val="0"/>
        </c:dLbls>
        <c:marker val="1"/>
        <c:smooth val="0"/>
        <c:axId val="253130624"/>
        <c:axId val="253132160"/>
      </c:lineChart>
      <c:catAx>
        <c:axId val="253130624"/>
        <c:scaling>
          <c:orientation val="minMax"/>
        </c:scaling>
        <c:delete val="0"/>
        <c:axPos val="b"/>
        <c:numFmt formatCode="General" sourceLinked="1"/>
        <c:majorTickMark val="none"/>
        <c:minorTickMark val="none"/>
        <c:tickLblPos val="nextTo"/>
        <c:crossAx val="253132160"/>
        <c:crosses val="autoZero"/>
        <c:auto val="1"/>
        <c:lblAlgn val="ctr"/>
        <c:lblOffset val="100"/>
        <c:noMultiLvlLbl val="0"/>
      </c:catAx>
      <c:valAx>
        <c:axId val="253132160"/>
        <c:scaling>
          <c:orientation val="minMax"/>
        </c:scaling>
        <c:delete val="0"/>
        <c:axPos val="l"/>
        <c:majorGridlines/>
        <c:numFmt formatCode="0.00%" sourceLinked="1"/>
        <c:majorTickMark val="none"/>
        <c:minorTickMark val="none"/>
        <c:tickLblPos val="nextTo"/>
        <c:spPr>
          <a:ln w="9525">
            <a:noFill/>
          </a:ln>
        </c:spPr>
        <c:crossAx val="253130624"/>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2031</Words>
  <Characters>11274</Characters>
  <Application>Microsoft Office Word</Application>
  <DocSecurity>0</DocSecurity>
  <Lines>450</Lines>
  <Paragraphs>332</Paragraphs>
  <ScaleCrop>false</ScaleCrop>
  <Company/>
  <LinksUpToDate>false</LinksUpToDate>
  <CharactersWithSpaces>12973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minnt</dc:creator>
  <cp:lastModifiedBy>minnt</cp:lastModifiedBy>
  <cp:revision>2</cp:revision>
  <dcterms:created xsi:type="dcterms:W3CDTF">2016-01-04T16:39:00Z</dcterms:created>
  <dcterms:modified xsi:type="dcterms:W3CDTF">2016-01-04T16:40:00Z</dcterms:modified>
</cp:coreProperties>
</file>