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1E17B" w14:textId="23BC9015" w:rsidR="0025085E" w:rsidRDefault="006E0434" w:rsidP="006E0434">
      <w:pPr>
        <w:jc w:val="right"/>
      </w:pPr>
      <w:r>
        <w:t>Torfun Sae-lee</w:t>
      </w:r>
    </w:p>
    <w:p w14:paraId="7BFDDB9F" w14:textId="074F50F7" w:rsidR="006E0434" w:rsidRDefault="006E0434" w:rsidP="006E0434">
      <w:pPr>
        <w:jc w:val="right"/>
      </w:pPr>
      <w:r>
        <w:t>6204641572</w:t>
      </w:r>
    </w:p>
    <w:p w14:paraId="5689B7AC" w14:textId="0C1C41BD" w:rsidR="006E0434" w:rsidRDefault="006E0434" w:rsidP="006E0434">
      <w:r>
        <w:t>EE461 Assignment 1: Learning about indicator</w:t>
      </w:r>
    </w:p>
    <w:p w14:paraId="0F162C20" w14:textId="4AF40C1E" w:rsidR="006E0434" w:rsidRPr="006E0434" w:rsidRDefault="006E0434" w:rsidP="006E0434">
      <w:pPr>
        <w:rPr>
          <w:b/>
          <w:bCs/>
          <w:u w:val="single"/>
        </w:rPr>
      </w:pPr>
      <w:r w:rsidRPr="006E0434">
        <w:rPr>
          <w:b/>
          <w:bCs/>
          <w:u w:val="single"/>
        </w:rPr>
        <w:t>Graph 1</w:t>
      </w:r>
    </w:p>
    <w:p w14:paraId="10F1E759" w14:textId="7DF4C3E6" w:rsidR="006E0434" w:rsidRDefault="006E0434" w:rsidP="006E0434">
      <w:pPr>
        <w:jc w:val="center"/>
      </w:pPr>
      <w:r>
        <w:rPr>
          <w:noProof/>
        </w:rPr>
        <w:drawing>
          <wp:inline distT="0" distB="0" distL="0" distR="0" wp14:anchorId="0FFD65C5" wp14:editId="395BB601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B44DD97-9B97-4CC6-9A98-A79ECEA668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3D5F3D79" w14:textId="482A7A7B" w:rsidR="006E0434" w:rsidRPr="006E0434" w:rsidRDefault="006E0434" w:rsidP="006E0434">
      <w:pPr>
        <w:rPr>
          <w:b/>
          <w:bCs/>
        </w:rPr>
      </w:pPr>
      <w:r w:rsidRPr="006E0434">
        <w:rPr>
          <w:b/>
          <w:bCs/>
        </w:rPr>
        <w:t>Note: The data used in this chart is recorded as 2019 data</w:t>
      </w:r>
    </w:p>
    <w:p w14:paraId="4666233B" w14:textId="40B600BF" w:rsidR="006E0434" w:rsidRDefault="006E0434" w:rsidP="006E0434">
      <w:pPr>
        <w:rPr>
          <w:rFonts w:hint="cs"/>
          <w:b/>
          <w:bCs/>
          <w:cs/>
        </w:rPr>
      </w:pPr>
      <w:r w:rsidRPr="006E0434">
        <w:rPr>
          <w:b/>
          <w:bCs/>
        </w:rPr>
        <w:t>Source: World Bank</w:t>
      </w:r>
    </w:p>
    <w:p w14:paraId="2282BE28" w14:textId="7927A776" w:rsidR="00CE334D" w:rsidRDefault="006E0434" w:rsidP="007351AA">
      <w:pPr>
        <w:ind w:firstLine="720"/>
      </w:pPr>
      <w:r>
        <w:t xml:space="preserve">According to the </w:t>
      </w:r>
      <w:r w:rsidR="00395085">
        <w:t>graph</w:t>
      </w:r>
      <w:r>
        <w:t xml:space="preserve">, </w:t>
      </w:r>
      <w:r w:rsidR="007351AA">
        <w:t>it</w:t>
      </w:r>
      <w:r w:rsidR="00395085">
        <w:t xml:space="preserve"> is a steadily stra</w:t>
      </w:r>
      <w:r w:rsidR="007351AA">
        <w:t xml:space="preserve">ight graph with a little bit of negative relation between GNI per capita, PPP (current international $) and </w:t>
      </w:r>
      <w:r w:rsidR="007351AA" w:rsidRPr="007351AA">
        <w:t>Female share of employment in senior &amp; middle management (%)</w:t>
      </w:r>
      <w:r w:rsidR="007351AA">
        <w:t xml:space="preserve">. The graph shows that countries with less GNI per capita has several levels of </w:t>
      </w:r>
      <w:r w:rsidR="007351AA" w:rsidRPr="007351AA">
        <w:t>Female share of employment in senior &amp; middle management</w:t>
      </w:r>
      <w:r w:rsidR="007351AA">
        <w:t xml:space="preserve"> thus, it hardly influenced each other.</w:t>
      </w:r>
    </w:p>
    <w:p w14:paraId="55BD278C" w14:textId="4803FB53" w:rsidR="007351AA" w:rsidRDefault="007351AA" w:rsidP="007351AA">
      <w:pPr>
        <w:ind w:firstLine="720"/>
      </w:pPr>
    </w:p>
    <w:p w14:paraId="0CCAE11B" w14:textId="193BB341" w:rsidR="007351AA" w:rsidRDefault="007351AA" w:rsidP="00CE334D">
      <w:pPr>
        <w:jc w:val="center"/>
      </w:pPr>
    </w:p>
    <w:p w14:paraId="475567AF" w14:textId="00A14066" w:rsidR="00BB24F8" w:rsidRDefault="00BB24F8" w:rsidP="00CE334D">
      <w:pPr>
        <w:jc w:val="center"/>
      </w:pPr>
    </w:p>
    <w:p w14:paraId="45302AD9" w14:textId="63E89D99" w:rsidR="00893EDD" w:rsidRDefault="00893EDD" w:rsidP="00CE334D">
      <w:pPr>
        <w:jc w:val="center"/>
      </w:pPr>
    </w:p>
    <w:p w14:paraId="6DF2E8EC" w14:textId="1ADE869F" w:rsidR="00893EDD" w:rsidRDefault="00893EDD" w:rsidP="00CE334D">
      <w:pPr>
        <w:jc w:val="center"/>
      </w:pPr>
    </w:p>
    <w:p w14:paraId="65DF2FFE" w14:textId="3E40FFE3" w:rsidR="00893EDD" w:rsidRDefault="00893EDD" w:rsidP="00CE334D">
      <w:pPr>
        <w:jc w:val="center"/>
      </w:pPr>
    </w:p>
    <w:p w14:paraId="5EA56E6C" w14:textId="0B89FF9A" w:rsidR="00893EDD" w:rsidRDefault="00893EDD" w:rsidP="00CE334D">
      <w:pPr>
        <w:jc w:val="center"/>
      </w:pPr>
    </w:p>
    <w:p w14:paraId="481F6CAB" w14:textId="7898BF06" w:rsidR="00893EDD" w:rsidRDefault="00893EDD" w:rsidP="00CE334D">
      <w:pPr>
        <w:jc w:val="center"/>
      </w:pPr>
    </w:p>
    <w:p w14:paraId="16E54065" w14:textId="73E415DD" w:rsidR="00893EDD" w:rsidRDefault="00893EDD" w:rsidP="00CE334D">
      <w:pPr>
        <w:jc w:val="center"/>
      </w:pPr>
    </w:p>
    <w:p w14:paraId="1027C1D0" w14:textId="60430C39" w:rsidR="00893EDD" w:rsidRDefault="00893EDD" w:rsidP="00CE334D">
      <w:pPr>
        <w:jc w:val="center"/>
      </w:pPr>
    </w:p>
    <w:p w14:paraId="0738C160" w14:textId="6CCAD42A" w:rsidR="00893EDD" w:rsidRDefault="00893EDD" w:rsidP="00893EDD">
      <w:pPr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7B85614" wp14:editId="5D67D253">
            <wp:simplePos x="0" y="0"/>
            <wp:positionH relativeFrom="column">
              <wp:posOffset>673100</wp:posOffset>
            </wp:positionH>
            <wp:positionV relativeFrom="paragraph">
              <wp:posOffset>266065</wp:posOffset>
            </wp:positionV>
            <wp:extent cx="4572000" cy="3444876"/>
            <wp:effectExtent l="0" t="0" r="0" b="3175"/>
            <wp:wrapNone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38C2C5EF-C891-4EA1-8B38-7649186AED2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0434">
        <w:rPr>
          <w:b/>
          <w:bCs/>
          <w:u w:val="single"/>
        </w:rPr>
        <w:t xml:space="preserve">Graph </w:t>
      </w:r>
      <w:r>
        <w:rPr>
          <w:b/>
          <w:bCs/>
          <w:u w:val="single"/>
        </w:rPr>
        <w:t>2</w:t>
      </w:r>
    </w:p>
    <w:p w14:paraId="5F6FD79D" w14:textId="4AB55FA2" w:rsidR="00893EDD" w:rsidRDefault="00893EDD" w:rsidP="00893EDD">
      <w:pPr>
        <w:rPr>
          <w:b/>
          <w:bCs/>
          <w:u w:val="single"/>
        </w:rPr>
      </w:pPr>
    </w:p>
    <w:p w14:paraId="2B22AB7C" w14:textId="5F728772" w:rsidR="00893EDD" w:rsidRDefault="00893EDD" w:rsidP="00893EDD">
      <w:pPr>
        <w:rPr>
          <w:b/>
          <w:bCs/>
          <w:u w:val="single"/>
        </w:rPr>
      </w:pPr>
    </w:p>
    <w:p w14:paraId="47C31407" w14:textId="21E434CD" w:rsidR="00893EDD" w:rsidRDefault="00893EDD" w:rsidP="00893EDD">
      <w:pPr>
        <w:rPr>
          <w:b/>
          <w:bCs/>
          <w:u w:val="single"/>
        </w:rPr>
      </w:pPr>
    </w:p>
    <w:p w14:paraId="4ACA514C" w14:textId="4E9DAC9F" w:rsidR="00893EDD" w:rsidRDefault="00893EDD" w:rsidP="00893EDD">
      <w:pPr>
        <w:rPr>
          <w:b/>
          <w:bCs/>
          <w:u w:val="single"/>
        </w:rPr>
      </w:pPr>
    </w:p>
    <w:p w14:paraId="11F42BB4" w14:textId="5F3D46FF" w:rsidR="00893EDD" w:rsidRDefault="00893EDD" w:rsidP="00893EDD">
      <w:pPr>
        <w:rPr>
          <w:b/>
          <w:bCs/>
          <w:u w:val="single"/>
        </w:rPr>
      </w:pPr>
    </w:p>
    <w:p w14:paraId="4CD97DBA" w14:textId="4EB92149" w:rsidR="00893EDD" w:rsidRDefault="00893EDD" w:rsidP="00893EDD">
      <w:pPr>
        <w:rPr>
          <w:b/>
          <w:bCs/>
          <w:u w:val="single"/>
        </w:rPr>
      </w:pPr>
    </w:p>
    <w:p w14:paraId="2F3EC9C2" w14:textId="16CEE1F5" w:rsidR="00893EDD" w:rsidRDefault="00893EDD" w:rsidP="00893EDD">
      <w:pPr>
        <w:rPr>
          <w:b/>
          <w:bCs/>
          <w:u w:val="single"/>
        </w:rPr>
      </w:pPr>
    </w:p>
    <w:p w14:paraId="19BF3C9D" w14:textId="588506E2" w:rsidR="00893EDD" w:rsidRDefault="00893EDD" w:rsidP="00893EDD">
      <w:pPr>
        <w:rPr>
          <w:b/>
          <w:bCs/>
          <w:u w:val="single"/>
        </w:rPr>
      </w:pPr>
    </w:p>
    <w:p w14:paraId="0266009E" w14:textId="1E32722F" w:rsidR="00893EDD" w:rsidRDefault="00893EDD" w:rsidP="00893EDD">
      <w:pPr>
        <w:rPr>
          <w:b/>
          <w:bCs/>
          <w:u w:val="single"/>
        </w:rPr>
      </w:pPr>
    </w:p>
    <w:p w14:paraId="1053452E" w14:textId="6591A07E" w:rsidR="00893EDD" w:rsidRDefault="00893EDD" w:rsidP="00893EDD">
      <w:pPr>
        <w:rPr>
          <w:b/>
          <w:bCs/>
          <w:u w:val="single"/>
        </w:rPr>
      </w:pPr>
    </w:p>
    <w:p w14:paraId="1EC6F71D" w14:textId="5202D83E" w:rsidR="00893EDD" w:rsidRDefault="00893EDD" w:rsidP="00893EDD">
      <w:pPr>
        <w:rPr>
          <w:b/>
          <w:bCs/>
          <w:u w:val="single"/>
        </w:rPr>
      </w:pPr>
    </w:p>
    <w:p w14:paraId="522EB204" w14:textId="64702814" w:rsidR="00893EDD" w:rsidRDefault="00893EDD" w:rsidP="00893EDD">
      <w:pPr>
        <w:rPr>
          <w:b/>
          <w:bCs/>
          <w:u w:val="single"/>
        </w:rPr>
      </w:pPr>
    </w:p>
    <w:p w14:paraId="3DBE854C" w14:textId="510C7C04" w:rsidR="00893EDD" w:rsidRDefault="00893EDD" w:rsidP="00893EDD">
      <w:pPr>
        <w:rPr>
          <w:b/>
          <w:bCs/>
          <w:u w:val="single"/>
        </w:rPr>
      </w:pPr>
    </w:p>
    <w:p w14:paraId="08D7907D" w14:textId="6EEA1A72" w:rsidR="00893EDD" w:rsidRPr="006E0434" w:rsidRDefault="00893EDD" w:rsidP="00893EDD">
      <w:pPr>
        <w:rPr>
          <w:b/>
          <w:bCs/>
        </w:rPr>
      </w:pPr>
      <w:r w:rsidRPr="006E0434">
        <w:rPr>
          <w:b/>
          <w:bCs/>
        </w:rPr>
        <w:t xml:space="preserve">Note: The data used in this chart is </w:t>
      </w:r>
      <w:r>
        <w:rPr>
          <w:b/>
          <w:bCs/>
        </w:rPr>
        <w:t>available until 2020</w:t>
      </w:r>
    </w:p>
    <w:p w14:paraId="50CEADE0" w14:textId="77777777" w:rsidR="00893EDD" w:rsidRDefault="00893EDD" w:rsidP="00893EDD">
      <w:pPr>
        <w:rPr>
          <w:rFonts w:hint="cs"/>
          <w:b/>
          <w:bCs/>
          <w:cs/>
        </w:rPr>
      </w:pPr>
      <w:r w:rsidRPr="006E0434">
        <w:rPr>
          <w:b/>
          <w:bCs/>
        </w:rPr>
        <w:t>Source: World Bank</w:t>
      </w:r>
    </w:p>
    <w:p w14:paraId="26C09365" w14:textId="0346EFD5" w:rsidR="008001B1" w:rsidRDefault="00893EDD" w:rsidP="00893EDD">
      <w:r>
        <w:rPr>
          <w:b/>
          <w:bCs/>
        </w:rPr>
        <w:tab/>
      </w:r>
      <w:r>
        <w:t xml:space="preserve">In 1990, Thailand and </w:t>
      </w:r>
      <w:r w:rsidR="008001B1">
        <w:t>Vietnam</w:t>
      </w:r>
      <w:r>
        <w:t xml:space="preserve"> have the same level of exports of goods and services annual % growth however, it started drifting apart after that, </w:t>
      </w:r>
      <w:r w:rsidR="008001B1">
        <w:t>Vietnam</w:t>
      </w:r>
      <w:r>
        <w:t xml:space="preserve"> export</w:t>
      </w:r>
      <w:r w:rsidR="008001B1">
        <w:t xml:space="preserve"> growth</w:t>
      </w:r>
      <w:r>
        <w:t xml:space="preserve"> grew rapidly in 1991</w:t>
      </w:r>
      <w:r w:rsidR="008001B1">
        <w:t>.</w:t>
      </w:r>
    </w:p>
    <w:p w14:paraId="5E239767" w14:textId="2C29BEBE" w:rsidR="008001B1" w:rsidRPr="00893EDD" w:rsidRDefault="008001B1" w:rsidP="008001B1">
      <w:pPr>
        <w:ind w:firstLine="720"/>
      </w:pPr>
      <w:r>
        <w:t>Every country export</w:t>
      </w:r>
      <w:r w:rsidR="00893EDD">
        <w:t xml:space="preserve"> </w:t>
      </w:r>
      <w:r>
        <w:t xml:space="preserve">growth </w:t>
      </w:r>
      <w:r w:rsidR="00893EDD">
        <w:t xml:space="preserve">dropped </w:t>
      </w:r>
      <w:r>
        <w:t xml:space="preserve">massively in 2009 and again in 2020 however as you can see from the graph, Vietnam still performed a lot better than Thailand and Malaysia. This may be because of the economic recession from the COVID-19 outbreak. </w:t>
      </w:r>
    </w:p>
    <w:sectPr w:rsidR="008001B1" w:rsidRPr="00893E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434"/>
    <w:rsid w:val="0025085E"/>
    <w:rsid w:val="00395085"/>
    <w:rsid w:val="006E0434"/>
    <w:rsid w:val="007351AA"/>
    <w:rsid w:val="008001B1"/>
    <w:rsid w:val="00893EDD"/>
    <w:rsid w:val="00B23FB1"/>
    <w:rsid w:val="00BB24F8"/>
    <w:rsid w:val="00CC590D"/>
    <w:rsid w:val="00CE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67D5B"/>
  <w15:chartTrackingRefBased/>
  <w15:docId w15:val="{B51D3CFA-6BD0-4F1B-88AE-48F75ED4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5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ropbox\My%20PC%20(LAPTOP-LUOBK356)\Downloads\Data_Extract_From_World_Development_Indicators%20(4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GNI per capita &amp; Female share</a:t>
            </a:r>
            <a:r>
              <a:rPr lang="en-US" baseline="0"/>
              <a:t> of employment in senior &amp; middle management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Data!$A$1:$BG$1</c:f>
              <c:numCache>
                <c:formatCode>General</c:formatCode>
                <c:ptCount val="59"/>
                <c:pt idx="0">
                  <c:v>14150</c:v>
                </c:pt>
                <c:pt idx="1">
                  <c:v>22090</c:v>
                </c:pt>
                <c:pt idx="2">
                  <c:v>58430</c:v>
                </c:pt>
                <c:pt idx="3">
                  <c:v>15740</c:v>
                </c:pt>
                <c:pt idx="4">
                  <c:v>55450</c:v>
                </c:pt>
                <c:pt idx="5">
                  <c:v>8910</c:v>
                </c:pt>
                <c:pt idx="6">
                  <c:v>15840</c:v>
                </c:pt>
                <c:pt idx="7">
                  <c:v>16980</c:v>
                </c:pt>
                <c:pt idx="8">
                  <c:v>14980</c:v>
                </c:pt>
                <c:pt idx="9">
                  <c:v>66460</c:v>
                </c:pt>
                <c:pt idx="10">
                  <c:v>24010</c:v>
                </c:pt>
                <c:pt idx="11">
                  <c:v>30530</c:v>
                </c:pt>
                <c:pt idx="12">
                  <c:v>40700</c:v>
                </c:pt>
                <c:pt idx="13">
                  <c:v>61630</c:v>
                </c:pt>
                <c:pt idx="14">
                  <c:v>18310</c:v>
                </c:pt>
                <c:pt idx="15">
                  <c:v>11500</c:v>
                </c:pt>
                <c:pt idx="16">
                  <c:v>8690</c:v>
                </c:pt>
                <c:pt idx="17">
                  <c:v>37940</c:v>
                </c:pt>
                <c:pt idx="18">
                  <c:v>51780</c:v>
                </c:pt>
                <c:pt idx="19">
                  <c:v>50680</c:v>
                </c:pt>
                <c:pt idx="20">
                  <c:v>58110</c:v>
                </c:pt>
                <c:pt idx="21">
                  <c:v>30560</c:v>
                </c:pt>
                <c:pt idx="22">
                  <c:v>5520</c:v>
                </c:pt>
                <c:pt idx="23">
                  <c:v>33070</c:v>
                </c:pt>
                <c:pt idx="24">
                  <c:v>59590</c:v>
                </c:pt>
                <c:pt idx="25">
                  <c:v>6930</c:v>
                </c:pt>
                <c:pt idx="26">
                  <c:v>69500</c:v>
                </c:pt>
                <c:pt idx="27">
                  <c:v>45340</c:v>
                </c:pt>
                <c:pt idx="28">
                  <c:v>12070</c:v>
                </c:pt>
                <c:pt idx="29">
                  <c:v>31760</c:v>
                </c:pt>
                <c:pt idx="30">
                  <c:v>15000</c:v>
                </c:pt>
                <c:pt idx="31">
                  <c:v>37450</c:v>
                </c:pt>
                <c:pt idx="32">
                  <c:v>43240</c:v>
                </c:pt>
                <c:pt idx="33">
                  <c:v>19860</c:v>
                </c:pt>
                <c:pt idx="34">
                  <c:v>11570</c:v>
                </c:pt>
                <c:pt idx="35">
                  <c:v>23610</c:v>
                </c:pt>
                <c:pt idx="36">
                  <c:v>4770</c:v>
                </c:pt>
                <c:pt idx="37">
                  <c:v>59920</c:v>
                </c:pt>
                <c:pt idx="38">
                  <c:v>16910</c:v>
                </c:pt>
                <c:pt idx="39">
                  <c:v>70330</c:v>
                </c:pt>
                <c:pt idx="40">
                  <c:v>10220</c:v>
                </c:pt>
                <c:pt idx="41">
                  <c:v>32830</c:v>
                </c:pt>
                <c:pt idx="42">
                  <c:v>35990</c:v>
                </c:pt>
                <c:pt idx="43">
                  <c:v>31860</c:v>
                </c:pt>
                <c:pt idx="44">
                  <c:v>28260</c:v>
                </c:pt>
                <c:pt idx="45">
                  <c:v>17920</c:v>
                </c:pt>
                <c:pt idx="46">
                  <c:v>27700</c:v>
                </c:pt>
                <c:pt idx="47">
                  <c:v>32040</c:v>
                </c:pt>
                <c:pt idx="48">
                  <c:v>40570</c:v>
                </c:pt>
                <c:pt idx="49">
                  <c:v>13930</c:v>
                </c:pt>
                <c:pt idx="50">
                  <c:v>42260</c:v>
                </c:pt>
                <c:pt idx="51">
                  <c:v>56950</c:v>
                </c:pt>
                <c:pt idx="52">
                  <c:v>70510</c:v>
                </c:pt>
                <c:pt idx="53">
                  <c:v>18530</c:v>
                </c:pt>
                <c:pt idx="54">
                  <c:v>26840</c:v>
                </c:pt>
                <c:pt idx="55">
                  <c:v>49050</c:v>
                </c:pt>
                <c:pt idx="56">
                  <c:v>66120</c:v>
                </c:pt>
                <c:pt idx="57">
                  <c:v>22850</c:v>
                </c:pt>
                <c:pt idx="58">
                  <c:v>3710</c:v>
                </c:pt>
              </c:numCache>
            </c:numRef>
          </c:xVal>
          <c:yVal>
            <c:numRef>
              <c:f>Data!$A$2:$BG$2</c:f>
              <c:numCache>
                <c:formatCode>General</c:formatCode>
                <c:ptCount val="59"/>
                <c:pt idx="0">
                  <c:v>41.340000152587898</c:v>
                </c:pt>
                <c:pt idx="1">
                  <c:v>33.139999389648402</c:v>
                </c:pt>
                <c:pt idx="2">
                  <c:v>32.009998321533203</c:v>
                </c:pt>
                <c:pt idx="3">
                  <c:v>43.169998168945298</c:v>
                </c:pt>
                <c:pt idx="4">
                  <c:v>31.879999160766602</c:v>
                </c:pt>
                <c:pt idx="5">
                  <c:v>28.079999923706101</c:v>
                </c:pt>
                <c:pt idx="6">
                  <c:v>25.430000305175799</c:v>
                </c:pt>
                <c:pt idx="7">
                  <c:v>54.169998168945298</c:v>
                </c:pt>
                <c:pt idx="8">
                  <c:v>38.610000610351598</c:v>
                </c:pt>
                <c:pt idx="9">
                  <c:v>32.259998321533203</c:v>
                </c:pt>
                <c:pt idx="10">
                  <c:v>39.25</c:v>
                </c:pt>
                <c:pt idx="11">
                  <c:v>24.2700004577637</c:v>
                </c:pt>
                <c:pt idx="12">
                  <c:v>26.610000610351602</c:v>
                </c:pt>
                <c:pt idx="13">
                  <c:v>26.629999160766602</c:v>
                </c:pt>
                <c:pt idx="14">
                  <c:v>50.189998626708999</c:v>
                </c:pt>
                <c:pt idx="15">
                  <c:v>37.099998474121101</c:v>
                </c:pt>
                <c:pt idx="16">
                  <c:v>43.130001068115199</c:v>
                </c:pt>
                <c:pt idx="17">
                  <c:v>35.110000610351598</c:v>
                </c:pt>
                <c:pt idx="18">
                  <c:v>36.759998321533203</c:v>
                </c:pt>
                <c:pt idx="19">
                  <c:v>34.240001678466797</c:v>
                </c:pt>
                <c:pt idx="20">
                  <c:v>28.590000152587901</c:v>
                </c:pt>
                <c:pt idx="21">
                  <c:v>29.7700004577637</c:v>
                </c:pt>
                <c:pt idx="22">
                  <c:v>47.470001220703097</c:v>
                </c:pt>
                <c:pt idx="23">
                  <c:v>35.900001525878899</c:v>
                </c:pt>
                <c:pt idx="24">
                  <c:v>44.009998321533203</c:v>
                </c:pt>
                <c:pt idx="25">
                  <c:v>14.829999923706101</c:v>
                </c:pt>
                <c:pt idx="26">
                  <c:v>31.2600002288818</c:v>
                </c:pt>
                <c:pt idx="27">
                  <c:v>23.2700004577637</c:v>
                </c:pt>
                <c:pt idx="28">
                  <c:v>14.3400001525879</c:v>
                </c:pt>
                <c:pt idx="29">
                  <c:v>43.540000915527301</c:v>
                </c:pt>
                <c:pt idx="30">
                  <c:v>28.870000839233398</c:v>
                </c:pt>
                <c:pt idx="31">
                  <c:v>38.590000152587898</c:v>
                </c:pt>
                <c:pt idx="32">
                  <c:v>30.0100002288818</c:v>
                </c:pt>
                <c:pt idx="33">
                  <c:v>35.5200004577637</c:v>
                </c:pt>
                <c:pt idx="34">
                  <c:v>43</c:v>
                </c:pt>
                <c:pt idx="35">
                  <c:v>28.200000762939499</c:v>
                </c:pt>
                <c:pt idx="36">
                  <c:v>34.139999389648402</c:v>
                </c:pt>
                <c:pt idx="37">
                  <c:v>26.0100002288818</c:v>
                </c:pt>
                <c:pt idx="38">
                  <c:v>28.149999618530298</c:v>
                </c:pt>
                <c:pt idx="39">
                  <c:v>32.75</c:v>
                </c:pt>
                <c:pt idx="40">
                  <c:v>29.309999465942401</c:v>
                </c:pt>
                <c:pt idx="41">
                  <c:v>41.150001525878899</c:v>
                </c:pt>
                <c:pt idx="42">
                  <c:v>36.970001220703097</c:v>
                </c:pt>
                <c:pt idx="43">
                  <c:v>34.189998626708999</c:v>
                </c:pt>
                <c:pt idx="44">
                  <c:v>41.990001678466797</c:v>
                </c:pt>
                <c:pt idx="45">
                  <c:v>33.569999694824197</c:v>
                </c:pt>
                <c:pt idx="46">
                  <c:v>47.349998474121101</c:v>
                </c:pt>
                <c:pt idx="47">
                  <c:v>33.299999237060497</c:v>
                </c:pt>
                <c:pt idx="48">
                  <c:v>40.509998321533203</c:v>
                </c:pt>
                <c:pt idx="49">
                  <c:v>33.259998321533203</c:v>
                </c:pt>
                <c:pt idx="50">
                  <c:v>33.720001220703097</c:v>
                </c:pt>
                <c:pt idx="51">
                  <c:v>41.849998474121101</c:v>
                </c:pt>
                <c:pt idx="52">
                  <c:v>32.459999084472699</c:v>
                </c:pt>
                <c:pt idx="53">
                  <c:v>30.959999084472699</c:v>
                </c:pt>
                <c:pt idx="54">
                  <c:v>17.459999084472699</c:v>
                </c:pt>
                <c:pt idx="55">
                  <c:v>34.909999847412102</c:v>
                </c:pt>
                <c:pt idx="56">
                  <c:v>40.849998474121101</c:v>
                </c:pt>
                <c:pt idx="57">
                  <c:v>35.180000305175803</c:v>
                </c:pt>
                <c:pt idx="58">
                  <c:v>28.069999694824201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515-44C7-A692-1E973D56DB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9225167"/>
        <c:axId val="519223919"/>
      </c:scatterChart>
      <c:valAx>
        <c:axId val="5192251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GNI per capita,</a:t>
                </a:r>
                <a:r>
                  <a:rPr lang="en-US" baseline="0"/>
                  <a:t> PPP (current international $)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9223919"/>
        <c:crosses val="autoZero"/>
        <c:crossBetween val="midCat"/>
      </c:valAx>
      <c:valAx>
        <c:axId val="5192239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00" b="0" i="0" u="none" strike="noStrike" baseline="0">
                    <a:effectLst/>
                  </a:rPr>
                  <a:t>Female share of employment in senior &amp; middle management (%)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3.0555555555555555E-2"/>
              <c:y val="0.1489814814814814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922516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0" i="0" baseline="0">
                <a:effectLst/>
              </a:rPr>
              <a:t>Exports of goods and services (annual % growth) per years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635892388451445"/>
          <c:y val="0.15476851851851853"/>
          <c:w val="0.81775218722659671"/>
          <c:h val="0.49763597258676001"/>
        </c:manualLayout>
      </c:layout>
      <c:scatterChart>
        <c:scatterStyle val="lineMarker"/>
        <c:varyColors val="0"/>
        <c:ser>
          <c:idx val="0"/>
          <c:order val="0"/>
          <c:tx>
            <c:strRef>
              <c:f>Data!$B$1</c:f>
              <c:strCache>
                <c:ptCount val="1"/>
                <c:pt idx="0">
                  <c:v>Exports of goods and services (annual % growth) [NE.EXP.GNFS.KD.ZG] - Thailand [THA]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Data!$A$2:$A$32</c:f>
              <c:numCache>
                <c:formatCode>General</c:formatCode>
                <c:ptCount val="31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</c:numCache>
            </c:numRef>
          </c:xVal>
          <c:yVal>
            <c:numRef>
              <c:f>Data!$B$2:$B$32</c:f>
              <c:numCache>
                <c:formatCode>General</c:formatCode>
                <c:ptCount val="31"/>
                <c:pt idx="0">
                  <c:v>13.394159714514586</c:v>
                </c:pt>
                <c:pt idx="1">
                  <c:v>15.140019924974652</c:v>
                </c:pt>
                <c:pt idx="2">
                  <c:v>13.807414113140055</c:v>
                </c:pt>
                <c:pt idx="3">
                  <c:v>12.984926480841423</c:v>
                </c:pt>
                <c:pt idx="4">
                  <c:v>13.104921935199783</c:v>
                </c:pt>
                <c:pt idx="5">
                  <c:v>15.37044161829553</c:v>
                </c:pt>
                <c:pt idx="6">
                  <c:v>-4.4836752358314413</c:v>
                </c:pt>
                <c:pt idx="7">
                  <c:v>9.0519434281135318</c:v>
                </c:pt>
                <c:pt idx="8">
                  <c:v>10.7914200122663</c:v>
                </c:pt>
                <c:pt idx="9">
                  <c:v>8.6359692388640497</c:v>
                </c:pt>
                <c:pt idx="10">
                  <c:v>15.83187016145709</c:v>
                </c:pt>
                <c:pt idx="11">
                  <c:v>-2.0392510442079015E-2</c:v>
                </c:pt>
                <c:pt idx="12">
                  <c:v>5.8872838868426811</c:v>
                </c:pt>
                <c:pt idx="13">
                  <c:v>9.1338277978533284</c:v>
                </c:pt>
                <c:pt idx="14">
                  <c:v>14.631080472749545</c:v>
                </c:pt>
                <c:pt idx="15">
                  <c:v>7.7597166654596919</c:v>
                </c:pt>
                <c:pt idx="16">
                  <c:v>10.787678093859071</c:v>
                </c:pt>
                <c:pt idx="17">
                  <c:v>8.8937497990744419</c:v>
                </c:pt>
                <c:pt idx="18">
                  <c:v>6.2636244731870505</c:v>
                </c:pt>
                <c:pt idx="19">
                  <c:v>-12.140285866237676</c:v>
                </c:pt>
                <c:pt idx="20">
                  <c:v>14.220261710275636</c:v>
                </c:pt>
                <c:pt idx="21">
                  <c:v>9.5094164760894273</c:v>
                </c:pt>
                <c:pt idx="22">
                  <c:v>3.6616790129104402</c:v>
                </c:pt>
                <c:pt idx="23">
                  <c:v>2.5143377406728433</c:v>
                </c:pt>
                <c:pt idx="24">
                  <c:v>0.34546772736412379</c:v>
                </c:pt>
                <c:pt idx="25">
                  <c:v>1.2501522278465842</c:v>
                </c:pt>
                <c:pt idx="26">
                  <c:v>2.6960527430770753</c:v>
                </c:pt>
                <c:pt idx="27">
                  <c:v>5.1808453609646534</c:v>
                </c:pt>
                <c:pt idx="28">
                  <c:v>3.3510498699517228</c:v>
                </c:pt>
                <c:pt idx="29">
                  <c:v>-2.9535534165111272</c:v>
                </c:pt>
                <c:pt idx="30">
                  <c:v>-19.433952021101888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AFF0-4E5E-BC08-1162B6CC6493}"/>
            </c:ext>
          </c:extLst>
        </c:ser>
        <c:ser>
          <c:idx val="1"/>
          <c:order val="1"/>
          <c:tx>
            <c:strRef>
              <c:f>Data!$C$1</c:f>
              <c:strCache>
                <c:ptCount val="1"/>
                <c:pt idx="0">
                  <c:v>Exports of goods and services (annual % growth) [NE.EXP.GNFS.KD.ZG] - Vietnam [VNM]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Data!$A$2:$A$32</c:f>
              <c:numCache>
                <c:formatCode>General</c:formatCode>
                <c:ptCount val="31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</c:numCache>
            </c:numRef>
          </c:xVal>
          <c:yVal>
            <c:numRef>
              <c:f>Data!$C$2:$C$32</c:f>
              <c:numCache>
                <c:formatCode>General</c:formatCode>
                <c:ptCount val="31"/>
                <c:pt idx="0">
                  <c:v>12.925373649602562</c:v>
                </c:pt>
                <c:pt idx="1">
                  <c:v>29.857245975925252</c:v>
                </c:pt>
                <c:pt idx="2">
                  <c:v>24.671759270185035</c:v>
                </c:pt>
                <c:pt idx="3">
                  <c:v>9.1267914801475882</c:v>
                </c:pt>
                <c:pt idx="4">
                  <c:v>15.999999999975429</c:v>
                </c:pt>
                <c:pt idx="5">
                  <c:v>20.000000000026461</c:v>
                </c:pt>
                <c:pt idx="6">
                  <c:v>23.999999999966917</c:v>
                </c:pt>
                <c:pt idx="7">
                  <c:v>15.999999999999986</c:v>
                </c:pt>
                <c:pt idx="8">
                  <c:v>19.000000000004988</c:v>
                </c:pt>
                <c:pt idx="9">
                  <c:v>23.000000000009663</c:v>
                </c:pt>
                <c:pt idx="10">
                  <c:v>21.101067744326357</c:v>
                </c:pt>
                <c:pt idx="11">
                  <c:v>17.180486361190248</c:v>
                </c:pt>
                <c:pt idx="12">
                  <c:v>10.367907055045379</c:v>
                </c:pt>
                <c:pt idx="13">
                  <c:v>19.949545858236988</c:v>
                </c:pt>
                <c:pt idx="14">
                  <c:v>25.619699564394409</c:v>
                </c:pt>
                <c:pt idx="15">
                  <c:v>17.775937631074939</c:v>
                </c:pt>
                <c:pt idx="16">
                  <c:v>11.199986429970153</c:v>
                </c:pt>
                <c:pt idx="17">
                  <c:v>12.500042372450466</c:v>
                </c:pt>
                <c:pt idx="18">
                  <c:v>13.699968512573136</c:v>
                </c:pt>
                <c:pt idx="19">
                  <c:v>-5.0850579342685052</c:v>
                </c:pt>
                <c:pt idx="20">
                  <c:v>8.4499952185840073</c:v>
                </c:pt>
                <c:pt idx="21">
                  <c:v>10.784455547023413</c:v>
                </c:pt>
                <c:pt idx="22">
                  <c:v>15.709107332897958</c:v>
                </c:pt>
                <c:pt idx="23">
                  <c:v>17.37402956473592</c:v>
                </c:pt>
                <c:pt idx="24">
                  <c:v>11.560112620309781</c:v>
                </c:pt>
                <c:pt idx="25">
                  <c:v>12.643704857190997</c:v>
                </c:pt>
                <c:pt idx="26">
                  <c:v>13.863362875238082</c:v>
                </c:pt>
                <c:pt idx="27">
                  <c:v>16.735169168492831</c:v>
                </c:pt>
                <c:pt idx="28">
                  <c:v>14.265533286739469</c:v>
                </c:pt>
                <c:pt idx="29">
                  <c:v>6.711793125644931</c:v>
                </c:pt>
                <c:pt idx="30">
                  <c:v>4.9748348243268623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AFF0-4E5E-BC08-1162B6CC6493}"/>
            </c:ext>
          </c:extLst>
        </c:ser>
        <c:ser>
          <c:idx val="2"/>
          <c:order val="2"/>
          <c:tx>
            <c:strRef>
              <c:f>Data!$D$1</c:f>
              <c:strCache>
                <c:ptCount val="1"/>
                <c:pt idx="0">
                  <c:v>Exports of goods and services (annual % growth) [NE.EXP.GNFS.KD.ZG] - Malaysia [MYS]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Data!$A$2:$A$32</c:f>
              <c:numCache>
                <c:formatCode>General</c:formatCode>
                <c:ptCount val="31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</c:numCache>
            </c:numRef>
          </c:xVal>
          <c:yVal>
            <c:numRef>
              <c:f>Data!$D$2:$D$32</c:f>
              <c:numCache>
                <c:formatCode>General</c:formatCode>
                <c:ptCount val="31"/>
                <c:pt idx="0">
                  <c:v>17.819149319193912</c:v>
                </c:pt>
                <c:pt idx="1">
                  <c:v>15.770341803533739</c:v>
                </c:pt>
                <c:pt idx="2">
                  <c:v>12.595793662331971</c:v>
                </c:pt>
                <c:pt idx="3">
                  <c:v>11.542535987393492</c:v>
                </c:pt>
                <c:pt idx="4">
                  <c:v>21.906724494876983</c:v>
                </c:pt>
                <c:pt idx="5">
                  <c:v>18.964527917983617</c:v>
                </c:pt>
                <c:pt idx="6">
                  <c:v>9.2279550071290686</c:v>
                </c:pt>
                <c:pt idx="7">
                  <c:v>5.490640069285547</c:v>
                </c:pt>
                <c:pt idx="8">
                  <c:v>0.4911536602159714</c:v>
                </c:pt>
                <c:pt idx="9">
                  <c:v>13.163297793959487</c:v>
                </c:pt>
                <c:pt idx="10">
                  <c:v>16.065729451779532</c:v>
                </c:pt>
                <c:pt idx="11">
                  <c:v>-6.8301627783011867</c:v>
                </c:pt>
                <c:pt idx="12">
                  <c:v>5.4273347268428012</c:v>
                </c:pt>
                <c:pt idx="13">
                  <c:v>5.1338721612465292</c:v>
                </c:pt>
                <c:pt idx="14">
                  <c:v>16.058263391219668</c:v>
                </c:pt>
                <c:pt idx="15">
                  <c:v>8.3019067038250682</c:v>
                </c:pt>
                <c:pt idx="16">
                  <c:v>6.6821575588814</c:v>
                </c:pt>
                <c:pt idx="17">
                  <c:v>4.4285796306517682</c:v>
                </c:pt>
                <c:pt idx="18">
                  <c:v>1.5730829291356088</c:v>
                </c:pt>
                <c:pt idx="19">
                  <c:v>-10.878417442594497</c:v>
                </c:pt>
                <c:pt idx="20">
                  <c:v>10.419069771189584</c:v>
                </c:pt>
                <c:pt idx="21">
                  <c:v>4.1793929209996747</c:v>
                </c:pt>
                <c:pt idx="22">
                  <c:v>-1.7418563063042853</c:v>
                </c:pt>
                <c:pt idx="23">
                  <c:v>0.25924775506219078</c:v>
                </c:pt>
                <c:pt idx="24">
                  <c:v>5.0402807640717953</c:v>
                </c:pt>
                <c:pt idx="25">
                  <c:v>0.2526952947444272</c:v>
                </c:pt>
                <c:pt idx="26">
                  <c:v>1.3194789068459869</c:v>
                </c:pt>
                <c:pt idx="27">
                  <c:v>8.6829998154633472</c:v>
                </c:pt>
                <c:pt idx="28">
                  <c:v>1.9329904403819711</c:v>
                </c:pt>
                <c:pt idx="29">
                  <c:v>-1.0447457730373202</c:v>
                </c:pt>
                <c:pt idx="30">
                  <c:v>-8.8988926914108362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AFF0-4E5E-BC08-1162B6CC64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75115903"/>
        <c:axId val="775117567"/>
      </c:scatterChart>
      <c:valAx>
        <c:axId val="77511590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5117567"/>
        <c:crosses val="autoZero"/>
        <c:crossBetween val="midCat"/>
      </c:valAx>
      <c:valAx>
        <c:axId val="775117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800" b="0" i="0" baseline="0">
                    <a:effectLst/>
                  </a:rPr>
                  <a:t>Exports of goods and services (annual % growth)</a:t>
                </a:r>
              </a:p>
            </c:rich>
          </c:tx>
          <c:layout>
            <c:manualLayout>
              <c:xMode val="edge"/>
              <c:yMode val="edge"/>
              <c:x val="2.5000000000000001E-2"/>
              <c:y val="6.6805555555555562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8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5115903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872922134733159E-2"/>
          <c:y val="0.71796509307304324"/>
          <c:w val="0.860253937007874"/>
          <c:h val="0.2488551834246525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Torfun Sae-lee</dc:creator>
  <cp:keywords/>
  <dc:description/>
  <cp:lastModifiedBy>Torfun Sae-lee</cp:lastModifiedBy>
  <cp:revision>1</cp:revision>
  <dcterms:created xsi:type="dcterms:W3CDTF">2022-01-30T06:29:00Z</dcterms:created>
  <dcterms:modified xsi:type="dcterms:W3CDTF">2022-01-30T07:17:00Z</dcterms:modified>
</cp:coreProperties>
</file>