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B60ED0" w14:textId="77777777" w:rsidR="00C629F4" w:rsidRDefault="00C629F4" w:rsidP="00C629F4">
      <w:pPr>
        <w:jc w:val="center"/>
      </w:pPr>
      <w:r>
        <w:t>Blake George (6104930257), EE461 Developmental Microeconomics, Assignment 1</w:t>
      </w:r>
    </w:p>
    <w:p w14:paraId="656323F1" w14:textId="77777777" w:rsidR="00C629F4" w:rsidRDefault="00C629F4"/>
    <w:p w14:paraId="2766C159" w14:textId="77777777" w:rsidR="00F96D78" w:rsidRDefault="00DB2887" w:rsidP="00C629F4">
      <w:pPr>
        <w:jc w:val="center"/>
      </w:pPr>
      <w:r>
        <w:rPr>
          <w:noProof/>
        </w:rPr>
        <w:drawing>
          <wp:inline distT="0" distB="0" distL="0" distR="0" wp14:anchorId="59FD0769" wp14:editId="5B122C4C">
            <wp:extent cx="5943600" cy="3001818"/>
            <wp:effectExtent l="0" t="0" r="12700" b="8255"/>
            <wp:docPr id="1" name="Chart 1">
              <a:extLst xmlns:a="http://schemas.openxmlformats.org/drawingml/2006/main">
                <a:ext uri="{FF2B5EF4-FFF2-40B4-BE49-F238E27FC236}">
                  <a16:creationId xmlns:a16="http://schemas.microsoft.com/office/drawing/2014/main" id="{EDF51EB8-E25B-BC4B-9B73-500B13DD6CA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14:paraId="2C144348" w14:textId="77777777" w:rsidR="002B7271" w:rsidRDefault="00C629F4">
      <w:r>
        <w:t xml:space="preserve">In this graph the number of listed domestic companies within a country is plotted against the GNI Per Capita. This graph encompasses each country of the world and as you can see the trend is quite basic and clear. As GNI Per Capita increases per country the number of listed domestic companies per country also increases. </w:t>
      </w:r>
      <w:commentRangeStart w:id="0"/>
      <w:r>
        <w:t xml:space="preserve">This trend </w:t>
      </w:r>
      <w:commentRangeEnd w:id="0"/>
      <w:r w:rsidR="005B3B0C">
        <w:rPr>
          <w:rStyle w:val="CommentReference"/>
        </w:rPr>
        <w:commentReference w:id="0"/>
      </w:r>
      <w:r w:rsidRPr="00C629F4">
        <w:rPr>
          <w:b/>
        </w:rPr>
        <w:t>almost</w:t>
      </w:r>
      <w:r>
        <w:t xml:space="preserve"> has a clear linear fashion. </w:t>
      </w:r>
    </w:p>
    <w:p w14:paraId="2065F3BB" w14:textId="77777777" w:rsidR="002B7271" w:rsidRDefault="002B7271"/>
    <w:p w14:paraId="024406DB" w14:textId="77777777" w:rsidR="002B7271" w:rsidRDefault="002B7271">
      <w:r>
        <w:rPr>
          <w:noProof/>
        </w:rPr>
        <w:drawing>
          <wp:inline distT="0" distB="0" distL="0" distR="0" wp14:anchorId="633A41B0" wp14:editId="4CF6F439">
            <wp:extent cx="5943600" cy="3538855"/>
            <wp:effectExtent l="0" t="0" r="12700" b="17145"/>
            <wp:docPr id="2" name="Chart 2">
              <a:extLst xmlns:a="http://schemas.openxmlformats.org/drawingml/2006/main">
                <a:ext uri="{FF2B5EF4-FFF2-40B4-BE49-F238E27FC236}">
                  <a16:creationId xmlns:a16="http://schemas.microsoft.com/office/drawing/2014/main" id="{E7DAF600-AF67-BF4C-A21A-D1670110B50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6C7C2B3" w14:textId="77777777" w:rsidR="002B7271" w:rsidRDefault="002B7271"/>
    <w:p w14:paraId="3884F6EA" w14:textId="77777777" w:rsidR="002B7271" w:rsidRDefault="002B7271"/>
    <w:p w14:paraId="60014E15" w14:textId="77777777" w:rsidR="002B7271" w:rsidRDefault="002B7271">
      <w:r>
        <w:rPr>
          <w:noProof/>
        </w:rPr>
        <w:drawing>
          <wp:inline distT="0" distB="0" distL="0" distR="0" wp14:anchorId="39040F24" wp14:editId="6BC5A926">
            <wp:extent cx="5943600" cy="3538855"/>
            <wp:effectExtent l="0" t="0" r="12700" b="17145"/>
            <wp:docPr id="3" name="Chart 3">
              <a:extLst xmlns:a="http://schemas.openxmlformats.org/drawingml/2006/main">
                <a:ext uri="{FF2B5EF4-FFF2-40B4-BE49-F238E27FC236}">
                  <a16:creationId xmlns:a16="http://schemas.microsoft.com/office/drawing/2014/main" id="{E7DAF600-AF67-BF4C-A21A-D1670110B50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D1D5971" w14:textId="3BE1E74F" w:rsidR="00C629F4" w:rsidRDefault="00C629F4">
      <w:r>
        <w:t xml:space="preserve">In the two graphs above it is important to note that Series 1 (Blue) represents Thailand, that Series 2 (orange) Represents the United States of America, and that Series 3 (Grey) represents Sweden. </w:t>
      </w:r>
      <w:commentRangeStart w:id="1"/>
      <w:r>
        <w:t xml:space="preserve">The second graph was provided to display a more zoomed or closely focused representation of the comparison between Series 1 and 3 as they were plotted too similarly in the first graph. </w:t>
      </w:r>
      <w:commentRangeEnd w:id="1"/>
      <w:r w:rsidR="00FC3946">
        <w:rPr>
          <w:rStyle w:val="CommentReference"/>
        </w:rPr>
        <w:commentReference w:id="1"/>
      </w:r>
      <w:r>
        <w:t>Within these graphs the number of passengers carried by air transport is plotted and compared for Th</w:t>
      </w:r>
      <w:r w:rsidR="00F01043">
        <w:t xml:space="preserve">ailand, United States, and Sweden. As you should note that 0 on the X axis represents 25 years ago. So, as you can see each country follows a similar trend which inclines approximately 10 on the X axis where each takes a small decline and resumes climbing. This is likely because of the social effect the tragic event 911 had on people who frequently fly that be became scared to fly after this event. From then </w:t>
      </w:r>
      <w:r w:rsidR="00DA79F4">
        <w:t>on,</w:t>
      </w:r>
      <w:r w:rsidR="00F01043">
        <w:t xml:space="preserve"> the trend climbs for the United states, </w:t>
      </w:r>
      <w:r w:rsidR="00DA79F4">
        <w:t>steadies</w:t>
      </w:r>
      <w:r w:rsidR="00F01043">
        <w:t xml:space="preserve"> out and climbs for Thailand, and as for Sweden the data stopped being recorded</w:t>
      </w:r>
      <w:r w:rsidR="00DA79F4">
        <w:t>. Beyond this another noticeable key in this trend is that the United States significantly carries more passengers by air transport than either of the two countries on the list, however, this was expected when considering the difference in size between the United States and the other two countries.</w:t>
      </w:r>
    </w:p>
    <w:p w14:paraId="647385CF" w14:textId="61CE3EAB" w:rsidR="00764281" w:rsidRPr="00764281" w:rsidRDefault="00764281">
      <w:pPr>
        <w:rPr>
          <w:color w:val="FF0000"/>
        </w:rPr>
      </w:pPr>
      <w:r>
        <w:rPr>
          <w:color w:val="FF0000"/>
        </w:rPr>
        <w:t>Well, the second graph might be better to plot with a line graph (than just scatter plots</w:t>
      </w:r>
      <w:bookmarkStart w:id="2" w:name="_GoBack"/>
      <w:bookmarkEnd w:id="2"/>
      <w:r>
        <w:rPr>
          <w:color w:val="FF0000"/>
        </w:rPr>
        <w:t>)</w:t>
      </w:r>
    </w:p>
    <w:sectPr w:rsidR="00764281" w:rsidRPr="00764281" w:rsidSect="00CF5EB6">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Chayanee" w:date="2019-02-05T11:30:00Z" w:initials="CC">
    <w:p w14:paraId="1A2BA25B" w14:textId="1F622DB2" w:rsidR="005B3B0C" w:rsidRDefault="005B3B0C">
      <w:pPr>
        <w:pStyle w:val="CommentText"/>
      </w:pPr>
      <w:r>
        <w:rPr>
          <w:rStyle w:val="CommentReference"/>
        </w:rPr>
        <w:annotationRef/>
      </w:r>
      <w:r>
        <w:t>Normally, “trend” involves time – how it changes over time. Here in this graph is cross-section, so it’s more of “relationship between the two variables” or the “correlation”.</w:t>
      </w:r>
    </w:p>
  </w:comment>
  <w:comment w:id="1" w:author="Chayanee" w:date="2019-02-05T11:33:00Z" w:initials="CC">
    <w:p w14:paraId="711F27F2" w14:textId="23A0B913" w:rsidR="00FC3946" w:rsidRDefault="00FC3946">
      <w:pPr>
        <w:pStyle w:val="CommentText"/>
      </w:pPr>
      <w:r>
        <w:rPr>
          <w:rStyle w:val="CommentReference"/>
        </w:rPr>
        <w:annotationRef/>
      </w:r>
      <w:r>
        <w:t>Good that you notice this and plot the new graph to show how they are different.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A2BA25B" w15:done="0"/>
  <w15:commentEx w15:paraId="711F27F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A2BA25B" w16cid:durableId="2003F265"/>
  <w16cid:commentId w16cid:paraId="711F27F2" w16cid:durableId="2003F30A"/>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hayanee">
    <w15:presenceInfo w15:providerId="None" w15:userId="Chayane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887"/>
    <w:rsid w:val="002B7271"/>
    <w:rsid w:val="0052709E"/>
    <w:rsid w:val="005B3B0C"/>
    <w:rsid w:val="00764281"/>
    <w:rsid w:val="00C629F4"/>
    <w:rsid w:val="00CF5EB6"/>
    <w:rsid w:val="00DA79F4"/>
    <w:rsid w:val="00DB2887"/>
    <w:rsid w:val="00F01043"/>
    <w:rsid w:val="00FC3946"/>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4:docId w14:val="3A9DE9AF"/>
  <w15:chartTrackingRefBased/>
  <w15:docId w15:val="{206078E7-8EB8-7948-BD10-C2373E243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5B3B0C"/>
    <w:rPr>
      <w:sz w:val="16"/>
      <w:szCs w:val="16"/>
    </w:rPr>
  </w:style>
  <w:style w:type="paragraph" w:styleId="CommentText">
    <w:name w:val="annotation text"/>
    <w:basedOn w:val="Normal"/>
    <w:link w:val="CommentTextChar"/>
    <w:uiPriority w:val="99"/>
    <w:semiHidden/>
    <w:unhideWhenUsed/>
    <w:rsid w:val="005B3B0C"/>
    <w:rPr>
      <w:sz w:val="20"/>
      <w:szCs w:val="20"/>
    </w:rPr>
  </w:style>
  <w:style w:type="character" w:customStyle="1" w:styleId="CommentTextChar">
    <w:name w:val="Comment Text Char"/>
    <w:basedOn w:val="DefaultParagraphFont"/>
    <w:link w:val="CommentText"/>
    <w:uiPriority w:val="99"/>
    <w:semiHidden/>
    <w:rsid w:val="005B3B0C"/>
    <w:rPr>
      <w:sz w:val="20"/>
      <w:szCs w:val="20"/>
    </w:rPr>
  </w:style>
  <w:style w:type="paragraph" w:styleId="CommentSubject">
    <w:name w:val="annotation subject"/>
    <w:basedOn w:val="CommentText"/>
    <w:next w:val="CommentText"/>
    <w:link w:val="CommentSubjectChar"/>
    <w:uiPriority w:val="99"/>
    <w:semiHidden/>
    <w:unhideWhenUsed/>
    <w:rsid w:val="005B3B0C"/>
    <w:rPr>
      <w:b/>
      <w:bCs/>
    </w:rPr>
  </w:style>
  <w:style w:type="character" w:customStyle="1" w:styleId="CommentSubjectChar">
    <w:name w:val="Comment Subject Char"/>
    <w:basedOn w:val="CommentTextChar"/>
    <w:link w:val="CommentSubject"/>
    <w:uiPriority w:val="99"/>
    <w:semiHidden/>
    <w:rsid w:val="005B3B0C"/>
    <w:rPr>
      <w:b/>
      <w:bCs/>
      <w:sz w:val="20"/>
      <w:szCs w:val="20"/>
    </w:rPr>
  </w:style>
  <w:style w:type="paragraph" w:styleId="BalloonText">
    <w:name w:val="Balloon Text"/>
    <w:basedOn w:val="Normal"/>
    <w:link w:val="BalloonTextChar"/>
    <w:uiPriority w:val="99"/>
    <w:semiHidden/>
    <w:unhideWhenUsed/>
    <w:rsid w:val="005B3B0C"/>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B3B0C"/>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3" Type="http://schemas.openxmlformats.org/officeDocument/2006/relationships/webSettings" Target="webSettings.xml"/><Relationship Id="rId7" Type="http://schemas.microsoft.com/office/2016/09/relationships/commentsIds" Target="commentsIds.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microsoft.com/office/2011/relationships/commentsExtended" Target="commentsExtended.xml"/><Relationship Id="rId11" Type="http://schemas.microsoft.com/office/2011/relationships/people" Target="people.xml"/><Relationship Id="rId5" Type="http://schemas.openxmlformats.org/officeDocument/2006/relationships/comments" Target="comments.xml"/><Relationship Id="rId10" Type="http://schemas.openxmlformats.org/officeDocument/2006/relationships/fontTable" Target="fontTable.xml"/><Relationship Id="rId4" Type="http://schemas.openxmlformats.org/officeDocument/2006/relationships/chart" Target="charts/chart1.xml"/><Relationship Id="rId9" Type="http://schemas.openxmlformats.org/officeDocument/2006/relationships/chart" Target="charts/chart3.xml"/></Relationships>
</file>

<file path=word/charts/_rels/chart1.xml.rels><?xml version="1.0" encoding="UTF-8" standalone="yes"?>
<Relationships xmlns="http://schemas.openxmlformats.org/package/2006/relationships"><Relationship Id="rId3" Type="http://schemas.openxmlformats.org/officeDocument/2006/relationships/oleObject" Target="file:////Users/blakegeorge/Downloads/Data_Extract_From_World_Development_Indicators%20(2).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blakegeorge/Downloads/Data_Extract_From_World_Development_Indicators%20(3).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blakegeorge/Downloads/Data_Extract_From_World_Development_Indicators%20(3).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Listed</a:t>
            </a:r>
            <a:r>
              <a:rPr lang="en-US" baseline="0"/>
              <a:t> Domestic Companies in Countries per GNI</a:t>
            </a:r>
            <a:endParaRPr lang="en-US"/>
          </a:p>
        </c:rich>
      </c:tx>
      <c:layout>
        <c:manualLayout>
          <c:xMode val="edge"/>
          <c:yMode val="edge"/>
          <c:x val="0.37370122484689416"/>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Sheet1!$B$1</c:f>
              <c:strCache>
                <c:ptCount val="1"/>
                <c:pt idx="0">
                  <c:v>2015 [YR2015]</c:v>
                </c:pt>
              </c:strCache>
            </c:strRef>
          </c:tx>
          <c:spPr>
            <a:ln w="25400" cap="rnd">
              <a:noFill/>
              <a:round/>
            </a:ln>
            <a:effectLst/>
          </c:spPr>
          <c:marker>
            <c:symbol val="circle"/>
            <c:size val="5"/>
            <c:spPr>
              <a:solidFill>
                <a:schemeClr val="accent1"/>
              </a:solidFill>
              <a:ln w="9525">
                <a:solidFill>
                  <a:schemeClr val="accent1"/>
                </a:solidFill>
              </a:ln>
              <a:effectLst/>
            </c:spPr>
          </c:marker>
          <c:xVal>
            <c:numRef>
              <c:f>Sheet1!$A$2:$A$1048307</c:f>
              <c:numCache>
                <c:formatCode>General</c:formatCode>
                <c:ptCount val="1048292"/>
                <c:pt idx="0">
                  <c:v>660</c:v>
                </c:pt>
                <c:pt idx="1">
                  <c:v>800</c:v>
                </c:pt>
                <c:pt idx="2">
                  <c:v>1120</c:v>
                </c:pt>
                <c:pt idx="3">
                  <c:v>1180</c:v>
                </c:pt>
                <c:pt idx="4">
                  <c:v>1410</c:v>
                </c:pt>
                <c:pt idx="5">
                  <c:v>1590</c:v>
                </c:pt>
                <c:pt idx="6">
                  <c:v>1630</c:v>
                </c:pt>
                <c:pt idx="7">
                  <c:v>1740</c:v>
                </c:pt>
                <c:pt idx="8">
                  <c:v>1800</c:v>
                </c:pt>
                <c:pt idx="9">
                  <c:v>1830</c:v>
                </c:pt>
                <c:pt idx="10">
                  <c:v>2000</c:v>
                </c:pt>
                <c:pt idx="11">
                  <c:v>2100</c:v>
                </c:pt>
                <c:pt idx="12">
                  <c:v>2130</c:v>
                </c:pt>
                <c:pt idx="13">
                  <c:v>2220</c:v>
                </c:pt>
                <c:pt idx="14">
                  <c:v>2562.8152193379697</c:v>
                </c:pt>
                <c:pt idx="15">
                  <c:v>2670</c:v>
                </c:pt>
                <c:pt idx="16">
                  <c:v>2920</c:v>
                </c:pt>
                <c:pt idx="17">
                  <c:v>3040</c:v>
                </c:pt>
                <c:pt idx="18">
                  <c:v>3160</c:v>
                </c:pt>
                <c:pt idx="19">
                  <c:v>3290</c:v>
                </c:pt>
                <c:pt idx="20">
                  <c:v>3350</c:v>
                </c:pt>
                <c:pt idx="21">
                  <c:v>3450</c:v>
                </c:pt>
                <c:pt idx="22">
                  <c:v>3565.3093746528521</c:v>
                </c:pt>
                <c:pt idx="23">
                  <c:v>3639.0210244223417</c:v>
                </c:pt>
                <c:pt idx="24">
                  <c:v>3645.9325840843662</c:v>
                </c:pt>
                <c:pt idx="25">
                  <c:v>3800</c:v>
                </c:pt>
                <c:pt idx="26">
                  <c:v>3980</c:v>
                </c:pt>
                <c:pt idx="27">
                  <c:v>4140</c:v>
                </c:pt>
                <c:pt idx="28">
                  <c:v>4260</c:v>
                </c:pt>
                <c:pt idx="29">
                  <c:v>5130</c:v>
                </c:pt>
                <c:pt idx="30">
                  <c:v>5220</c:v>
                </c:pt>
                <c:pt idx="31">
                  <c:v>5400</c:v>
                </c:pt>
                <c:pt idx="32">
                  <c:v>5580</c:v>
                </c:pt>
                <c:pt idx="33">
                  <c:v>5633.2372847400629</c:v>
                </c:pt>
                <c:pt idx="34">
                  <c:v>5675.2377837932527</c:v>
                </c:pt>
                <c:pt idx="35">
                  <c:v>5710</c:v>
                </c:pt>
                <c:pt idx="36">
                  <c:v>5840</c:v>
                </c:pt>
                <c:pt idx="37">
                  <c:v>5890</c:v>
                </c:pt>
                <c:pt idx="38">
                  <c:v>6070</c:v>
                </c:pt>
                <c:pt idx="39">
                  <c:v>6420.5593196255741</c:v>
                </c:pt>
                <c:pt idx="40">
                  <c:v>6720</c:v>
                </c:pt>
                <c:pt idx="41">
                  <c:v>7120</c:v>
                </c:pt>
                <c:pt idx="42">
                  <c:v>7600</c:v>
                </c:pt>
                <c:pt idx="43">
                  <c:v>7680</c:v>
                </c:pt>
                <c:pt idx="44">
                  <c:v>8070</c:v>
                </c:pt>
                <c:pt idx="45">
                  <c:v>8340</c:v>
                </c:pt>
                <c:pt idx="46">
                  <c:v>8743.0347465501272</c:v>
                </c:pt>
                <c:pt idx="47">
                  <c:v>8940</c:v>
                </c:pt>
                <c:pt idx="48">
                  <c:v>9350</c:v>
                </c:pt>
                <c:pt idx="49">
                  <c:v>9910</c:v>
                </c:pt>
                <c:pt idx="50">
                  <c:v>10160</c:v>
                </c:pt>
                <c:pt idx="51">
                  <c:v>10570</c:v>
                </c:pt>
                <c:pt idx="52">
                  <c:v>10792.759765505645</c:v>
                </c:pt>
                <c:pt idx="53">
                  <c:v>11160</c:v>
                </c:pt>
                <c:pt idx="54">
                  <c:v>11430</c:v>
                </c:pt>
                <c:pt idx="55">
                  <c:v>11720</c:v>
                </c:pt>
                <c:pt idx="56">
                  <c:v>11800</c:v>
                </c:pt>
                <c:pt idx="57">
                  <c:v>12100</c:v>
                </c:pt>
                <c:pt idx="58">
                  <c:v>12205.534606402105</c:v>
                </c:pt>
                <c:pt idx="59">
                  <c:v>12285.438670995463</c:v>
                </c:pt>
                <c:pt idx="60">
                  <c:v>12889.359535376418</c:v>
                </c:pt>
                <c:pt idx="61">
                  <c:v>13300</c:v>
                </c:pt>
                <c:pt idx="62">
                  <c:v>13490</c:v>
                </c:pt>
                <c:pt idx="63">
                  <c:v>13660</c:v>
                </c:pt>
                <c:pt idx="64">
                  <c:v>14042.950067343105</c:v>
                </c:pt>
                <c:pt idx="65">
                  <c:v>14220</c:v>
                </c:pt>
                <c:pt idx="66">
                  <c:v>14881.292798214325</c:v>
                </c:pt>
                <c:pt idx="67">
                  <c:v>15000</c:v>
                </c:pt>
                <c:pt idx="68">
                  <c:v>15320</c:v>
                </c:pt>
                <c:pt idx="69">
                  <c:v>15458.439736145592</c:v>
                </c:pt>
                <c:pt idx="70">
                  <c:v>15550</c:v>
                </c:pt>
                <c:pt idx="71">
                  <c:v>15695.504381972109</c:v>
                </c:pt>
                <c:pt idx="72">
                  <c:v>15770</c:v>
                </c:pt>
                <c:pt idx="73">
                  <c:v>16190</c:v>
                </c:pt>
                <c:pt idx="74">
                  <c:v>16440</c:v>
                </c:pt>
                <c:pt idx="75">
                  <c:v>16690</c:v>
                </c:pt>
                <c:pt idx="76">
                  <c:v>16830</c:v>
                </c:pt>
                <c:pt idx="77">
                  <c:v>17540</c:v>
                </c:pt>
                <c:pt idx="78">
                  <c:v>17820</c:v>
                </c:pt>
                <c:pt idx="79">
                  <c:v>18757.201254742951</c:v>
                </c:pt>
                <c:pt idx="80">
                  <c:v>19960</c:v>
                </c:pt>
                <c:pt idx="81">
                  <c:v>19980</c:v>
                </c:pt>
                <c:pt idx="82">
                  <c:v>20530</c:v>
                </c:pt>
                <c:pt idx="83">
                  <c:v>21488.392711543063</c:v>
                </c:pt>
                <c:pt idx="84">
                  <c:v>22130</c:v>
                </c:pt>
                <c:pt idx="85">
                  <c:v>23550</c:v>
                </c:pt>
                <c:pt idx="86">
                  <c:v>24246.519186381884</c:v>
                </c:pt>
                <c:pt idx="87">
                  <c:v>24620</c:v>
                </c:pt>
                <c:pt idx="88">
                  <c:v>24870</c:v>
                </c:pt>
                <c:pt idx="89">
                  <c:v>24990</c:v>
                </c:pt>
                <c:pt idx="90">
                  <c:v>25670</c:v>
                </c:pt>
                <c:pt idx="91">
                  <c:v>26820</c:v>
                </c:pt>
                <c:pt idx="92">
                  <c:v>28090</c:v>
                </c:pt>
                <c:pt idx="93">
                  <c:v>28990</c:v>
                </c:pt>
                <c:pt idx="94">
                  <c:v>30340.792274139443</c:v>
                </c:pt>
                <c:pt idx="95">
                  <c:v>31210</c:v>
                </c:pt>
                <c:pt idx="96">
                  <c:v>31730</c:v>
                </c:pt>
                <c:pt idx="97">
                  <c:v>33280</c:v>
                </c:pt>
                <c:pt idx="98">
                  <c:v>34740</c:v>
                </c:pt>
                <c:pt idx="99">
                  <c:v>35580</c:v>
                </c:pt>
                <c:pt idx="100">
                  <c:v>36370</c:v>
                </c:pt>
                <c:pt idx="101">
                  <c:v>38170.090014031819</c:v>
                </c:pt>
                <c:pt idx="102">
                  <c:v>40813.028504817783</c:v>
                </c:pt>
                <c:pt idx="103">
                  <c:v>41237.363051479784</c:v>
                </c:pt>
                <c:pt idx="104">
                  <c:v>42270</c:v>
                </c:pt>
                <c:pt idx="105">
                  <c:v>43960</c:v>
                </c:pt>
                <c:pt idx="106">
                  <c:v>44233.792167046864</c:v>
                </c:pt>
                <c:pt idx="107">
                  <c:v>45270</c:v>
                </c:pt>
                <c:pt idx="108">
                  <c:v>46380</c:v>
                </c:pt>
                <c:pt idx="109">
                  <c:v>48690</c:v>
                </c:pt>
                <c:pt idx="110">
                  <c:v>49520</c:v>
                </c:pt>
                <c:pt idx="111">
                  <c:v>54230</c:v>
                </c:pt>
                <c:pt idx="112">
                  <c:v>56483.510843023381</c:v>
                </c:pt>
                <c:pt idx="113">
                  <c:v>58120</c:v>
                </c:pt>
                <c:pt idx="114">
                  <c:v>65210</c:v>
                </c:pt>
                <c:pt idx="115">
                  <c:v>71230</c:v>
                </c:pt>
                <c:pt idx="116">
                  <c:v>83440</c:v>
                </c:pt>
                <c:pt idx="117">
                  <c:v>98320</c:v>
                </c:pt>
              </c:numCache>
            </c:numRef>
          </c:xVal>
          <c:yVal>
            <c:numRef>
              <c:f>Sheet1!$B$2:$B$1048307</c:f>
              <c:numCache>
                <c:formatCode>General</c:formatCode>
                <c:ptCount val="1048292"/>
                <c:pt idx="0">
                  <c:v>760</c:v>
                </c:pt>
                <c:pt idx="1">
                  <c:v>950</c:v>
                </c:pt>
                <c:pt idx="2">
                  <c:v>1170</c:v>
                </c:pt>
                <c:pt idx="3">
                  <c:v>1380</c:v>
                </c:pt>
                <c:pt idx="4">
                  <c:v>1580</c:v>
                </c:pt>
                <c:pt idx="5">
                  <c:v>1620</c:v>
                </c:pt>
                <c:pt idx="6">
                  <c:v>1640</c:v>
                </c:pt>
                <c:pt idx="7">
                  <c:v>1770</c:v>
                </c:pt>
                <c:pt idx="8">
                  <c:v>1820</c:v>
                </c:pt>
                <c:pt idx="9">
                  <c:v>1940</c:v>
                </c:pt>
                <c:pt idx="10">
                  <c:v>2000.0386698386565</c:v>
                </c:pt>
                <c:pt idx="11">
                  <c:v>2110</c:v>
                </c:pt>
                <c:pt idx="12">
                  <c:v>2158.2066246950126</c:v>
                </c:pt>
                <c:pt idx="13">
                  <c:v>2500</c:v>
                </c:pt>
                <c:pt idx="14">
                  <c:v>2610</c:v>
                </c:pt>
                <c:pt idx="15">
                  <c:v>2735.717642782975</c:v>
                </c:pt>
                <c:pt idx="16">
                  <c:v>2990</c:v>
                </c:pt>
                <c:pt idx="17">
                  <c:v>3130</c:v>
                </c:pt>
                <c:pt idx="18">
                  <c:v>3210</c:v>
                </c:pt>
                <c:pt idx="19">
                  <c:v>3310</c:v>
                </c:pt>
                <c:pt idx="20">
                  <c:v>3360</c:v>
                </c:pt>
                <c:pt idx="21">
                  <c:v>3550</c:v>
                </c:pt>
                <c:pt idx="22">
                  <c:v>3637.0496669422118</c:v>
                </c:pt>
                <c:pt idx="23">
                  <c:v>3639.0210244223422</c:v>
                </c:pt>
                <c:pt idx="24">
                  <c:v>3690</c:v>
                </c:pt>
                <c:pt idx="25">
                  <c:v>3890</c:v>
                </c:pt>
                <c:pt idx="26">
                  <c:v>4078.9609131335137</c:v>
                </c:pt>
                <c:pt idx="27">
                  <c:v>4150</c:v>
                </c:pt>
                <c:pt idx="28">
                  <c:v>4280</c:v>
                </c:pt>
                <c:pt idx="29">
                  <c:v>5202.0446178665734</c:v>
                </c:pt>
                <c:pt idx="30">
                  <c:v>5310</c:v>
                </c:pt>
                <c:pt idx="31">
                  <c:v>5410</c:v>
                </c:pt>
                <c:pt idx="32">
                  <c:v>5610</c:v>
                </c:pt>
                <c:pt idx="33">
                  <c:v>5675.2377837932527</c:v>
                </c:pt>
                <c:pt idx="34">
                  <c:v>5700</c:v>
                </c:pt>
                <c:pt idx="35">
                  <c:v>5800</c:v>
                </c:pt>
                <c:pt idx="36">
                  <c:v>5860</c:v>
                </c:pt>
                <c:pt idx="37">
                  <c:v>6060</c:v>
                </c:pt>
                <c:pt idx="38">
                  <c:v>6200</c:v>
                </c:pt>
                <c:pt idx="39">
                  <c:v>6720</c:v>
                </c:pt>
                <c:pt idx="40">
                  <c:v>7120</c:v>
                </c:pt>
                <c:pt idx="41">
                  <c:v>7480</c:v>
                </c:pt>
                <c:pt idx="42">
                  <c:v>7670</c:v>
                </c:pt>
                <c:pt idx="43">
                  <c:v>7850</c:v>
                </c:pt>
                <c:pt idx="44">
                  <c:v>8310</c:v>
                </c:pt>
                <c:pt idx="45">
                  <c:v>8660</c:v>
                </c:pt>
                <c:pt idx="46">
                  <c:v>8850</c:v>
                </c:pt>
                <c:pt idx="47">
                  <c:v>9090</c:v>
                </c:pt>
                <c:pt idx="48">
                  <c:v>9786.4952368049126</c:v>
                </c:pt>
                <c:pt idx="49">
                  <c:v>10038.01685734083</c:v>
                </c:pt>
                <c:pt idx="50">
                  <c:v>10570</c:v>
                </c:pt>
                <c:pt idx="51">
                  <c:v>10670</c:v>
                </c:pt>
                <c:pt idx="52">
                  <c:v>11110</c:v>
                </c:pt>
                <c:pt idx="53">
                  <c:v>11250</c:v>
                </c:pt>
                <c:pt idx="54">
                  <c:v>11500</c:v>
                </c:pt>
                <c:pt idx="55">
                  <c:v>11760</c:v>
                </c:pt>
                <c:pt idx="56">
                  <c:v>12070</c:v>
                </c:pt>
                <c:pt idx="57">
                  <c:v>12193.341231165039</c:v>
                </c:pt>
                <c:pt idx="58">
                  <c:v>12210</c:v>
                </c:pt>
                <c:pt idx="59">
                  <c:v>12850</c:v>
                </c:pt>
                <c:pt idx="60">
                  <c:v>13026.32069671096</c:v>
                </c:pt>
                <c:pt idx="61">
                  <c:v>13400</c:v>
                </c:pt>
                <c:pt idx="62">
                  <c:v>13500</c:v>
                </c:pt>
                <c:pt idx="63">
                  <c:v>13990</c:v>
                </c:pt>
                <c:pt idx="64">
                  <c:v>14180</c:v>
                </c:pt>
                <c:pt idx="65">
                  <c:v>14400</c:v>
                </c:pt>
                <c:pt idx="66">
                  <c:v>14907.065477386373</c:v>
                </c:pt>
                <c:pt idx="67">
                  <c:v>15030</c:v>
                </c:pt>
                <c:pt idx="68">
                  <c:v>15400</c:v>
                </c:pt>
                <c:pt idx="69">
                  <c:v>15490</c:v>
                </c:pt>
                <c:pt idx="70">
                  <c:v>15693.832369097749</c:v>
                </c:pt>
                <c:pt idx="71">
                  <c:v>15760.277094467472</c:v>
                </c:pt>
                <c:pt idx="72">
                  <c:v>16137.160169510742</c:v>
                </c:pt>
                <c:pt idx="73">
                  <c:v>16381.722697644365</c:v>
                </c:pt>
                <c:pt idx="74">
                  <c:v>16480</c:v>
                </c:pt>
                <c:pt idx="75">
                  <c:v>16710</c:v>
                </c:pt>
                <c:pt idx="76">
                  <c:v>17100</c:v>
                </c:pt>
                <c:pt idx="77">
                  <c:v>17620</c:v>
                </c:pt>
                <c:pt idx="78">
                  <c:v>18754.486950033777</c:v>
                </c:pt>
                <c:pt idx="79">
                  <c:v>19374.830277221005</c:v>
                </c:pt>
                <c:pt idx="80">
                  <c:v>19980</c:v>
                </c:pt>
                <c:pt idx="81">
                  <c:v>20220</c:v>
                </c:pt>
                <c:pt idx="82">
                  <c:v>21130</c:v>
                </c:pt>
                <c:pt idx="83">
                  <c:v>22120</c:v>
                </c:pt>
                <c:pt idx="84">
                  <c:v>22860</c:v>
                </c:pt>
                <c:pt idx="85">
                  <c:v>24060</c:v>
                </c:pt>
                <c:pt idx="86">
                  <c:v>24570</c:v>
                </c:pt>
                <c:pt idx="87">
                  <c:v>24680</c:v>
                </c:pt>
                <c:pt idx="88">
                  <c:v>24948.839953457908</c:v>
                </c:pt>
                <c:pt idx="89">
                  <c:v>25320</c:v>
                </c:pt>
                <c:pt idx="90">
                  <c:v>25900</c:v>
                </c:pt>
                <c:pt idx="91">
                  <c:v>27730</c:v>
                </c:pt>
                <c:pt idx="92">
                  <c:v>28720</c:v>
                </c:pt>
                <c:pt idx="93">
                  <c:v>29650</c:v>
                </c:pt>
                <c:pt idx="94">
                  <c:v>30520</c:v>
                </c:pt>
                <c:pt idx="95">
                  <c:v>31550</c:v>
                </c:pt>
                <c:pt idx="96">
                  <c:v>33240</c:v>
                </c:pt>
                <c:pt idx="97">
                  <c:v>34260</c:v>
                </c:pt>
                <c:pt idx="98">
                  <c:v>35300</c:v>
                </c:pt>
                <c:pt idx="99">
                  <c:v>36090</c:v>
                </c:pt>
                <c:pt idx="100">
                  <c:v>36440</c:v>
                </c:pt>
                <c:pt idx="101">
                  <c:v>40660</c:v>
                </c:pt>
                <c:pt idx="102">
                  <c:v>41100</c:v>
                </c:pt>
                <c:pt idx="103">
                  <c:v>41600</c:v>
                </c:pt>
                <c:pt idx="104">
                  <c:v>42450</c:v>
                </c:pt>
                <c:pt idx="105">
                  <c:v>44170</c:v>
                </c:pt>
                <c:pt idx="106">
                  <c:v>45128.67711415729</c:v>
                </c:pt>
                <c:pt idx="107">
                  <c:v>45330</c:v>
                </c:pt>
                <c:pt idx="108">
                  <c:v>48510</c:v>
                </c:pt>
                <c:pt idx="109">
                  <c:v>49250</c:v>
                </c:pt>
                <c:pt idx="110">
                  <c:v>50190</c:v>
                </c:pt>
                <c:pt idx="111">
                  <c:v>55580</c:v>
                </c:pt>
                <c:pt idx="112">
                  <c:v>57880</c:v>
                </c:pt>
                <c:pt idx="113">
                  <c:v>64280</c:v>
                </c:pt>
                <c:pt idx="114">
                  <c:v>67970</c:v>
                </c:pt>
                <c:pt idx="115">
                  <c:v>81000</c:v>
                </c:pt>
                <c:pt idx="116">
                  <c:v>83760</c:v>
                </c:pt>
                <c:pt idx="117">
                  <c:v>124830</c:v>
                </c:pt>
              </c:numCache>
            </c:numRef>
          </c:yVal>
          <c:smooth val="0"/>
          <c:extLst>
            <c:ext xmlns:c16="http://schemas.microsoft.com/office/drawing/2014/chart" uri="{C3380CC4-5D6E-409C-BE32-E72D297353CC}">
              <c16:uniqueId val="{00000000-502E-884E-AE92-B78F551641D5}"/>
            </c:ext>
          </c:extLst>
        </c:ser>
        <c:dLbls>
          <c:showLegendKey val="0"/>
          <c:showVal val="0"/>
          <c:showCatName val="0"/>
          <c:showSerName val="0"/>
          <c:showPercent val="0"/>
          <c:showBubbleSize val="0"/>
        </c:dLbls>
        <c:axId val="1783218655"/>
        <c:axId val="1213012239"/>
      </c:scatterChart>
      <c:valAx>
        <c:axId val="1783218655"/>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GNI Per Capita,</a:t>
                </a:r>
                <a:r>
                  <a:rPr lang="en-US" baseline="0"/>
                  <a:t> PPP (current international $)</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3012239"/>
        <c:crosses val="autoZero"/>
        <c:crossBetween val="midCat"/>
      </c:valAx>
      <c:valAx>
        <c:axId val="121301223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Listed domestic companies, total</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83218655"/>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Air Transport,</a:t>
            </a:r>
            <a:r>
              <a:rPr lang="en-US" baseline="0"/>
              <a:t> Passengers Carried per Country Since 1994</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28575" cap="rnd">
              <a:noFill/>
              <a:round/>
            </a:ln>
            <a:effectLst/>
          </c:spPr>
          <c:marker>
            <c:symbol val="circle"/>
            <c:size val="5"/>
            <c:spPr>
              <a:solidFill>
                <a:schemeClr val="accent1"/>
              </a:solidFill>
              <a:ln w="9525">
                <a:solidFill>
                  <a:schemeClr val="accent1"/>
                </a:solidFill>
              </a:ln>
              <a:effectLst/>
            </c:spPr>
          </c:marker>
          <c:xVal>
            <c:strRef>
              <c:f>Data!$F$10:$AD$10</c:f>
              <c:strCache>
                <c:ptCount val="25"/>
                <c:pt idx="0">
                  <c:v>1994 [YR1994]</c:v>
                </c:pt>
                <c:pt idx="1">
                  <c:v>1995 [YR1995]</c:v>
                </c:pt>
                <c:pt idx="2">
                  <c:v>1996 [YR1996]</c:v>
                </c:pt>
                <c:pt idx="3">
                  <c:v>1997 [YR1997]</c:v>
                </c:pt>
                <c:pt idx="4">
                  <c:v>1998 [YR1998]</c:v>
                </c:pt>
                <c:pt idx="5">
                  <c:v>1999 [YR1999]</c:v>
                </c:pt>
                <c:pt idx="6">
                  <c:v>2000 [YR2000]</c:v>
                </c:pt>
                <c:pt idx="7">
                  <c:v>2001 [YR2001]</c:v>
                </c:pt>
                <c:pt idx="8">
                  <c:v>2002 [YR2002]</c:v>
                </c:pt>
                <c:pt idx="9">
                  <c:v>2003 [YR2003]</c:v>
                </c:pt>
                <c:pt idx="10">
                  <c:v>2004 [YR2004]</c:v>
                </c:pt>
                <c:pt idx="11">
                  <c:v>2005 [YR2005]</c:v>
                </c:pt>
                <c:pt idx="12">
                  <c:v>2006 [YR2006]</c:v>
                </c:pt>
                <c:pt idx="13">
                  <c:v>2007 [YR2007]</c:v>
                </c:pt>
                <c:pt idx="14">
                  <c:v>2008 [YR2008]</c:v>
                </c:pt>
                <c:pt idx="15">
                  <c:v>2009 [YR2009]</c:v>
                </c:pt>
                <c:pt idx="16">
                  <c:v>2010 [YR2010]</c:v>
                </c:pt>
                <c:pt idx="17">
                  <c:v>2011 [YR2011]</c:v>
                </c:pt>
                <c:pt idx="18">
                  <c:v>2012 [YR2012]</c:v>
                </c:pt>
                <c:pt idx="19">
                  <c:v>2013 [YR2013]</c:v>
                </c:pt>
                <c:pt idx="20">
                  <c:v>2014 [YR2014]</c:v>
                </c:pt>
                <c:pt idx="21">
                  <c:v>2015 [YR2015]</c:v>
                </c:pt>
                <c:pt idx="22">
                  <c:v>2016 [YR2016]</c:v>
                </c:pt>
                <c:pt idx="23">
                  <c:v>2017 [YR2017]</c:v>
                </c:pt>
                <c:pt idx="24">
                  <c:v>2018 [YR2018]</c:v>
                </c:pt>
              </c:strCache>
            </c:strRef>
          </c:xVal>
          <c:yVal>
            <c:numRef>
              <c:f>Data!$F$11:$AC$11</c:f>
              <c:numCache>
                <c:formatCode>General</c:formatCode>
                <c:ptCount val="24"/>
                <c:pt idx="0">
                  <c:v>11404700</c:v>
                </c:pt>
                <c:pt idx="1">
                  <c:v>12771400</c:v>
                </c:pt>
                <c:pt idx="2">
                  <c:v>14078300</c:v>
                </c:pt>
                <c:pt idx="3">
                  <c:v>14235800</c:v>
                </c:pt>
                <c:pt idx="4">
                  <c:v>15015400</c:v>
                </c:pt>
                <c:pt idx="5">
                  <c:v>15950500</c:v>
                </c:pt>
                <c:pt idx="6">
                  <c:v>17392091</c:v>
                </c:pt>
                <c:pt idx="7">
                  <c:v>17662418</c:v>
                </c:pt>
                <c:pt idx="8">
                  <c:v>18111892</c:v>
                </c:pt>
                <c:pt idx="9">
                  <c:v>16622502</c:v>
                </c:pt>
                <c:pt idx="10">
                  <c:v>20342582</c:v>
                </c:pt>
                <c:pt idx="11">
                  <c:v>18902629</c:v>
                </c:pt>
                <c:pt idx="12">
                  <c:v>20102408</c:v>
                </c:pt>
                <c:pt idx="13">
                  <c:v>21191723</c:v>
                </c:pt>
                <c:pt idx="14">
                  <c:v>19993134</c:v>
                </c:pt>
                <c:pt idx="15">
                  <c:v>19618735</c:v>
                </c:pt>
                <c:pt idx="16">
                  <c:v>28780723</c:v>
                </c:pt>
                <c:pt idx="17">
                  <c:v>31940491.9838508</c:v>
                </c:pt>
                <c:pt idx="18">
                  <c:v>36392469.354526304</c:v>
                </c:pt>
                <c:pt idx="19">
                  <c:v>43029150.600000001</c:v>
                </c:pt>
                <c:pt idx="20">
                  <c:v>46546612.484507002</c:v>
                </c:pt>
                <c:pt idx="21">
                  <c:v>56447637</c:v>
                </c:pt>
                <c:pt idx="22">
                  <c:v>62341676</c:v>
                </c:pt>
                <c:pt idx="23">
                  <c:v>71191515</c:v>
                </c:pt>
              </c:numCache>
            </c:numRef>
          </c:yVal>
          <c:smooth val="0"/>
          <c:extLst>
            <c:ext xmlns:c16="http://schemas.microsoft.com/office/drawing/2014/chart" uri="{C3380CC4-5D6E-409C-BE32-E72D297353CC}">
              <c16:uniqueId val="{00000000-8112-BF48-8605-37AD5CB2F8D1}"/>
            </c:ext>
          </c:extLst>
        </c:ser>
        <c:ser>
          <c:idx val="1"/>
          <c:order val="1"/>
          <c:spPr>
            <a:ln w="25400" cap="rnd">
              <a:noFill/>
              <a:round/>
            </a:ln>
            <a:effectLst/>
          </c:spPr>
          <c:marker>
            <c:symbol val="circle"/>
            <c:size val="5"/>
            <c:spPr>
              <a:solidFill>
                <a:schemeClr val="accent2"/>
              </a:solidFill>
              <a:ln w="9525">
                <a:solidFill>
                  <a:schemeClr val="accent2"/>
                </a:solidFill>
              </a:ln>
              <a:effectLst/>
            </c:spPr>
          </c:marker>
          <c:xVal>
            <c:strRef>
              <c:f>Data!$F$10:$AD$10</c:f>
              <c:strCache>
                <c:ptCount val="25"/>
                <c:pt idx="0">
                  <c:v>1994 [YR1994]</c:v>
                </c:pt>
                <c:pt idx="1">
                  <c:v>1995 [YR1995]</c:v>
                </c:pt>
                <c:pt idx="2">
                  <c:v>1996 [YR1996]</c:v>
                </c:pt>
                <c:pt idx="3">
                  <c:v>1997 [YR1997]</c:v>
                </c:pt>
                <c:pt idx="4">
                  <c:v>1998 [YR1998]</c:v>
                </c:pt>
                <c:pt idx="5">
                  <c:v>1999 [YR1999]</c:v>
                </c:pt>
                <c:pt idx="6">
                  <c:v>2000 [YR2000]</c:v>
                </c:pt>
                <c:pt idx="7">
                  <c:v>2001 [YR2001]</c:v>
                </c:pt>
                <c:pt idx="8">
                  <c:v>2002 [YR2002]</c:v>
                </c:pt>
                <c:pt idx="9">
                  <c:v>2003 [YR2003]</c:v>
                </c:pt>
                <c:pt idx="10">
                  <c:v>2004 [YR2004]</c:v>
                </c:pt>
                <c:pt idx="11">
                  <c:v>2005 [YR2005]</c:v>
                </c:pt>
                <c:pt idx="12">
                  <c:v>2006 [YR2006]</c:v>
                </c:pt>
                <c:pt idx="13">
                  <c:v>2007 [YR2007]</c:v>
                </c:pt>
                <c:pt idx="14">
                  <c:v>2008 [YR2008]</c:v>
                </c:pt>
                <c:pt idx="15">
                  <c:v>2009 [YR2009]</c:v>
                </c:pt>
                <c:pt idx="16">
                  <c:v>2010 [YR2010]</c:v>
                </c:pt>
                <c:pt idx="17">
                  <c:v>2011 [YR2011]</c:v>
                </c:pt>
                <c:pt idx="18">
                  <c:v>2012 [YR2012]</c:v>
                </c:pt>
                <c:pt idx="19">
                  <c:v>2013 [YR2013]</c:v>
                </c:pt>
                <c:pt idx="20">
                  <c:v>2014 [YR2014]</c:v>
                </c:pt>
                <c:pt idx="21">
                  <c:v>2015 [YR2015]</c:v>
                </c:pt>
                <c:pt idx="22">
                  <c:v>2016 [YR2016]</c:v>
                </c:pt>
                <c:pt idx="23">
                  <c:v>2017 [YR2017]</c:v>
                </c:pt>
                <c:pt idx="24">
                  <c:v>2018 [YR2018]</c:v>
                </c:pt>
              </c:strCache>
            </c:strRef>
          </c:xVal>
          <c:yVal>
            <c:numRef>
              <c:f>Data!$F$12:$AC$12</c:f>
              <c:numCache>
                <c:formatCode>General</c:formatCode>
                <c:ptCount val="24"/>
                <c:pt idx="0">
                  <c:v>514924000</c:v>
                </c:pt>
                <c:pt idx="1">
                  <c:v>533512096</c:v>
                </c:pt>
                <c:pt idx="2">
                  <c:v>571072000</c:v>
                </c:pt>
                <c:pt idx="3">
                  <c:v>590571392</c:v>
                </c:pt>
                <c:pt idx="4">
                  <c:v>588170880</c:v>
                </c:pt>
                <c:pt idx="5">
                  <c:v>634364608</c:v>
                </c:pt>
                <c:pt idx="6">
                  <c:v>665327414</c:v>
                </c:pt>
                <c:pt idx="7">
                  <c:v>622187846</c:v>
                </c:pt>
                <c:pt idx="8">
                  <c:v>598410415</c:v>
                </c:pt>
                <c:pt idx="9">
                  <c:v>588997110</c:v>
                </c:pt>
                <c:pt idx="10">
                  <c:v>678110608</c:v>
                </c:pt>
                <c:pt idx="11">
                  <c:v>720547738</c:v>
                </c:pt>
                <c:pt idx="12">
                  <c:v>725530965</c:v>
                </c:pt>
                <c:pt idx="13">
                  <c:v>744302310</c:v>
                </c:pt>
                <c:pt idx="14">
                  <c:v>701779551</c:v>
                </c:pt>
                <c:pt idx="15">
                  <c:v>679423408</c:v>
                </c:pt>
                <c:pt idx="16">
                  <c:v>720497000</c:v>
                </c:pt>
                <c:pt idx="17">
                  <c:v>730796000</c:v>
                </c:pt>
                <c:pt idx="18">
                  <c:v>736699000</c:v>
                </c:pt>
                <c:pt idx="19">
                  <c:v>743171000</c:v>
                </c:pt>
                <c:pt idx="20">
                  <c:v>762710000</c:v>
                </c:pt>
                <c:pt idx="21">
                  <c:v>798222000</c:v>
                </c:pt>
                <c:pt idx="22">
                  <c:v>824039000</c:v>
                </c:pt>
                <c:pt idx="23">
                  <c:v>849403000</c:v>
                </c:pt>
              </c:numCache>
            </c:numRef>
          </c:yVal>
          <c:smooth val="0"/>
          <c:extLst>
            <c:ext xmlns:c16="http://schemas.microsoft.com/office/drawing/2014/chart" uri="{C3380CC4-5D6E-409C-BE32-E72D297353CC}">
              <c16:uniqueId val="{00000001-8112-BF48-8605-37AD5CB2F8D1}"/>
            </c:ext>
          </c:extLst>
        </c:ser>
        <c:ser>
          <c:idx val="2"/>
          <c:order val="2"/>
          <c:spPr>
            <a:ln w="25400" cap="rnd">
              <a:noFill/>
              <a:round/>
            </a:ln>
            <a:effectLst/>
          </c:spPr>
          <c:marker>
            <c:symbol val="circle"/>
            <c:size val="5"/>
            <c:spPr>
              <a:solidFill>
                <a:schemeClr val="accent3"/>
              </a:solidFill>
              <a:ln w="9525">
                <a:solidFill>
                  <a:schemeClr val="accent3"/>
                </a:solidFill>
              </a:ln>
              <a:effectLst/>
            </c:spPr>
          </c:marker>
          <c:xVal>
            <c:strRef>
              <c:f>Data!$F$10:$AD$10</c:f>
              <c:strCache>
                <c:ptCount val="25"/>
                <c:pt idx="0">
                  <c:v>1994 [YR1994]</c:v>
                </c:pt>
                <c:pt idx="1">
                  <c:v>1995 [YR1995]</c:v>
                </c:pt>
                <c:pt idx="2">
                  <c:v>1996 [YR1996]</c:v>
                </c:pt>
                <c:pt idx="3">
                  <c:v>1997 [YR1997]</c:v>
                </c:pt>
                <c:pt idx="4">
                  <c:v>1998 [YR1998]</c:v>
                </c:pt>
                <c:pt idx="5">
                  <c:v>1999 [YR1999]</c:v>
                </c:pt>
                <c:pt idx="6">
                  <c:v>2000 [YR2000]</c:v>
                </c:pt>
                <c:pt idx="7">
                  <c:v>2001 [YR2001]</c:v>
                </c:pt>
                <c:pt idx="8">
                  <c:v>2002 [YR2002]</c:v>
                </c:pt>
                <c:pt idx="9">
                  <c:v>2003 [YR2003]</c:v>
                </c:pt>
                <c:pt idx="10">
                  <c:v>2004 [YR2004]</c:v>
                </c:pt>
                <c:pt idx="11">
                  <c:v>2005 [YR2005]</c:v>
                </c:pt>
                <c:pt idx="12">
                  <c:v>2006 [YR2006]</c:v>
                </c:pt>
                <c:pt idx="13">
                  <c:v>2007 [YR2007]</c:v>
                </c:pt>
                <c:pt idx="14">
                  <c:v>2008 [YR2008]</c:v>
                </c:pt>
                <c:pt idx="15">
                  <c:v>2009 [YR2009]</c:v>
                </c:pt>
                <c:pt idx="16">
                  <c:v>2010 [YR2010]</c:v>
                </c:pt>
                <c:pt idx="17">
                  <c:v>2011 [YR2011]</c:v>
                </c:pt>
                <c:pt idx="18">
                  <c:v>2012 [YR2012]</c:v>
                </c:pt>
                <c:pt idx="19">
                  <c:v>2013 [YR2013]</c:v>
                </c:pt>
                <c:pt idx="20">
                  <c:v>2014 [YR2014]</c:v>
                </c:pt>
                <c:pt idx="21">
                  <c:v>2015 [YR2015]</c:v>
                </c:pt>
                <c:pt idx="22">
                  <c:v>2016 [YR2016]</c:v>
                </c:pt>
                <c:pt idx="23">
                  <c:v>2017 [YR2017]</c:v>
                </c:pt>
                <c:pt idx="24">
                  <c:v>2018 [YR2018]</c:v>
                </c:pt>
              </c:strCache>
            </c:strRef>
          </c:xVal>
          <c:yVal>
            <c:numRef>
              <c:f>Data!$F$13:$P$13</c:f>
              <c:numCache>
                <c:formatCode>General</c:formatCode>
                <c:ptCount val="11"/>
                <c:pt idx="0">
                  <c:v>10807700</c:v>
                </c:pt>
                <c:pt idx="1">
                  <c:v>9498000</c:v>
                </c:pt>
                <c:pt idx="2">
                  <c:v>9879000</c:v>
                </c:pt>
                <c:pt idx="3">
                  <c:v>11326900</c:v>
                </c:pt>
                <c:pt idx="4">
                  <c:v>11877700</c:v>
                </c:pt>
                <c:pt idx="5">
                  <c:v>12917600</c:v>
                </c:pt>
                <c:pt idx="6">
                  <c:v>13354314</c:v>
                </c:pt>
                <c:pt idx="7">
                  <c:v>13123426</c:v>
                </c:pt>
                <c:pt idx="8">
                  <c:v>12421220</c:v>
                </c:pt>
                <c:pt idx="9">
                  <c:v>11586025</c:v>
                </c:pt>
                <c:pt idx="10">
                  <c:v>11623925</c:v>
                </c:pt>
              </c:numCache>
            </c:numRef>
          </c:yVal>
          <c:smooth val="0"/>
          <c:extLst>
            <c:ext xmlns:c16="http://schemas.microsoft.com/office/drawing/2014/chart" uri="{C3380CC4-5D6E-409C-BE32-E72D297353CC}">
              <c16:uniqueId val="{00000002-8112-BF48-8605-37AD5CB2F8D1}"/>
            </c:ext>
          </c:extLst>
        </c:ser>
        <c:dLbls>
          <c:showLegendKey val="0"/>
          <c:showVal val="0"/>
          <c:showCatName val="0"/>
          <c:showSerName val="0"/>
          <c:showPercent val="0"/>
          <c:showBubbleSize val="0"/>
        </c:dLbls>
        <c:axId val="1914052463"/>
        <c:axId val="1202166063"/>
      </c:scatterChart>
      <c:valAx>
        <c:axId val="1914052463"/>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Years</a:t>
                </a:r>
                <a:r>
                  <a:rPr lang="en-US" baseline="0"/>
                  <a:t> Since 1994</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02166063"/>
        <c:crosses val="autoZero"/>
        <c:crossBetween val="midCat"/>
      </c:valAx>
      <c:valAx>
        <c:axId val="120216606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Air Transport, Passengers Carried</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4052463"/>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Air Transport,</a:t>
            </a:r>
            <a:r>
              <a:rPr lang="en-US" baseline="0"/>
              <a:t> Passengers Carried per Country Since 1994</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28575" cap="rnd">
              <a:noFill/>
              <a:round/>
            </a:ln>
            <a:effectLst/>
          </c:spPr>
          <c:marker>
            <c:symbol val="circle"/>
            <c:size val="5"/>
            <c:spPr>
              <a:solidFill>
                <a:schemeClr val="accent1"/>
              </a:solidFill>
              <a:ln w="9525">
                <a:solidFill>
                  <a:schemeClr val="accent1"/>
                </a:solidFill>
              </a:ln>
              <a:effectLst/>
            </c:spPr>
          </c:marker>
          <c:xVal>
            <c:strRef>
              <c:f>Data!$F$10:$AD$10</c:f>
              <c:strCache>
                <c:ptCount val="25"/>
                <c:pt idx="0">
                  <c:v>1994 [YR1994]</c:v>
                </c:pt>
                <c:pt idx="1">
                  <c:v>1995 [YR1995]</c:v>
                </c:pt>
                <c:pt idx="2">
                  <c:v>1996 [YR1996]</c:v>
                </c:pt>
                <c:pt idx="3">
                  <c:v>1997 [YR1997]</c:v>
                </c:pt>
                <c:pt idx="4">
                  <c:v>1998 [YR1998]</c:v>
                </c:pt>
                <c:pt idx="5">
                  <c:v>1999 [YR1999]</c:v>
                </c:pt>
                <c:pt idx="6">
                  <c:v>2000 [YR2000]</c:v>
                </c:pt>
                <c:pt idx="7">
                  <c:v>2001 [YR2001]</c:v>
                </c:pt>
                <c:pt idx="8">
                  <c:v>2002 [YR2002]</c:v>
                </c:pt>
                <c:pt idx="9">
                  <c:v>2003 [YR2003]</c:v>
                </c:pt>
                <c:pt idx="10">
                  <c:v>2004 [YR2004]</c:v>
                </c:pt>
                <c:pt idx="11">
                  <c:v>2005 [YR2005]</c:v>
                </c:pt>
                <c:pt idx="12">
                  <c:v>2006 [YR2006]</c:v>
                </c:pt>
                <c:pt idx="13">
                  <c:v>2007 [YR2007]</c:v>
                </c:pt>
                <c:pt idx="14">
                  <c:v>2008 [YR2008]</c:v>
                </c:pt>
                <c:pt idx="15">
                  <c:v>2009 [YR2009]</c:v>
                </c:pt>
                <c:pt idx="16">
                  <c:v>2010 [YR2010]</c:v>
                </c:pt>
                <c:pt idx="17">
                  <c:v>2011 [YR2011]</c:v>
                </c:pt>
                <c:pt idx="18">
                  <c:v>2012 [YR2012]</c:v>
                </c:pt>
                <c:pt idx="19">
                  <c:v>2013 [YR2013]</c:v>
                </c:pt>
                <c:pt idx="20">
                  <c:v>2014 [YR2014]</c:v>
                </c:pt>
                <c:pt idx="21">
                  <c:v>2015 [YR2015]</c:v>
                </c:pt>
                <c:pt idx="22">
                  <c:v>2016 [YR2016]</c:v>
                </c:pt>
                <c:pt idx="23">
                  <c:v>2017 [YR2017]</c:v>
                </c:pt>
                <c:pt idx="24">
                  <c:v>2018 [YR2018]</c:v>
                </c:pt>
              </c:strCache>
            </c:strRef>
          </c:xVal>
          <c:yVal>
            <c:numRef>
              <c:f>Data!$F$11:$AC$11</c:f>
              <c:numCache>
                <c:formatCode>General</c:formatCode>
                <c:ptCount val="24"/>
                <c:pt idx="0">
                  <c:v>11404700</c:v>
                </c:pt>
                <c:pt idx="1">
                  <c:v>12771400</c:v>
                </c:pt>
                <c:pt idx="2">
                  <c:v>14078300</c:v>
                </c:pt>
                <c:pt idx="3">
                  <c:v>14235800</c:v>
                </c:pt>
                <c:pt idx="4">
                  <c:v>15015400</c:v>
                </c:pt>
                <c:pt idx="5">
                  <c:v>15950500</c:v>
                </c:pt>
                <c:pt idx="6">
                  <c:v>17392091</c:v>
                </c:pt>
                <c:pt idx="7">
                  <c:v>17662418</c:v>
                </c:pt>
                <c:pt idx="8">
                  <c:v>18111892</c:v>
                </c:pt>
                <c:pt idx="9">
                  <c:v>16622502</c:v>
                </c:pt>
                <c:pt idx="10">
                  <c:v>20342582</c:v>
                </c:pt>
                <c:pt idx="11">
                  <c:v>18902629</c:v>
                </c:pt>
                <c:pt idx="12">
                  <c:v>20102408</c:v>
                </c:pt>
                <c:pt idx="13">
                  <c:v>21191723</c:v>
                </c:pt>
                <c:pt idx="14">
                  <c:v>19993134</c:v>
                </c:pt>
                <c:pt idx="15">
                  <c:v>19618735</c:v>
                </c:pt>
                <c:pt idx="16">
                  <c:v>28780723</c:v>
                </c:pt>
                <c:pt idx="17">
                  <c:v>31940491.9838508</c:v>
                </c:pt>
                <c:pt idx="18">
                  <c:v>36392469.354526304</c:v>
                </c:pt>
                <c:pt idx="19">
                  <c:v>43029150.600000001</c:v>
                </c:pt>
                <c:pt idx="20">
                  <c:v>46546612.484507002</c:v>
                </c:pt>
                <c:pt idx="21">
                  <c:v>56447637</c:v>
                </c:pt>
                <c:pt idx="22">
                  <c:v>62341676</c:v>
                </c:pt>
                <c:pt idx="23">
                  <c:v>71191515</c:v>
                </c:pt>
              </c:numCache>
            </c:numRef>
          </c:yVal>
          <c:smooth val="0"/>
          <c:extLst>
            <c:ext xmlns:c16="http://schemas.microsoft.com/office/drawing/2014/chart" uri="{C3380CC4-5D6E-409C-BE32-E72D297353CC}">
              <c16:uniqueId val="{00000000-48A3-7948-BD15-F5FA75FA71AD}"/>
            </c:ext>
          </c:extLst>
        </c:ser>
        <c:ser>
          <c:idx val="1"/>
          <c:order val="1"/>
          <c:spPr>
            <a:ln w="25400" cap="rnd">
              <a:noFill/>
              <a:round/>
            </a:ln>
            <a:effectLst/>
          </c:spPr>
          <c:marker>
            <c:symbol val="circle"/>
            <c:size val="5"/>
            <c:spPr>
              <a:solidFill>
                <a:schemeClr val="accent2"/>
              </a:solidFill>
              <a:ln w="9525">
                <a:solidFill>
                  <a:schemeClr val="accent2"/>
                </a:solidFill>
              </a:ln>
              <a:effectLst/>
            </c:spPr>
          </c:marker>
          <c:xVal>
            <c:strRef>
              <c:f>Data!$F$10:$AD$10</c:f>
              <c:strCache>
                <c:ptCount val="25"/>
                <c:pt idx="0">
                  <c:v>1994 [YR1994]</c:v>
                </c:pt>
                <c:pt idx="1">
                  <c:v>1995 [YR1995]</c:v>
                </c:pt>
                <c:pt idx="2">
                  <c:v>1996 [YR1996]</c:v>
                </c:pt>
                <c:pt idx="3">
                  <c:v>1997 [YR1997]</c:v>
                </c:pt>
                <c:pt idx="4">
                  <c:v>1998 [YR1998]</c:v>
                </c:pt>
                <c:pt idx="5">
                  <c:v>1999 [YR1999]</c:v>
                </c:pt>
                <c:pt idx="6">
                  <c:v>2000 [YR2000]</c:v>
                </c:pt>
                <c:pt idx="7">
                  <c:v>2001 [YR2001]</c:v>
                </c:pt>
                <c:pt idx="8">
                  <c:v>2002 [YR2002]</c:v>
                </c:pt>
                <c:pt idx="9">
                  <c:v>2003 [YR2003]</c:v>
                </c:pt>
                <c:pt idx="10">
                  <c:v>2004 [YR2004]</c:v>
                </c:pt>
                <c:pt idx="11">
                  <c:v>2005 [YR2005]</c:v>
                </c:pt>
                <c:pt idx="12">
                  <c:v>2006 [YR2006]</c:v>
                </c:pt>
                <c:pt idx="13">
                  <c:v>2007 [YR2007]</c:v>
                </c:pt>
                <c:pt idx="14">
                  <c:v>2008 [YR2008]</c:v>
                </c:pt>
                <c:pt idx="15">
                  <c:v>2009 [YR2009]</c:v>
                </c:pt>
                <c:pt idx="16">
                  <c:v>2010 [YR2010]</c:v>
                </c:pt>
                <c:pt idx="17">
                  <c:v>2011 [YR2011]</c:v>
                </c:pt>
                <c:pt idx="18">
                  <c:v>2012 [YR2012]</c:v>
                </c:pt>
                <c:pt idx="19">
                  <c:v>2013 [YR2013]</c:v>
                </c:pt>
                <c:pt idx="20">
                  <c:v>2014 [YR2014]</c:v>
                </c:pt>
                <c:pt idx="21">
                  <c:v>2015 [YR2015]</c:v>
                </c:pt>
                <c:pt idx="22">
                  <c:v>2016 [YR2016]</c:v>
                </c:pt>
                <c:pt idx="23">
                  <c:v>2017 [YR2017]</c:v>
                </c:pt>
                <c:pt idx="24">
                  <c:v>2018 [YR2018]</c:v>
                </c:pt>
              </c:strCache>
            </c:strRef>
          </c:xVal>
          <c:yVal>
            <c:numRef>
              <c:f>Data!$F$12:$AC$12</c:f>
              <c:numCache>
                <c:formatCode>General</c:formatCode>
                <c:ptCount val="24"/>
                <c:pt idx="0">
                  <c:v>514924000</c:v>
                </c:pt>
                <c:pt idx="1">
                  <c:v>533512096</c:v>
                </c:pt>
                <c:pt idx="2">
                  <c:v>571072000</c:v>
                </c:pt>
                <c:pt idx="3">
                  <c:v>590571392</c:v>
                </c:pt>
                <c:pt idx="4">
                  <c:v>588170880</c:v>
                </c:pt>
                <c:pt idx="5">
                  <c:v>634364608</c:v>
                </c:pt>
                <c:pt idx="6">
                  <c:v>665327414</c:v>
                </c:pt>
                <c:pt idx="7">
                  <c:v>622187846</c:v>
                </c:pt>
                <c:pt idx="8">
                  <c:v>598410415</c:v>
                </c:pt>
                <c:pt idx="9">
                  <c:v>588997110</c:v>
                </c:pt>
                <c:pt idx="10">
                  <c:v>678110608</c:v>
                </c:pt>
                <c:pt idx="11">
                  <c:v>720547738</c:v>
                </c:pt>
                <c:pt idx="12">
                  <c:v>725530965</c:v>
                </c:pt>
                <c:pt idx="13">
                  <c:v>744302310</c:v>
                </c:pt>
                <c:pt idx="14">
                  <c:v>701779551</c:v>
                </c:pt>
                <c:pt idx="15">
                  <c:v>679423408</c:v>
                </c:pt>
                <c:pt idx="16">
                  <c:v>720497000</c:v>
                </c:pt>
                <c:pt idx="17">
                  <c:v>730796000</c:v>
                </c:pt>
                <c:pt idx="18">
                  <c:v>736699000</c:v>
                </c:pt>
                <c:pt idx="19">
                  <c:v>743171000</c:v>
                </c:pt>
                <c:pt idx="20">
                  <c:v>762710000</c:v>
                </c:pt>
                <c:pt idx="21">
                  <c:v>798222000</c:v>
                </c:pt>
                <c:pt idx="22">
                  <c:v>824039000</c:v>
                </c:pt>
                <c:pt idx="23">
                  <c:v>849403000</c:v>
                </c:pt>
              </c:numCache>
            </c:numRef>
          </c:yVal>
          <c:smooth val="0"/>
          <c:extLst>
            <c:ext xmlns:c16="http://schemas.microsoft.com/office/drawing/2014/chart" uri="{C3380CC4-5D6E-409C-BE32-E72D297353CC}">
              <c16:uniqueId val="{00000001-48A3-7948-BD15-F5FA75FA71AD}"/>
            </c:ext>
          </c:extLst>
        </c:ser>
        <c:ser>
          <c:idx val="2"/>
          <c:order val="2"/>
          <c:spPr>
            <a:ln w="25400" cap="rnd">
              <a:noFill/>
              <a:round/>
            </a:ln>
            <a:effectLst/>
          </c:spPr>
          <c:marker>
            <c:symbol val="circle"/>
            <c:size val="5"/>
            <c:spPr>
              <a:solidFill>
                <a:schemeClr val="accent3"/>
              </a:solidFill>
              <a:ln w="9525">
                <a:solidFill>
                  <a:schemeClr val="accent3"/>
                </a:solidFill>
              </a:ln>
              <a:effectLst/>
            </c:spPr>
          </c:marker>
          <c:xVal>
            <c:strRef>
              <c:f>Data!$F$10:$AD$10</c:f>
              <c:strCache>
                <c:ptCount val="25"/>
                <c:pt idx="0">
                  <c:v>1994 [YR1994]</c:v>
                </c:pt>
                <c:pt idx="1">
                  <c:v>1995 [YR1995]</c:v>
                </c:pt>
                <c:pt idx="2">
                  <c:v>1996 [YR1996]</c:v>
                </c:pt>
                <c:pt idx="3">
                  <c:v>1997 [YR1997]</c:v>
                </c:pt>
                <c:pt idx="4">
                  <c:v>1998 [YR1998]</c:v>
                </c:pt>
                <c:pt idx="5">
                  <c:v>1999 [YR1999]</c:v>
                </c:pt>
                <c:pt idx="6">
                  <c:v>2000 [YR2000]</c:v>
                </c:pt>
                <c:pt idx="7">
                  <c:v>2001 [YR2001]</c:v>
                </c:pt>
                <c:pt idx="8">
                  <c:v>2002 [YR2002]</c:v>
                </c:pt>
                <c:pt idx="9">
                  <c:v>2003 [YR2003]</c:v>
                </c:pt>
                <c:pt idx="10">
                  <c:v>2004 [YR2004]</c:v>
                </c:pt>
                <c:pt idx="11">
                  <c:v>2005 [YR2005]</c:v>
                </c:pt>
                <c:pt idx="12">
                  <c:v>2006 [YR2006]</c:v>
                </c:pt>
                <c:pt idx="13">
                  <c:v>2007 [YR2007]</c:v>
                </c:pt>
                <c:pt idx="14">
                  <c:v>2008 [YR2008]</c:v>
                </c:pt>
                <c:pt idx="15">
                  <c:v>2009 [YR2009]</c:v>
                </c:pt>
                <c:pt idx="16">
                  <c:v>2010 [YR2010]</c:v>
                </c:pt>
                <c:pt idx="17">
                  <c:v>2011 [YR2011]</c:v>
                </c:pt>
                <c:pt idx="18">
                  <c:v>2012 [YR2012]</c:v>
                </c:pt>
                <c:pt idx="19">
                  <c:v>2013 [YR2013]</c:v>
                </c:pt>
                <c:pt idx="20">
                  <c:v>2014 [YR2014]</c:v>
                </c:pt>
                <c:pt idx="21">
                  <c:v>2015 [YR2015]</c:v>
                </c:pt>
                <c:pt idx="22">
                  <c:v>2016 [YR2016]</c:v>
                </c:pt>
                <c:pt idx="23">
                  <c:v>2017 [YR2017]</c:v>
                </c:pt>
                <c:pt idx="24">
                  <c:v>2018 [YR2018]</c:v>
                </c:pt>
              </c:strCache>
            </c:strRef>
          </c:xVal>
          <c:yVal>
            <c:numRef>
              <c:f>Data!$F$13:$P$13</c:f>
              <c:numCache>
                <c:formatCode>General</c:formatCode>
                <c:ptCount val="11"/>
                <c:pt idx="0">
                  <c:v>10807700</c:v>
                </c:pt>
                <c:pt idx="1">
                  <c:v>9498000</c:v>
                </c:pt>
                <c:pt idx="2">
                  <c:v>9879000</c:v>
                </c:pt>
                <c:pt idx="3">
                  <c:v>11326900</c:v>
                </c:pt>
                <c:pt idx="4">
                  <c:v>11877700</c:v>
                </c:pt>
                <c:pt idx="5">
                  <c:v>12917600</c:v>
                </c:pt>
                <c:pt idx="6">
                  <c:v>13354314</c:v>
                </c:pt>
                <c:pt idx="7">
                  <c:v>13123426</c:v>
                </c:pt>
                <c:pt idx="8">
                  <c:v>12421220</c:v>
                </c:pt>
                <c:pt idx="9">
                  <c:v>11586025</c:v>
                </c:pt>
                <c:pt idx="10">
                  <c:v>11623925</c:v>
                </c:pt>
              </c:numCache>
            </c:numRef>
          </c:yVal>
          <c:smooth val="0"/>
          <c:extLst>
            <c:ext xmlns:c16="http://schemas.microsoft.com/office/drawing/2014/chart" uri="{C3380CC4-5D6E-409C-BE32-E72D297353CC}">
              <c16:uniqueId val="{00000002-48A3-7948-BD15-F5FA75FA71AD}"/>
            </c:ext>
          </c:extLst>
        </c:ser>
        <c:dLbls>
          <c:showLegendKey val="0"/>
          <c:showVal val="0"/>
          <c:showCatName val="0"/>
          <c:showSerName val="0"/>
          <c:showPercent val="0"/>
          <c:showBubbleSize val="0"/>
        </c:dLbls>
        <c:axId val="1914052463"/>
        <c:axId val="1202166063"/>
      </c:scatterChart>
      <c:valAx>
        <c:axId val="1914052463"/>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Years</a:t>
                </a:r>
                <a:r>
                  <a:rPr lang="en-US" baseline="0"/>
                  <a:t> Since 1994</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02166063"/>
        <c:crosses val="autoZero"/>
        <c:crossBetween val="midCat"/>
      </c:valAx>
      <c:valAx>
        <c:axId val="1202166063"/>
        <c:scaling>
          <c:orientation val="minMax"/>
          <c:max val="800000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Air Transport, Passengers Carried</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4052463"/>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2</Pages>
  <Words>279</Words>
  <Characters>1595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Blake George</dc:creator>
  <cp:keywords/>
  <dc:description/>
  <cp:lastModifiedBy>Chayanee</cp:lastModifiedBy>
  <cp:revision>5</cp:revision>
  <dcterms:created xsi:type="dcterms:W3CDTF">2019-01-30T16:51:00Z</dcterms:created>
  <dcterms:modified xsi:type="dcterms:W3CDTF">2019-02-06T05:11:00Z</dcterms:modified>
</cp:coreProperties>
</file>