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drawings/drawing1.xml" ContentType="application/vnd.openxmlformats-officedocument.drawingml.chartshap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28C213" w14:textId="77777777" w:rsidR="0093461D" w:rsidRPr="001123FE" w:rsidRDefault="0093461D" w:rsidP="001123FE">
      <w:pPr>
        <w:pStyle w:val="HeadingA"/>
        <w:spacing w:after="0"/>
        <w:rPr>
          <w:rFonts w:ascii="Cambria" w:hAnsi="Cambria"/>
          <w:b/>
          <w:szCs w:val="40"/>
        </w:rPr>
      </w:pPr>
      <w:r w:rsidRPr="001123FE">
        <w:rPr>
          <w:rFonts w:ascii="Cambria" w:hAnsi="Cambria"/>
          <w:b/>
          <w:szCs w:val="40"/>
        </w:rPr>
        <w:t>Chapter 17</w:t>
      </w:r>
    </w:p>
    <w:p w14:paraId="14AA5116" w14:textId="77777777" w:rsidR="0093461D" w:rsidRPr="001123FE" w:rsidRDefault="0093461D" w:rsidP="001123FE">
      <w:pPr>
        <w:pStyle w:val="HeadingA"/>
        <w:spacing w:after="0"/>
        <w:rPr>
          <w:rFonts w:ascii="Cambria" w:hAnsi="Cambria"/>
          <w:b/>
          <w:szCs w:val="40"/>
        </w:rPr>
      </w:pPr>
      <w:r w:rsidRPr="001123FE">
        <w:rPr>
          <w:rFonts w:ascii="Cambria" w:hAnsi="Cambria"/>
          <w:b/>
          <w:szCs w:val="40"/>
        </w:rPr>
        <w:t>Externalities and Public Goods</w:t>
      </w:r>
    </w:p>
    <w:p w14:paraId="64F567F8" w14:textId="77777777" w:rsidR="0093461D" w:rsidRPr="001123FE" w:rsidRDefault="0093461D" w:rsidP="001123FE">
      <w:pPr>
        <w:pBdr>
          <w:top w:val="single" w:sz="18" w:space="1" w:color="auto"/>
        </w:pBdr>
        <w:rPr>
          <w:rFonts w:ascii="Cambria" w:hAnsi="Cambria"/>
          <w:sz w:val="40"/>
          <w:szCs w:val="40"/>
        </w:rPr>
      </w:pPr>
    </w:p>
    <w:p w14:paraId="35A29107" w14:textId="77777777" w:rsidR="0093461D" w:rsidRPr="001123FE" w:rsidRDefault="0093461D" w:rsidP="001123FE">
      <w:pPr>
        <w:pStyle w:val="HeadingB"/>
        <w:spacing w:after="0"/>
        <w:rPr>
          <w:rFonts w:ascii="Cambria" w:hAnsi="Cambria"/>
          <w:sz w:val="40"/>
          <w:szCs w:val="40"/>
        </w:rPr>
      </w:pPr>
      <w:r w:rsidRPr="001123FE">
        <w:rPr>
          <w:rFonts w:ascii="Cambria" w:hAnsi="Cambria"/>
          <w:sz w:val="40"/>
          <w:szCs w:val="40"/>
        </w:rPr>
        <w:t xml:space="preserve">Solutions to </w:t>
      </w:r>
      <w:r w:rsidR="00016BC5" w:rsidRPr="001123FE">
        <w:rPr>
          <w:rFonts w:ascii="Cambria" w:hAnsi="Cambria"/>
          <w:sz w:val="40"/>
          <w:szCs w:val="40"/>
        </w:rPr>
        <w:t>Problems</w:t>
      </w:r>
    </w:p>
    <w:p w14:paraId="38A27DA7" w14:textId="77777777" w:rsidR="00A4627A" w:rsidRPr="001123FE" w:rsidRDefault="00A4627A" w:rsidP="001123FE">
      <w:pPr>
        <w:pStyle w:val="Question"/>
        <w:spacing w:before="0" w:after="0"/>
        <w:ind w:left="0" w:firstLine="0"/>
        <w:rPr>
          <w:rFonts w:ascii="Cambria" w:hAnsi="Cambria"/>
          <w:sz w:val="28"/>
          <w:szCs w:val="28"/>
        </w:rPr>
      </w:pPr>
    </w:p>
    <w:p w14:paraId="4CBB4DC7" w14:textId="77777777" w:rsidR="00A4627A" w:rsidRPr="001123FE" w:rsidRDefault="00036FF3" w:rsidP="001123FE">
      <w:pPr>
        <w:autoSpaceDE w:val="0"/>
        <w:autoSpaceDN w:val="0"/>
        <w:adjustRightInd w:val="0"/>
        <w:rPr>
          <w:rFonts w:ascii="Cambria" w:hAnsi="Cambria"/>
          <w:b/>
          <w:sz w:val="28"/>
          <w:szCs w:val="28"/>
        </w:rPr>
      </w:pPr>
      <w:r w:rsidRPr="001123FE">
        <w:rPr>
          <w:rFonts w:ascii="Cambria" w:hAnsi="Cambria"/>
          <w:b/>
          <w:bCs/>
          <w:sz w:val="28"/>
          <w:szCs w:val="28"/>
        </w:rPr>
        <w:t>1</w:t>
      </w:r>
      <w:r w:rsidR="00A4627A" w:rsidRPr="001123FE">
        <w:rPr>
          <w:rFonts w:ascii="Cambria" w:hAnsi="Cambria"/>
          <w:b/>
          <w:bCs/>
          <w:sz w:val="28"/>
          <w:szCs w:val="28"/>
        </w:rPr>
        <w:t xml:space="preserve">. </w:t>
      </w:r>
      <w:r w:rsidR="00A4627A" w:rsidRPr="001123FE">
        <w:rPr>
          <w:rFonts w:ascii="Cambria" w:hAnsi="Cambria"/>
          <w:b/>
          <w:sz w:val="28"/>
          <w:szCs w:val="28"/>
        </w:rPr>
        <w:t>Why does an otherwise competitive market with a negative externality produce more output than would be economically efficient?</w:t>
      </w:r>
    </w:p>
    <w:p w14:paraId="48A3AA87" w14:textId="77777777" w:rsidR="00A4627A" w:rsidRPr="001123FE" w:rsidRDefault="00A4627A" w:rsidP="001123FE">
      <w:pPr>
        <w:pStyle w:val="Question"/>
        <w:spacing w:before="0" w:after="0"/>
        <w:ind w:left="0" w:firstLine="0"/>
        <w:rPr>
          <w:rFonts w:ascii="Cambria" w:hAnsi="Cambria"/>
          <w:sz w:val="28"/>
          <w:szCs w:val="28"/>
        </w:rPr>
      </w:pPr>
    </w:p>
    <w:p w14:paraId="49D1D1B6" w14:textId="77777777" w:rsidR="0093461D" w:rsidRPr="001123FE" w:rsidRDefault="0093461D" w:rsidP="001123FE">
      <w:pPr>
        <w:pStyle w:val="Question"/>
        <w:spacing w:before="0" w:after="0"/>
        <w:ind w:left="0" w:firstLine="0"/>
        <w:rPr>
          <w:rFonts w:ascii="Cambria" w:hAnsi="Cambria"/>
          <w:sz w:val="28"/>
          <w:szCs w:val="28"/>
        </w:rPr>
      </w:pPr>
      <w:r w:rsidRPr="001123FE">
        <w:rPr>
          <w:rFonts w:ascii="Cambria" w:hAnsi="Cambria"/>
          <w:sz w:val="28"/>
          <w:szCs w:val="28"/>
        </w:rPr>
        <w:t>A competitive market with a negative externality produces more output than is socially optimal.  This occurs because the firms in the industry do not take into account the external costs associated with production; they only take into account their private costs.  Because they view the cost as lower than it actually is, they produce more than would be produced if they were forced to take into account the external costs.</w:t>
      </w:r>
    </w:p>
    <w:p w14:paraId="3A79D3B0" w14:textId="77777777" w:rsidR="00A4627A" w:rsidRPr="001123FE" w:rsidRDefault="00A4627A" w:rsidP="001123FE">
      <w:pPr>
        <w:autoSpaceDE w:val="0"/>
        <w:autoSpaceDN w:val="0"/>
        <w:adjustRightInd w:val="0"/>
        <w:rPr>
          <w:rFonts w:ascii="Cambria" w:hAnsi="Cambria"/>
          <w:b/>
          <w:bCs/>
          <w:sz w:val="28"/>
          <w:szCs w:val="28"/>
        </w:rPr>
      </w:pPr>
    </w:p>
    <w:p w14:paraId="6EBAD9A8" w14:textId="77777777" w:rsidR="00A4627A" w:rsidRPr="001123FE" w:rsidRDefault="00D12678" w:rsidP="001123FE">
      <w:pPr>
        <w:autoSpaceDE w:val="0"/>
        <w:autoSpaceDN w:val="0"/>
        <w:adjustRightInd w:val="0"/>
        <w:rPr>
          <w:rFonts w:ascii="Cambria" w:hAnsi="Cambria"/>
          <w:b/>
          <w:sz w:val="28"/>
          <w:szCs w:val="28"/>
        </w:rPr>
      </w:pPr>
      <w:r w:rsidRPr="001123FE">
        <w:rPr>
          <w:rFonts w:ascii="Cambria" w:hAnsi="Cambria"/>
          <w:b/>
          <w:bCs/>
          <w:sz w:val="28"/>
          <w:szCs w:val="28"/>
        </w:rPr>
        <w:t>6</w:t>
      </w:r>
      <w:r w:rsidR="00A4627A" w:rsidRPr="001123FE">
        <w:rPr>
          <w:rFonts w:ascii="Cambria" w:hAnsi="Cambria"/>
          <w:b/>
          <w:bCs/>
          <w:sz w:val="28"/>
          <w:szCs w:val="28"/>
        </w:rPr>
        <w:t xml:space="preserve">. </w:t>
      </w:r>
      <w:r w:rsidR="00A4627A" w:rsidRPr="001123FE">
        <w:rPr>
          <w:rFonts w:ascii="Cambria" w:hAnsi="Cambria"/>
          <w:b/>
          <w:sz w:val="28"/>
          <w:szCs w:val="28"/>
        </w:rPr>
        <w:t>Why does the free-rider problem make it difficult or impossible for markets to provide public goods efficiently?</w:t>
      </w:r>
    </w:p>
    <w:p w14:paraId="113CF041" w14:textId="77777777" w:rsidR="00A4627A" w:rsidRPr="001123FE" w:rsidRDefault="00A4627A" w:rsidP="001123FE">
      <w:pPr>
        <w:pStyle w:val="Question"/>
        <w:spacing w:before="0" w:after="0"/>
        <w:ind w:left="0" w:firstLine="0"/>
        <w:rPr>
          <w:rFonts w:ascii="Cambria" w:hAnsi="Cambria"/>
          <w:sz w:val="28"/>
          <w:szCs w:val="28"/>
        </w:rPr>
      </w:pPr>
    </w:p>
    <w:p w14:paraId="69D9A894" w14:textId="77777777" w:rsidR="0093461D" w:rsidRPr="001123FE" w:rsidRDefault="0093461D" w:rsidP="001123FE">
      <w:pPr>
        <w:pStyle w:val="Question"/>
        <w:spacing w:before="0" w:after="0"/>
        <w:ind w:left="0" w:firstLine="0"/>
        <w:rPr>
          <w:rFonts w:ascii="Cambria" w:hAnsi="Cambria"/>
          <w:sz w:val="28"/>
          <w:szCs w:val="28"/>
        </w:rPr>
      </w:pPr>
      <w:r w:rsidRPr="001123FE">
        <w:rPr>
          <w:rFonts w:ascii="Cambria" w:hAnsi="Cambria"/>
          <w:sz w:val="28"/>
          <w:szCs w:val="28"/>
        </w:rPr>
        <w:t>It is difficult to provide public goods efficiently when free riders exist.  Free riders will consume the good, but will pay nothing for the good, anticipating that others will pay.  It may therefore prove difficult to raise funds to finance a project with a public good, leading to an under-production of the good, or possibly even no provision of a good with positive net benefits.</w:t>
      </w:r>
    </w:p>
    <w:p w14:paraId="5E253418" w14:textId="77777777" w:rsidR="00F20342" w:rsidRPr="001123FE" w:rsidRDefault="00F20342" w:rsidP="001123FE">
      <w:pPr>
        <w:pStyle w:val="NormalIndent"/>
        <w:ind w:left="0"/>
        <w:rPr>
          <w:rFonts w:ascii="Cambria" w:hAnsi="Cambria"/>
          <w:sz w:val="28"/>
          <w:szCs w:val="28"/>
        </w:rPr>
      </w:pPr>
    </w:p>
    <w:p w14:paraId="544C5FFF" w14:textId="77777777" w:rsidR="00F20342" w:rsidRPr="001123FE" w:rsidRDefault="00D12678" w:rsidP="001123FE">
      <w:pPr>
        <w:autoSpaceDE w:val="0"/>
        <w:autoSpaceDN w:val="0"/>
        <w:adjustRightInd w:val="0"/>
        <w:rPr>
          <w:rFonts w:ascii="Cambria" w:hAnsi="Cambria"/>
          <w:b/>
          <w:sz w:val="28"/>
          <w:szCs w:val="28"/>
        </w:rPr>
      </w:pPr>
      <w:r w:rsidRPr="001123FE">
        <w:rPr>
          <w:rFonts w:ascii="Cambria" w:hAnsi="Cambria"/>
          <w:b/>
          <w:bCs/>
          <w:sz w:val="28"/>
          <w:szCs w:val="28"/>
        </w:rPr>
        <w:t>8</w:t>
      </w:r>
      <w:r w:rsidR="00F20342" w:rsidRPr="001123FE">
        <w:rPr>
          <w:rFonts w:ascii="Cambria" w:hAnsi="Cambria"/>
          <w:b/>
          <w:bCs/>
          <w:sz w:val="28"/>
          <w:szCs w:val="28"/>
        </w:rPr>
        <w:t xml:space="preserve">. </w:t>
      </w:r>
      <w:r w:rsidR="00F20342" w:rsidRPr="001123FE">
        <w:rPr>
          <w:rFonts w:ascii="Cambria" w:hAnsi="Cambria"/>
          <w:b/>
          <w:sz w:val="28"/>
          <w:szCs w:val="28"/>
        </w:rPr>
        <w:t>a) Explain why cigarette smoking is often described as a good with negative externalities.</w:t>
      </w:r>
    </w:p>
    <w:p w14:paraId="110BAD54" w14:textId="77777777" w:rsidR="00F20342" w:rsidRPr="001123FE" w:rsidRDefault="00F20342" w:rsidP="001123FE">
      <w:pPr>
        <w:autoSpaceDE w:val="0"/>
        <w:autoSpaceDN w:val="0"/>
        <w:adjustRightInd w:val="0"/>
        <w:rPr>
          <w:rFonts w:ascii="Cambria" w:hAnsi="Cambria"/>
          <w:b/>
          <w:sz w:val="28"/>
          <w:szCs w:val="28"/>
        </w:rPr>
      </w:pPr>
      <w:r w:rsidRPr="001123FE">
        <w:rPr>
          <w:rFonts w:ascii="Cambria" w:hAnsi="Cambria"/>
          <w:b/>
          <w:sz w:val="28"/>
          <w:szCs w:val="28"/>
        </w:rPr>
        <w:t>b) Why might a tax on cigarettes induce the market for cigarettes to perform more efficiently?</w:t>
      </w:r>
    </w:p>
    <w:p w14:paraId="08053461" w14:textId="77777777" w:rsidR="00F20342" w:rsidRPr="001123FE" w:rsidRDefault="00F20342" w:rsidP="001123FE">
      <w:pPr>
        <w:autoSpaceDE w:val="0"/>
        <w:autoSpaceDN w:val="0"/>
        <w:adjustRightInd w:val="0"/>
        <w:rPr>
          <w:rFonts w:ascii="Cambria" w:hAnsi="Cambria"/>
          <w:b/>
          <w:sz w:val="28"/>
          <w:szCs w:val="28"/>
        </w:rPr>
      </w:pPr>
      <w:r w:rsidRPr="001123FE">
        <w:rPr>
          <w:rFonts w:ascii="Cambria" w:hAnsi="Cambria"/>
          <w:b/>
          <w:sz w:val="28"/>
          <w:szCs w:val="28"/>
        </w:rPr>
        <w:t>c) How would you evaluate a proposal to ban cigarette smoking? Would a ban on smoking necessarily be economically efficient?</w:t>
      </w:r>
    </w:p>
    <w:p w14:paraId="4AB71DF1" w14:textId="77777777" w:rsidR="00F20342" w:rsidRPr="001123FE" w:rsidRDefault="00F20342" w:rsidP="001123FE">
      <w:pPr>
        <w:pStyle w:val="Question"/>
        <w:tabs>
          <w:tab w:val="left" w:pos="720"/>
        </w:tabs>
        <w:spacing w:before="0" w:after="0"/>
        <w:ind w:left="0" w:firstLine="0"/>
        <w:rPr>
          <w:rFonts w:ascii="Cambria" w:hAnsi="Cambria"/>
          <w:sz w:val="28"/>
          <w:szCs w:val="28"/>
        </w:rPr>
      </w:pPr>
    </w:p>
    <w:p w14:paraId="6E0482EF" w14:textId="77777777" w:rsidR="0093461D" w:rsidRPr="001123FE" w:rsidRDefault="0093461D" w:rsidP="001123FE">
      <w:pPr>
        <w:pStyle w:val="Question"/>
        <w:tabs>
          <w:tab w:val="left" w:pos="720"/>
        </w:tabs>
        <w:spacing w:before="0" w:after="0"/>
        <w:ind w:left="0" w:firstLine="0"/>
        <w:rPr>
          <w:rFonts w:ascii="Cambria" w:hAnsi="Cambria"/>
          <w:sz w:val="28"/>
          <w:szCs w:val="28"/>
        </w:rPr>
      </w:pPr>
      <w:r w:rsidRPr="001123FE">
        <w:rPr>
          <w:rFonts w:ascii="Cambria" w:hAnsi="Cambria"/>
          <w:sz w:val="28"/>
          <w:szCs w:val="28"/>
        </w:rPr>
        <w:t>a)</w:t>
      </w:r>
      <w:r w:rsidR="00F20342" w:rsidRPr="001123FE">
        <w:rPr>
          <w:rFonts w:ascii="Cambria" w:hAnsi="Cambria"/>
          <w:sz w:val="28"/>
          <w:szCs w:val="28"/>
        </w:rPr>
        <w:t xml:space="preserve">  </w:t>
      </w:r>
      <w:r w:rsidRPr="001123FE">
        <w:rPr>
          <w:rFonts w:ascii="Cambria" w:hAnsi="Cambria"/>
          <w:sz w:val="28"/>
          <w:szCs w:val="28"/>
        </w:rPr>
        <w:t xml:space="preserve">For </w:t>
      </w:r>
      <w:r w:rsidR="00DE10DC" w:rsidRPr="001123FE">
        <w:rPr>
          <w:rFonts w:ascii="Cambria" w:hAnsi="Cambria"/>
          <w:sz w:val="28"/>
          <w:szCs w:val="28"/>
        </w:rPr>
        <w:t>one</w:t>
      </w:r>
      <w:r w:rsidRPr="001123FE">
        <w:rPr>
          <w:rFonts w:ascii="Cambria" w:hAnsi="Cambria"/>
          <w:sz w:val="28"/>
          <w:szCs w:val="28"/>
        </w:rPr>
        <w:t>, by smoking in public, smokers force other individuals to breathe air with smoke, known as second-hand smoke.  In addition, the health problems associated with smoking force society to pay higher health care costs to pay for smoking related illnesses, both for smokers and for those who breathe second-hand smoke, than if no one in society smoked.</w:t>
      </w:r>
    </w:p>
    <w:p w14:paraId="3E20099A" w14:textId="77777777" w:rsidR="00F20342" w:rsidRPr="001123FE" w:rsidRDefault="00F20342" w:rsidP="001123FE">
      <w:pPr>
        <w:pStyle w:val="Answer"/>
        <w:spacing w:after="0"/>
        <w:ind w:left="0" w:firstLine="0"/>
        <w:rPr>
          <w:rFonts w:ascii="Cambria" w:hAnsi="Cambria"/>
          <w:sz w:val="28"/>
          <w:szCs w:val="28"/>
        </w:rPr>
      </w:pPr>
    </w:p>
    <w:p w14:paraId="6E1D3FAB" w14:textId="77777777" w:rsidR="0093461D" w:rsidRPr="001123FE" w:rsidRDefault="0093461D" w:rsidP="001123FE">
      <w:pPr>
        <w:pStyle w:val="Answer"/>
        <w:spacing w:after="0"/>
        <w:ind w:left="0" w:firstLine="0"/>
        <w:rPr>
          <w:rFonts w:ascii="Cambria" w:hAnsi="Cambria"/>
          <w:sz w:val="28"/>
          <w:szCs w:val="28"/>
        </w:rPr>
      </w:pPr>
      <w:r w:rsidRPr="001123FE">
        <w:rPr>
          <w:rFonts w:ascii="Cambria" w:hAnsi="Cambria"/>
          <w:sz w:val="28"/>
          <w:szCs w:val="28"/>
        </w:rPr>
        <w:t>b)</w:t>
      </w:r>
      <w:r w:rsidR="00F20342" w:rsidRPr="001123FE">
        <w:rPr>
          <w:rFonts w:ascii="Cambria" w:hAnsi="Cambria"/>
          <w:sz w:val="28"/>
          <w:szCs w:val="28"/>
        </w:rPr>
        <w:t xml:space="preserve">  </w:t>
      </w:r>
      <w:r w:rsidRPr="001123FE">
        <w:rPr>
          <w:rFonts w:ascii="Cambria" w:hAnsi="Cambria"/>
          <w:sz w:val="28"/>
          <w:szCs w:val="28"/>
        </w:rPr>
        <w:t xml:space="preserve">By imposing a tax on </w:t>
      </w:r>
      <w:proofErr w:type="gramStart"/>
      <w:r w:rsidRPr="001123FE">
        <w:rPr>
          <w:rFonts w:ascii="Cambria" w:hAnsi="Cambria"/>
          <w:sz w:val="28"/>
          <w:szCs w:val="28"/>
        </w:rPr>
        <w:t>cigarettes</w:t>
      </w:r>
      <w:proofErr w:type="gramEnd"/>
      <w:r w:rsidRPr="001123FE">
        <w:rPr>
          <w:rFonts w:ascii="Cambria" w:hAnsi="Cambria"/>
          <w:sz w:val="28"/>
          <w:szCs w:val="28"/>
        </w:rPr>
        <w:t xml:space="preserve"> the government increases the marginal private cost of smoking and forces the individual to take into account </w:t>
      </w:r>
      <w:r w:rsidR="00DE10DC" w:rsidRPr="001123FE">
        <w:rPr>
          <w:rFonts w:ascii="Cambria" w:hAnsi="Cambria"/>
          <w:sz w:val="28"/>
          <w:szCs w:val="28"/>
        </w:rPr>
        <w:t xml:space="preserve">(at least some of) </w:t>
      </w:r>
      <w:r w:rsidRPr="001123FE">
        <w:rPr>
          <w:rFonts w:ascii="Cambria" w:hAnsi="Cambria"/>
          <w:sz w:val="28"/>
          <w:szCs w:val="28"/>
        </w:rPr>
        <w:t>the negative externality associated with smoking.  This would likely reduce the level of smoking in society, pushing the equilibrium toward the socially efficient level of smoking.</w:t>
      </w:r>
    </w:p>
    <w:p w14:paraId="73208472" w14:textId="77777777" w:rsidR="00F20342" w:rsidRPr="001123FE" w:rsidRDefault="00F20342" w:rsidP="001123FE">
      <w:pPr>
        <w:pStyle w:val="Answer"/>
        <w:spacing w:after="0"/>
        <w:ind w:left="0" w:firstLine="0"/>
        <w:rPr>
          <w:rFonts w:ascii="Cambria" w:hAnsi="Cambria"/>
          <w:sz w:val="28"/>
          <w:szCs w:val="28"/>
        </w:rPr>
      </w:pPr>
    </w:p>
    <w:p w14:paraId="4185F709" w14:textId="77777777" w:rsidR="0093461D" w:rsidRPr="001123FE" w:rsidRDefault="0093461D" w:rsidP="001123FE">
      <w:pPr>
        <w:pStyle w:val="Answer"/>
        <w:spacing w:after="0"/>
        <w:ind w:left="0" w:firstLine="0"/>
        <w:rPr>
          <w:rFonts w:ascii="Cambria" w:hAnsi="Cambria"/>
          <w:sz w:val="28"/>
          <w:szCs w:val="28"/>
        </w:rPr>
      </w:pPr>
      <w:r w:rsidRPr="001123FE">
        <w:rPr>
          <w:rFonts w:ascii="Cambria" w:hAnsi="Cambria"/>
          <w:sz w:val="28"/>
          <w:szCs w:val="28"/>
        </w:rPr>
        <w:t>c)</w:t>
      </w:r>
      <w:r w:rsidR="00F20342" w:rsidRPr="001123FE">
        <w:rPr>
          <w:rFonts w:ascii="Cambria" w:hAnsi="Cambria"/>
          <w:sz w:val="28"/>
          <w:szCs w:val="28"/>
        </w:rPr>
        <w:t xml:space="preserve">  </w:t>
      </w:r>
      <w:r w:rsidRPr="001123FE">
        <w:rPr>
          <w:rFonts w:ascii="Cambria" w:hAnsi="Cambria"/>
          <w:sz w:val="28"/>
          <w:szCs w:val="28"/>
        </w:rPr>
        <w:t xml:space="preserve">A ban on smoking entirely is probably not socially efficient.  To evaluate such a ban, one would need to compare the marginal benefits with the marginal social costs.  The ban would only be socially efficient if the marginal social costs exceed the marginal </w:t>
      </w:r>
      <w:r w:rsidRPr="001123FE">
        <w:rPr>
          <w:rFonts w:ascii="Cambria" w:hAnsi="Cambria"/>
          <w:sz w:val="28"/>
          <w:szCs w:val="28"/>
        </w:rPr>
        <w:lastRenderedPageBreak/>
        <w:t>benefits at a level of zero.  This would not necessarily be socially efficient because it is possible that the marginal benefit of smoking exceeds the marginal social cost for low levels of smoking.</w:t>
      </w:r>
    </w:p>
    <w:p w14:paraId="16556A4D" w14:textId="77777777" w:rsidR="00E85DAB" w:rsidRPr="001123FE" w:rsidRDefault="00E85DAB" w:rsidP="001123FE">
      <w:pPr>
        <w:tabs>
          <w:tab w:val="left" w:pos="720"/>
        </w:tabs>
        <w:rPr>
          <w:rFonts w:ascii="Cambria" w:hAnsi="Cambria"/>
          <w:sz w:val="28"/>
          <w:szCs w:val="28"/>
        </w:rPr>
      </w:pPr>
    </w:p>
    <w:p w14:paraId="65DBC717" w14:textId="77777777" w:rsidR="00E85DAB" w:rsidRPr="001123FE" w:rsidRDefault="00F23951" w:rsidP="001123FE">
      <w:pPr>
        <w:autoSpaceDE w:val="0"/>
        <w:autoSpaceDN w:val="0"/>
        <w:adjustRightInd w:val="0"/>
        <w:rPr>
          <w:rFonts w:ascii="Cambria" w:hAnsi="Cambria"/>
          <w:b/>
          <w:sz w:val="28"/>
          <w:szCs w:val="28"/>
        </w:rPr>
      </w:pPr>
      <w:r w:rsidRPr="001123FE">
        <w:rPr>
          <w:rFonts w:ascii="Cambria" w:hAnsi="Cambria"/>
          <w:b/>
          <w:bCs/>
          <w:sz w:val="28"/>
          <w:szCs w:val="28"/>
        </w:rPr>
        <w:t>12</w:t>
      </w:r>
      <w:r w:rsidR="00E85DAB" w:rsidRPr="001123FE">
        <w:rPr>
          <w:rFonts w:ascii="Cambria" w:hAnsi="Cambria"/>
          <w:b/>
          <w:bCs/>
          <w:sz w:val="28"/>
          <w:szCs w:val="28"/>
        </w:rPr>
        <w:t xml:space="preserve">. </w:t>
      </w:r>
      <w:r w:rsidR="00E85DAB" w:rsidRPr="001123FE">
        <w:rPr>
          <w:rFonts w:ascii="Cambria" w:hAnsi="Cambria"/>
          <w:b/>
          <w:sz w:val="28"/>
          <w:szCs w:val="28"/>
        </w:rPr>
        <w:t xml:space="preserve">Consider a manufactured good whose production process generates pollution. The annual demand for the good is given by </w:t>
      </w:r>
      <w:proofErr w:type="spellStart"/>
      <w:r w:rsidR="00E85DAB" w:rsidRPr="001123FE">
        <w:rPr>
          <w:rFonts w:ascii="Cambria" w:hAnsi="Cambria"/>
          <w:b/>
          <w:i/>
          <w:iCs/>
          <w:sz w:val="28"/>
          <w:szCs w:val="28"/>
        </w:rPr>
        <w:t>Qd</w:t>
      </w:r>
      <w:proofErr w:type="spellEnd"/>
      <w:r w:rsidR="00E85DAB" w:rsidRPr="001123FE">
        <w:rPr>
          <w:rFonts w:ascii="Cambria" w:hAnsi="Cambria"/>
          <w:b/>
          <w:i/>
          <w:iCs/>
          <w:sz w:val="28"/>
          <w:szCs w:val="28"/>
        </w:rPr>
        <w:t xml:space="preserve"> </w:t>
      </w:r>
      <w:r w:rsidR="00E85DAB" w:rsidRPr="001123FE">
        <w:rPr>
          <w:rFonts w:ascii="Cambria" w:hAnsi="Cambria"/>
          <w:b/>
          <w:sz w:val="28"/>
          <w:szCs w:val="28"/>
        </w:rPr>
        <w:t>= 100 - 3</w:t>
      </w:r>
      <w:r w:rsidR="00E85DAB" w:rsidRPr="001123FE">
        <w:rPr>
          <w:rFonts w:ascii="Cambria" w:hAnsi="Cambria"/>
          <w:b/>
          <w:i/>
          <w:iCs/>
          <w:sz w:val="28"/>
          <w:szCs w:val="28"/>
        </w:rPr>
        <w:t>P</w:t>
      </w:r>
      <w:r w:rsidR="00E85DAB" w:rsidRPr="001123FE">
        <w:rPr>
          <w:rFonts w:ascii="Cambria" w:hAnsi="Cambria"/>
          <w:b/>
          <w:sz w:val="28"/>
          <w:szCs w:val="28"/>
        </w:rPr>
        <w:t xml:space="preserve">. The annual market supply is given by </w:t>
      </w:r>
      <w:r w:rsidR="00E85DAB" w:rsidRPr="001123FE">
        <w:rPr>
          <w:rFonts w:ascii="Cambria" w:hAnsi="Cambria"/>
          <w:b/>
          <w:i/>
          <w:iCs/>
          <w:sz w:val="28"/>
          <w:szCs w:val="28"/>
        </w:rPr>
        <w:t xml:space="preserve">Qs </w:t>
      </w:r>
      <w:r w:rsidR="00E85DAB" w:rsidRPr="001123FE">
        <w:rPr>
          <w:rFonts w:ascii="Cambria" w:hAnsi="Cambria"/>
          <w:b/>
          <w:sz w:val="28"/>
          <w:szCs w:val="28"/>
        </w:rPr>
        <w:t xml:space="preserve">= </w:t>
      </w:r>
      <w:r w:rsidR="00E85DAB" w:rsidRPr="001123FE">
        <w:rPr>
          <w:rFonts w:ascii="Cambria" w:hAnsi="Cambria"/>
          <w:b/>
          <w:i/>
          <w:iCs/>
          <w:sz w:val="28"/>
          <w:szCs w:val="28"/>
        </w:rPr>
        <w:t>P</w:t>
      </w:r>
      <w:r w:rsidR="00E85DAB" w:rsidRPr="001123FE">
        <w:rPr>
          <w:rFonts w:ascii="Cambria" w:hAnsi="Cambria"/>
          <w:b/>
          <w:sz w:val="28"/>
          <w:szCs w:val="28"/>
        </w:rPr>
        <w:t xml:space="preserve">. In both equations, </w:t>
      </w:r>
      <w:r w:rsidR="00E85DAB" w:rsidRPr="001123FE">
        <w:rPr>
          <w:rFonts w:ascii="Cambria" w:hAnsi="Cambria"/>
          <w:b/>
          <w:i/>
          <w:iCs/>
          <w:sz w:val="28"/>
          <w:szCs w:val="28"/>
        </w:rPr>
        <w:t xml:space="preserve">P </w:t>
      </w:r>
      <w:r w:rsidR="00E85DAB" w:rsidRPr="001123FE">
        <w:rPr>
          <w:rFonts w:ascii="Cambria" w:hAnsi="Cambria"/>
          <w:b/>
          <w:sz w:val="28"/>
          <w:szCs w:val="28"/>
        </w:rPr>
        <w:t>is the price in dollars per unit. For every unit of output produced, the industry emits one unit of pollution. The marginal damage from each unit of pollution is given by 2</w:t>
      </w:r>
      <w:r w:rsidR="00E85DAB" w:rsidRPr="001123FE">
        <w:rPr>
          <w:rFonts w:ascii="Cambria" w:hAnsi="Cambria"/>
          <w:b/>
          <w:i/>
          <w:iCs/>
          <w:sz w:val="28"/>
          <w:szCs w:val="28"/>
        </w:rPr>
        <w:t>Q</w:t>
      </w:r>
      <w:r w:rsidR="00E85DAB" w:rsidRPr="001123FE">
        <w:rPr>
          <w:rFonts w:ascii="Cambria" w:hAnsi="Cambria"/>
          <w:b/>
          <w:sz w:val="28"/>
          <w:szCs w:val="28"/>
        </w:rPr>
        <w:t>.</w:t>
      </w:r>
    </w:p>
    <w:p w14:paraId="3B71BA43" w14:textId="77777777" w:rsidR="00E85DAB" w:rsidRPr="001123FE" w:rsidRDefault="00E85DAB" w:rsidP="001123FE">
      <w:pPr>
        <w:autoSpaceDE w:val="0"/>
        <w:autoSpaceDN w:val="0"/>
        <w:adjustRightInd w:val="0"/>
        <w:rPr>
          <w:rFonts w:ascii="Cambria" w:hAnsi="Cambria"/>
          <w:b/>
          <w:sz w:val="28"/>
          <w:szCs w:val="28"/>
        </w:rPr>
      </w:pPr>
      <w:r w:rsidRPr="001123FE">
        <w:rPr>
          <w:rFonts w:ascii="Cambria" w:hAnsi="Cambria"/>
          <w:b/>
          <w:sz w:val="28"/>
          <w:szCs w:val="28"/>
        </w:rPr>
        <w:t>a) Find the equilibrium price and quantity in a market with no government intervention.</w:t>
      </w:r>
    </w:p>
    <w:p w14:paraId="3FABC1F6" w14:textId="77777777" w:rsidR="00E85DAB" w:rsidRPr="001123FE" w:rsidRDefault="00E85DAB" w:rsidP="001123FE">
      <w:pPr>
        <w:autoSpaceDE w:val="0"/>
        <w:autoSpaceDN w:val="0"/>
        <w:adjustRightInd w:val="0"/>
        <w:rPr>
          <w:rFonts w:ascii="Cambria" w:hAnsi="Cambria"/>
          <w:b/>
          <w:sz w:val="28"/>
          <w:szCs w:val="28"/>
        </w:rPr>
      </w:pPr>
      <w:r w:rsidRPr="001123FE">
        <w:rPr>
          <w:rFonts w:ascii="Cambria" w:hAnsi="Cambria"/>
          <w:b/>
          <w:sz w:val="28"/>
          <w:szCs w:val="28"/>
        </w:rPr>
        <w:t>c) Find the socially optimal quantity of the good. What is the socially optimal market price?</w:t>
      </w:r>
    </w:p>
    <w:p w14:paraId="292F9536" w14:textId="77777777" w:rsidR="00E85DAB" w:rsidRPr="001123FE" w:rsidRDefault="00E85DAB" w:rsidP="001123FE">
      <w:pPr>
        <w:autoSpaceDE w:val="0"/>
        <w:autoSpaceDN w:val="0"/>
        <w:adjustRightInd w:val="0"/>
        <w:rPr>
          <w:rFonts w:ascii="Cambria" w:hAnsi="Cambria"/>
          <w:b/>
          <w:sz w:val="28"/>
          <w:szCs w:val="28"/>
        </w:rPr>
      </w:pPr>
      <w:r w:rsidRPr="001123FE">
        <w:rPr>
          <w:rFonts w:ascii="Cambria" w:hAnsi="Cambria"/>
          <w:b/>
          <w:sz w:val="28"/>
          <w:szCs w:val="28"/>
        </w:rPr>
        <w:t>e) Suppose an emissions fee is imposed on producers. What emissions fee would induce the socially optimal quantity of the good?</w:t>
      </w:r>
    </w:p>
    <w:p w14:paraId="217BF683" w14:textId="77777777" w:rsidR="00E85DAB" w:rsidRPr="001123FE" w:rsidRDefault="00E85DAB" w:rsidP="001123FE">
      <w:pPr>
        <w:tabs>
          <w:tab w:val="left" w:pos="720"/>
        </w:tabs>
        <w:rPr>
          <w:rFonts w:ascii="Cambria" w:hAnsi="Cambria"/>
          <w:sz w:val="28"/>
          <w:szCs w:val="28"/>
        </w:rPr>
      </w:pPr>
    </w:p>
    <w:p w14:paraId="2BACB46A" w14:textId="77777777" w:rsidR="00A83782" w:rsidRPr="001123FE" w:rsidRDefault="00347B00" w:rsidP="001123FE">
      <w:pPr>
        <w:tabs>
          <w:tab w:val="left" w:pos="720"/>
        </w:tabs>
        <w:rPr>
          <w:rFonts w:ascii="Cambria" w:hAnsi="Cambria"/>
          <w:sz w:val="28"/>
          <w:szCs w:val="28"/>
        </w:rPr>
      </w:pPr>
      <w:r w:rsidRPr="001123FE">
        <w:rPr>
          <w:rFonts w:ascii="Cambria" w:hAnsi="Cambria"/>
          <w:sz w:val="28"/>
          <w:szCs w:val="28"/>
        </w:rPr>
        <w:t>a)</w:t>
      </w:r>
      <w:r w:rsidRPr="001123FE">
        <w:rPr>
          <w:rFonts w:ascii="Cambria" w:hAnsi="Cambria"/>
          <w:sz w:val="28"/>
          <w:szCs w:val="28"/>
        </w:rPr>
        <w:tab/>
        <w:t xml:space="preserve">100 – 3P = P </w:t>
      </w:r>
      <w:r w:rsidRPr="001123FE">
        <w:rPr>
          <w:rFonts w:ascii="Cambria" w:hAnsi="Cambria"/>
          <w:sz w:val="28"/>
          <w:szCs w:val="28"/>
        </w:rPr>
        <w:sym w:font="Symbol" w:char="F0DE"/>
      </w:r>
      <w:r w:rsidRPr="001123FE">
        <w:rPr>
          <w:rFonts w:ascii="Cambria" w:hAnsi="Cambria"/>
          <w:sz w:val="28"/>
          <w:szCs w:val="28"/>
        </w:rPr>
        <w:t xml:space="preserve"> </w:t>
      </w:r>
      <w:proofErr w:type="spellStart"/>
      <w:r w:rsidRPr="001123FE">
        <w:rPr>
          <w:rFonts w:ascii="Cambria" w:hAnsi="Cambria"/>
          <w:sz w:val="28"/>
          <w:szCs w:val="28"/>
        </w:rPr>
        <w:t>P</w:t>
      </w:r>
      <w:proofErr w:type="spellEnd"/>
      <w:r w:rsidRPr="001123FE">
        <w:rPr>
          <w:rFonts w:ascii="Cambria" w:hAnsi="Cambria"/>
          <w:sz w:val="28"/>
          <w:szCs w:val="28"/>
        </w:rPr>
        <w:t xml:space="preserve"> = 25 and Q = 25. </w:t>
      </w:r>
    </w:p>
    <w:p w14:paraId="1B922286" w14:textId="77777777" w:rsidR="00347B00" w:rsidRPr="001123FE" w:rsidRDefault="00A83782" w:rsidP="001123FE">
      <w:pPr>
        <w:tabs>
          <w:tab w:val="left" w:pos="720"/>
        </w:tabs>
        <w:rPr>
          <w:rFonts w:ascii="Cambria" w:hAnsi="Cambria"/>
          <w:sz w:val="28"/>
          <w:szCs w:val="28"/>
        </w:rPr>
      </w:pPr>
      <w:r w:rsidRPr="001123FE">
        <w:rPr>
          <w:rFonts w:ascii="Cambria" w:hAnsi="Cambria"/>
          <w:sz w:val="28"/>
          <w:szCs w:val="28"/>
        </w:rPr>
        <w:t>c)</w:t>
      </w:r>
      <w:r w:rsidRPr="001123FE">
        <w:rPr>
          <w:rFonts w:ascii="Cambria" w:hAnsi="Cambria"/>
          <w:sz w:val="28"/>
          <w:szCs w:val="28"/>
        </w:rPr>
        <w:tab/>
      </w:r>
      <w:r w:rsidR="00347B00" w:rsidRPr="001123FE">
        <w:rPr>
          <w:rFonts w:ascii="Cambria" w:hAnsi="Cambria"/>
          <w:sz w:val="28"/>
          <w:szCs w:val="28"/>
        </w:rPr>
        <w:t>MEC = 2Q, while MPC = Q. Thus, MSC = 3Q. To find the optimal quantity, we equate MSC to inverse demand, or 3Q = 100/3 – Q/3, or Q = 10. The socially optimal price would equal the marginal social cost at the optimal quantity, or P = 3(10) = $30.</w:t>
      </w:r>
    </w:p>
    <w:p w14:paraId="50432441" w14:textId="77777777" w:rsidR="00347B00" w:rsidRPr="001123FE" w:rsidRDefault="00A83782" w:rsidP="001123FE">
      <w:pPr>
        <w:rPr>
          <w:rFonts w:ascii="Cambria" w:hAnsi="Cambria"/>
          <w:sz w:val="28"/>
          <w:szCs w:val="28"/>
        </w:rPr>
      </w:pPr>
      <w:r w:rsidRPr="001123FE">
        <w:rPr>
          <w:rFonts w:ascii="Cambria" w:hAnsi="Cambria"/>
          <w:sz w:val="28"/>
          <w:szCs w:val="28"/>
        </w:rPr>
        <w:t>e)</w:t>
      </w:r>
      <w:r w:rsidRPr="001123FE">
        <w:rPr>
          <w:rFonts w:ascii="Cambria" w:hAnsi="Cambria"/>
          <w:sz w:val="28"/>
          <w:szCs w:val="28"/>
        </w:rPr>
        <w:tab/>
      </w:r>
      <w:r w:rsidR="00347B00" w:rsidRPr="001123FE">
        <w:rPr>
          <w:rFonts w:ascii="Cambria" w:hAnsi="Cambria"/>
          <w:sz w:val="28"/>
          <w:szCs w:val="28"/>
        </w:rPr>
        <w:t>The optimal emissions fee is equal to the difference between MSC and MPC at the socially optimal quantity. Since MSC = 3Q and MPC = Q, and Q = 10, the optimal emissions fee equals: 3(10) – 1(10) = $20 per unit.</w:t>
      </w:r>
    </w:p>
    <w:p w14:paraId="3AD2A695" w14:textId="77777777" w:rsidR="00347B00" w:rsidRPr="001123FE" w:rsidRDefault="00347B00" w:rsidP="001123FE">
      <w:pPr>
        <w:rPr>
          <w:rFonts w:ascii="Cambria" w:hAnsi="Cambria"/>
          <w:sz w:val="28"/>
          <w:szCs w:val="28"/>
        </w:rPr>
      </w:pPr>
    </w:p>
    <w:p w14:paraId="3D7CEC0F" w14:textId="4D43B6FF" w:rsidR="00347B00" w:rsidRPr="001123FE" w:rsidRDefault="00804414" w:rsidP="001123FE">
      <w:pPr>
        <w:rPr>
          <w:rFonts w:ascii="Cambria" w:hAnsi="Cambria"/>
          <w:sz w:val="28"/>
          <w:szCs w:val="28"/>
        </w:rPr>
      </w:pPr>
      <w:r w:rsidRPr="001123FE">
        <w:rPr>
          <w:rFonts w:ascii="Cambria" w:hAnsi="Cambria"/>
          <w:noProof/>
          <w:sz w:val="28"/>
          <w:szCs w:val="28"/>
        </w:rPr>
        <w:drawing>
          <wp:inline distT="0" distB="0" distL="0" distR="0" wp14:anchorId="59796629" wp14:editId="2151210B">
            <wp:extent cx="5067300" cy="3800475"/>
            <wp:effectExtent l="0" t="0" r="0" b="0"/>
            <wp:docPr id="15" name="Picture 15" descr="Chapter 17  Problem Fig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hapter 17  Problem Fig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067300" cy="3800475"/>
                    </a:xfrm>
                    <a:prstGeom prst="rect">
                      <a:avLst/>
                    </a:prstGeom>
                    <a:noFill/>
                    <a:ln>
                      <a:noFill/>
                    </a:ln>
                  </pic:spPr>
                </pic:pic>
              </a:graphicData>
            </a:graphic>
          </wp:inline>
        </w:drawing>
      </w:r>
    </w:p>
    <w:p w14:paraId="1EA1CD42" w14:textId="77777777" w:rsidR="00E85DAB" w:rsidRPr="001123FE" w:rsidRDefault="00E85DAB" w:rsidP="001123FE">
      <w:pPr>
        <w:pStyle w:val="NormalIndent"/>
        <w:ind w:left="0"/>
        <w:rPr>
          <w:rFonts w:ascii="Cambria" w:hAnsi="Cambria"/>
          <w:sz w:val="28"/>
          <w:szCs w:val="28"/>
        </w:rPr>
      </w:pPr>
    </w:p>
    <w:p w14:paraId="404C1FF6" w14:textId="5679BDF9" w:rsidR="00E85DAB" w:rsidRPr="001123FE" w:rsidRDefault="00F23951" w:rsidP="001123FE">
      <w:pPr>
        <w:autoSpaceDE w:val="0"/>
        <w:autoSpaceDN w:val="0"/>
        <w:adjustRightInd w:val="0"/>
        <w:rPr>
          <w:rFonts w:ascii="Cambria" w:hAnsi="Cambria"/>
          <w:b/>
          <w:sz w:val="28"/>
          <w:szCs w:val="28"/>
        </w:rPr>
      </w:pPr>
      <w:r w:rsidRPr="001123FE">
        <w:rPr>
          <w:rFonts w:ascii="Cambria" w:hAnsi="Cambria"/>
          <w:b/>
          <w:bCs/>
          <w:sz w:val="28"/>
          <w:szCs w:val="28"/>
        </w:rPr>
        <w:t>15</w:t>
      </w:r>
      <w:r w:rsidR="00E85DAB" w:rsidRPr="001123FE">
        <w:rPr>
          <w:rFonts w:ascii="Cambria" w:hAnsi="Cambria"/>
          <w:b/>
          <w:bCs/>
          <w:sz w:val="28"/>
          <w:szCs w:val="28"/>
        </w:rPr>
        <w:t xml:space="preserve">. </w:t>
      </w:r>
      <w:r w:rsidR="00E85DAB" w:rsidRPr="001123FE">
        <w:rPr>
          <w:rFonts w:ascii="Cambria" w:hAnsi="Cambria"/>
          <w:b/>
          <w:sz w:val="28"/>
          <w:szCs w:val="28"/>
        </w:rPr>
        <w:t xml:space="preserve">A firm can produce steel with or without a filter on its smokestack. If it produces without a filter, the external costs on the community are $500 per year. </w:t>
      </w:r>
      <w:r w:rsidR="00E85DAB" w:rsidRPr="001123FE">
        <w:rPr>
          <w:rFonts w:ascii="Cambria" w:hAnsi="Cambria"/>
          <w:b/>
          <w:sz w:val="28"/>
          <w:szCs w:val="28"/>
        </w:rPr>
        <w:lastRenderedPageBreak/>
        <w:t>If it produces with a filter, there are no external costs on the community, and the firm will incur an annual fixed cost of $300 for the filter.</w:t>
      </w:r>
    </w:p>
    <w:p w14:paraId="4373090B" w14:textId="77777777" w:rsidR="00E85DAB" w:rsidRPr="001123FE" w:rsidRDefault="00E85DAB" w:rsidP="001123FE">
      <w:pPr>
        <w:autoSpaceDE w:val="0"/>
        <w:autoSpaceDN w:val="0"/>
        <w:adjustRightInd w:val="0"/>
        <w:rPr>
          <w:rFonts w:ascii="Cambria" w:hAnsi="Cambria"/>
          <w:b/>
          <w:sz w:val="28"/>
          <w:szCs w:val="28"/>
        </w:rPr>
      </w:pPr>
      <w:r w:rsidRPr="001123FE">
        <w:rPr>
          <w:rFonts w:ascii="Cambria" w:hAnsi="Cambria"/>
          <w:b/>
          <w:sz w:val="28"/>
          <w:szCs w:val="28"/>
        </w:rPr>
        <w:t>a) Use the Coase Theorem to explain how costless bargaining will lead to a socially efficient outcome, regardless of whether the property rights are owned by the community or the producer.</w:t>
      </w:r>
    </w:p>
    <w:p w14:paraId="2ED507D7" w14:textId="77777777" w:rsidR="00E85DAB" w:rsidRPr="001123FE" w:rsidRDefault="00E85DAB" w:rsidP="001123FE">
      <w:pPr>
        <w:pStyle w:val="Question"/>
        <w:tabs>
          <w:tab w:val="left" w:pos="720"/>
        </w:tabs>
        <w:spacing w:before="0" w:after="0"/>
        <w:ind w:left="0" w:firstLine="0"/>
        <w:rPr>
          <w:rFonts w:ascii="Cambria" w:hAnsi="Cambria"/>
          <w:sz w:val="28"/>
          <w:szCs w:val="28"/>
        </w:rPr>
      </w:pPr>
    </w:p>
    <w:p w14:paraId="3D9A8EC9" w14:textId="3D1EBA8A" w:rsidR="000B0E45" w:rsidRPr="001123FE" w:rsidRDefault="001453ED" w:rsidP="001123FE">
      <w:pPr>
        <w:pStyle w:val="Question"/>
        <w:tabs>
          <w:tab w:val="left" w:pos="720"/>
        </w:tabs>
        <w:spacing w:before="0" w:after="0"/>
        <w:ind w:left="0" w:firstLine="0"/>
        <w:rPr>
          <w:rFonts w:ascii="Cambria" w:hAnsi="Cambria"/>
          <w:sz w:val="28"/>
          <w:szCs w:val="28"/>
        </w:rPr>
      </w:pPr>
      <w:r w:rsidRPr="001123FE">
        <w:rPr>
          <w:rFonts w:ascii="Cambria" w:hAnsi="Cambria"/>
          <w:sz w:val="28"/>
          <w:szCs w:val="28"/>
        </w:rPr>
        <w:t>a)</w:t>
      </w:r>
      <w:r w:rsidRPr="001123FE">
        <w:rPr>
          <w:rFonts w:ascii="Cambria" w:hAnsi="Cambria"/>
          <w:sz w:val="28"/>
          <w:szCs w:val="28"/>
        </w:rPr>
        <w:tab/>
        <w:t xml:space="preserve">If the firm installs the filter, the community benefits by $500 while the firm incurs a cost of $300.  </w:t>
      </w:r>
      <w:r w:rsidR="000B0E45" w:rsidRPr="001123FE">
        <w:rPr>
          <w:rFonts w:ascii="Cambria" w:hAnsi="Cambria"/>
          <w:sz w:val="28"/>
          <w:szCs w:val="28"/>
        </w:rPr>
        <w:t>The socially efficient outcome is for the firm to install the filter.</w:t>
      </w:r>
    </w:p>
    <w:p w14:paraId="6D647A07" w14:textId="5BFDFC5C" w:rsidR="001453ED" w:rsidRPr="001123FE" w:rsidRDefault="000B0E45" w:rsidP="001123FE">
      <w:pPr>
        <w:pStyle w:val="Answer"/>
        <w:spacing w:after="0"/>
        <w:ind w:left="0" w:firstLine="0"/>
        <w:rPr>
          <w:rFonts w:ascii="Cambria" w:hAnsi="Cambria"/>
          <w:sz w:val="28"/>
          <w:szCs w:val="28"/>
        </w:rPr>
      </w:pPr>
      <w:r w:rsidRPr="001123FE">
        <w:rPr>
          <w:rFonts w:ascii="Cambria" w:hAnsi="Cambria"/>
          <w:sz w:val="28"/>
          <w:szCs w:val="28"/>
        </w:rPr>
        <w:tab/>
      </w:r>
      <w:r w:rsidR="001453ED" w:rsidRPr="001123FE">
        <w:rPr>
          <w:rFonts w:ascii="Cambria" w:hAnsi="Cambria"/>
          <w:sz w:val="28"/>
          <w:szCs w:val="28"/>
        </w:rPr>
        <w:t>If the firm possesses the right to pollut</w:t>
      </w:r>
      <w:r w:rsidRPr="001123FE">
        <w:rPr>
          <w:rFonts w:ascii="Cambria" w:hAnsi="Cambria"/>
          <w:sz w:val="28"/>
          <w:szCs w:val="28"/>
        </w:rPr>
        <w:t>e, the community will have an incentive to pay the firm some price above $300 (perhaps $</w:t>
      </w:r>
      <w:r w:rsidR="003D725C">
        <w:rPr>
          <w:rFonts w:ascii="Cambria" w:hAnsi="Cambria"/>
          <w:sz w:val="28"/>
          <w:szCs w:val="28"/>
        </w:rPr>
        <w:t>301</w:t>
      </w:r>
      <w:r w:rsidRPr="001123FE">
        <w:rPr>
          <w:rFonts w:ascii="Cambria" w:hAnsi="Cambria"/>
          <w:sz w:val="28"/>
          <w:szCs w:val="28"/>
        </w:rPr>
        <w:t>) to induce the firm to install the filter.  Afterwards, the community would be $1</w:t>
      </w:r>
      <w:r w:rsidR="003D725C">
        <w:rPr>
          <w:rFonts w:ascii="Cambria" w:hAnsi="Cambria"/>
          <w:sz w:val="28"/>
          <w:szCs w:val="28"/>
        </w:rPr>
        <w:t>99</w:t>
      </w:r>
      <w:r w:rsidRPr="001123FE">
        <w:rPr>
          <w:rFonts w:ascii="Cambria" w:hAnsi="Cambria"/>
          <w:sz w:val="28"/>
          <w:szCs w:val="28"/>
        </w:rPr>
        <w:t xml:space="preserve"> better off and the firm would be $</w:t>
      </w:r>
      <w:r w:rsidR="003D725C">
        <w:rPr>
          <w:rFonts w:ascii="Cambria" w:hAnsi="Cambria"/>
          <w:sz w:val="28"/>
          <w:szCs w:val="28"/>
        </w:rPr>
        <w:t>1</w:t>
      </w:r>
      <w:r w:rsidRPr="001123FE">
        <w:rPr>
          <w:rFonts w:ascii="Cambria" w:hAnsi="Cambria"/>
          <w:sz w:val="28"/>
          <w:szCs w:val="28"/>
        </w:rPr>
        <w:t xml:space="preserve"> better off.</w:t>
      </w:r>
    </w:p>
    <w:p w14:paraId="42AA438C" w14:textId="2A1C4720" w:rsidR="000B0E45" w:rsidRPr="001123FE" w:rsidRDefault="000B0E45" w:rsidP="001123FE">
      <w:pPr>
        <w:pStyle w:val="Answer"/>
        <w:spacing w:after="0"/>
        <w:ind w:left="0" w:firstLine="0"/>
        <w:rPr>
          <w:rFonts w:ascii="Cambria" w:hAnsi="Cambria"/>
          <w:sz w:val="28"/>
          <w:szCs w:val="28"/>
        </w:rPr>
      </w:pPr>
      <w:r w:rsidRPr="001123FE">
        <w:rPr>
          <w:rFonts w:ascii="Cambria" w:hAnsi="Cambria"/>
          <w:sz w:val="28"/>
          <w:szCs w:val="28"/>
        </w:rPr>
        <w:tab/>
        <w:t>On the other hand, suppose the community possesses the right to prevent the firm from polluting.  The firm then has two choices: it could install the filter at a cost of $300 or it could compensate the community for the costs of its pollution by paying them $50</w:t>
      </w:r>
      <w:r w:rsidR="003D725C">
        <w:rPr>
          <w:rFonts w:ascii="Cambria" w:hAnsi="Cambria"/>
          <w:sz w:val="28"/>
          <w:szCs w:val="28"/>
        </w:rPr>
        <w:t>0</w:t>
      </w:r>
      <w:r w:rsidRPr="001123FE">
        <w:rPr>
          <w:rFonts w:ascii="Cambria" w:hAnsi="Cambria"/>
          <w:sz w:val="28"/>
          <w:szCs w:val="28"/>
        </w:rPr>
        <w:t>.  Since it’s clearly cheaper to install the filter, the firm will have a strong incentive to choose this socially efficient outcome.</w:t>
      </w:r>
    </w:p>
    <w:p w14:paraId="1555B80E" w14:textId="77777777" w:rsidR="00E85DAB" w:rsidRPr="001123FE" w:rsidRDefault="00E85DAB" w:rsidP="001123FE">
      <w:pPr>
        <w:pStyle w:val="NormalIndent"/>
        <w:ind w:left="0"/>
        <w:rPr>
          <w:rFonts w:ascii="Cambria" w:hAnsi="Cambria"/>
          <w:sz w:val="28"/>
          <w:szCs w:val="28"/>
        </w:rPr>
      </w:pPr>
    </w:p>
    <w:p w14:paraId="1482BF8A" w14:textId="77777777" w:rsidR="00E85DAB" w:rsidRPr="001123FE" w:rsidRDefault="00E85DAB" w:rsidP="001123FE">
      <w:pPr>
        <w:autoSpaceDE w:val="0"/>
        <w:autoSpaceDN w:val="0"/>
        <w:adjustRightInd w:val="0"/>
        <w:rPr>
          <w:rFonts w:ascii="Cambria" w:hAnsi="Cambria"/>
          <w:b/>
          <w:sz w:val="28"/>
          <w:szCs w:val="28"/>
        </w:rPr>
      </w:pPr>
      <w:r w:rsidRPr="001123FE">
        <w:rPr>
          <w:rFonts w:ascii="Cambria" w:hAnsi="Cambria"/>
          <w:b/>
          <w:bCs/>
          <w:sz w:val="28"/>
          <w:szCs w:val="28"/>
        </w:rPr>
        <w:t xml:space="preserve">16. </w:t>
      </w:r>
      <w:r w:rsidRPr="001123FE">
        <w:rPr>
          <w:rFonts w:ascii="Cambria" w:hAnsi="Cambria"/>
          <w:b/>
          <w:sz w:val="28"/>
          <w:szCs w:val="28"/>
        </w:rPr>
        <w:t>Suppose a factory located next to a river discharges pollution that causes $2 million worth of environmental damage to the residents downstream. The factory could completely eliminate the pollution by treating the water on location at a cost of $1.6 million. Alternatively, the residents could construct a water purification plant just upstream of their town, at a cost of $0.8 million, which would not completely eliminate the environmental damage to them but reduce it to $0.5 million. Under current law, the factory must compensate the town for any environmental damage the factory causes. Bargaining between the factory owner and the town is costless. What would the Coase Theorem imply about the outcome of bargaining between the town and the factory owner?</w:t>
      </w:r>
    </w:p>
    <w:p w14:paraId="76FACB6D" w14:textId="77777777" w:rsidR="00E85DAB" w:rsidRPr="001123FE" w:rsidRDefault="00E85DAB" w:rsidP="001123FE">
      <w:pPr>
        <w:rPr>
          <w:rFonts w:ascii="Cambria" w:hAnsi="Cambria"/>
          <w:sz w:val="28"/>
          <w:szCs w:val="28"/>
        </w:rPr>
      </w:pPr>
    </w:p>
    <w:p w14:paraId="0E5AFA94" w14:textId="77777777" w:rsidR="00E85DAB" w:rsidRPr="001123FE" w:rsidRDefault="00E85DAB" w:rsidP="001123FE">
      <w:pPr>
        <w:rPr>
          <w:rFonts w:ascii="Cambria" w:hAnsi="Cambria"/>
          <w:sz w:val="28"/>
          <w:szCs w:val="28"/>
        </w:rPr>
      </w:pPr>
      <w:r w:rsidRPr="001123FE">
        <w:rPr>
          <w:rFonts w:ascii="Cambria" w:hAnsi="Cambria"/>
          <w:sz w:val="28"/>
          <w:szCs w:val="28"/>
        </w:rPr>
        <w:t xml:space="preserve">There are three scenarios that could emerge: (a) status quo in which pollution damage is $2 million; (b) full elimination of pollution at a cost of $1.6 million; (c) construction of a water purification plant near the town for $0.8, which reduces pollution damage to $0.5 million. The Coase theorem predicts that bargaining would result in the option with the lowest total cost -- damage cost plus abatement cost -- which is (c), and that furthermore, this option would emerge irrespective of which party has the property rights. </w:t>
      </w:r>
    </w:p>
    <w:p w14:paraId="534BBB7C" w14:textId="77777777" w:rsidR="00E85DAB" w:rsidRPr="001123FE" w:rsidRDefault="00E85DAB" w:rsidP="001123FE">
      <w:pPr>
        <w:rPr>
          <w:rFonts w:ascii="Cambria" w:hAnsi="Cambria"/>
          <w:sz w:val="28"/>
          <w:szCs w:val="28"/>
        </w:rPr>
      </w:pPr>
    </w:p>
    <w:p w14:paraId="1B6454F9" w14:textId="77777777" w:rsidR="00E85DAB" w:rsidRPr="001123FE" w:rsidRDefault="00E85DAB" w:rsidP="001123FE">
      <w:pPr>
        <w:rPr>
          <w:rFonts w:ascii="Cambria" w:hAnsi="Cambria"/>
          <w:sz w:val="28"/>
          <w:szCs w:val="28"/>
        </w:rPr>
      </w:pPr>
      <w:r w:rsidRPr="001123FE">
        <w:rPr>
          <w:rFonts w:ascii="Cambria" w:hAnsi="Cambria"/>
          <w:sz w:val="28"/>
          <w:szCs w:val="28"/>
        </w:rPr>
        <w:t xml:space="preserve">In this case, because the town has the property rights, it could indeed force the factory to either pay $2 million in damages or to completely eliminate the pollution at a cost of $1.6 million. This suggests that the firm would be forced to eliminate the pollution for $1.6 million. But if bargaining is costless, we would imagine that the factory would approach the town and say: “Look, we have a better idea than this expensive solution. We will build you a purification plant near your town for $0.8 million. We know that this will not fully clean up the damage, and so we will compensate you $0.5 million for the remaining damage. We have reduced the damage by $1.5 million and compensated you for the remaining damage of $0.5 million. You are better off, and by the way, we are </w:t>
      </w:r>
      <w:r w:rsidRPr="001123FE">
        <w:rPr>
          <w:rFonts w:ascii="Cambria" w:hAnsi="Cambria"/>
          <w:sz w:val="28"/>
          <w:szCs w:val="28"/>
        </w:rPr>
        <w:lastRenderedPageBreak/>
        <w:t>better off, too, because this solution only costs us $1.3 million, rather than $1.6 million. This deal is win-win for both us.”</w:t>
      </w:r>
    </w:p>
    <w:p w14:paraId="731C8E86" w14:textId="77777777" w:rsidR="00E85DAB" w:rsidRPr="001123FE" w:rsidRDefault="00E85DAB" w:rsidP="001123FE">
      <w:pPr>
        <w:pStyle w:val="NormalIndent"/>
        <w:ind w:left="0"/>
        <w:rPr>
          <w:rFonts w:ascii="Cambria" w:hAnsi="Cambria"/>
          <w:sz w:val="28"/>
          <w:szCs w:val="28"/>
        </w:rPr>
      </w:pPr>
    </w:p>
    <w:p w14:paraId="2994A21E" w14:textId="77777777" w:rsidR="00E85DAB" w:rsidRPr="001123FE" w:rsidRDefault="00F23951" w:rsidP="001123FE">
      <w:pPr>
        <w:autoSpaceDE w:val="0"/>
        <w:autoSpaceDN w:val="0"/>
        <w:adjustRightInd w:val="0"/>
        <w:rPr>
          <w:rFonts w:ascii="Cambria" w:hAnsi="Cambria"/>
          <w:b/>
          <w:sz w:val="28"/>
          <w:szCs w:val="28"/>
        </w:rPr>
      </w:pPr>
      <w:r w:rsidRPr="001123FE">
        <w:rPr>
          <w:rFonts w:ascii="Cambria" w:hAnsi="Cambria"/>
          <w:b/>
          <w:bCs/>
          <w:sz w:val="28"/>
          <w:szCs w:val="28"/>
        </w:rPr>
        <w:t>18</w:t>
      </w:r>
      <w:r w:rsidR="00E85DAB" w:rsidRPr="001123FE">
        <w:rPr>
          <w:rFonts w:ascii="Cambria" w:hAnsi="Cambria"/>
          <w:b/>
          <w:bCs/>
          <w:sz w:val="28"/>
          <w:szCs w:val="28"/>
        </w:rPr>
        <w:t xml:space="preserve">. </w:t>
      </w:r>
      <w:r w:rsidR="00E85DAB" w:rsidRPr="001123FE">
        <w:rPr>
          <w:rFonts w:ascii="Cambria" w:hAnsi="Cambria"/>
          <w:b/>
          <w:sz w:val="28"/>
          <w:szCs w:val="28"/>
        </w:rPr>
        <w:t>There are three consumers of a public good. The demands for the consumers are as follows:</w:t>
      </w:r>
    </w:p>
    <w:p w14:paraId="461C210E" w14:textId="77777777" w:rsidR="00E85DAB" w:rsidRPr="001123FE" w:rsidRDefault="00E85DAB" w:rsidP="001123FE">
      <w:pPr>
        <w:autoSpaceDE w:val="0"/>
        <w:autoSpaceDN w:val="0"/>
        <w:adjustRightInd w:val="0"/>
        <w:rPr>
          <w:rFonts w:ascii="Cambria" w:hAnsi="Cambria"/>
          <w:b/>
          <w:i/>
          <w:iCs/>
          <w:sz w:val="28"/>
          <w:szCs w:val="28"/>
        </w:rPr>
      </w:pPr>
      <w:r w:rsidRPr="001123FE">
        <w:rPr>
          <w:rFonts w:ascii="Cambria" w:hAnsi="Cambria"/>
          <w:b/>
          <w:sz w:val="28"/>
          <w:szCs w:val="28"/>
        </w:rPr>
        <w:t xml:space="preserve">Consumer 1: </w:t>
      </w:r>
      <w:r w:rsidRPr="001123FE">
        <w:rPr>
          <w:rFonts w:ascii="Cambria" w:hAnsi="Cambria"/>
          <w:b/>
          <w:i/>
          <w:iCs/>
          <w:sz w:val="28"/>
          <w:szCs w:val="28"/>
        </w:rPr>
        <w:t>P</w:t>
      </w:r>
      <w:r w:rsidRPr="001123FE">
        <w:rPr>
          <w:rFonts w:ascii="Cambria" w:hAnsi="Cambria"/>
          <w:b/>
          <w:sz w:val="28"/>
          <w:szCs w:val="28"/>
        </w:rPr>
        <w:t xml:space="preserve">1 = 60 - </w:t>
      </w:r>
      <w:r w:rsidRPr="001123FE">
        <w:rPr>
          <w:rFonts w:ascii="Cambria" w:hAnsi="Cambria"/>
          <w:b/>
          <w:i/>
          <w:iCs/>
          <w:sz w:val="28"/>
          <w:szCs w:val="28"/>
        </w:rPr>
        <w:t>Q</w:t>
      </w:r>
    </w:p>
    <w:p w14:paraId="402CECDA" w14:textId="77777777" w:rsidR="00E85DAB" w:rsidRPr="001123FE" w:rsidRDefault="00E85DAB" w:rsidP="001123FE">
      <w:pPr>
        <w:autoSpaceDE w:val="0"/>
        <w:autoSpaceDN w:val="0"/>
        <w:adjustRightInd w:val="0"/>
        <w:rPr>
          <w:rFonts w:ascii="Cambria" w:hAnsi="Cambria"/>
          <w:b/>
          <w:i/>
          <w:iCs/>
          <w:sz w:val="28"/>
          <w:szCs w:val="28"/>
        </w:rPr>
      </w:pPr>
      <w:r w:rsidRPr="001123FE">
        <w:rPr>
          <w:rFonts w:ascii="Cambria" w:hAnsi="Cambria"/>
          <w:b/>
          <w:sz w:val="28"/>
          <w:szCs w:val="28"/>
        </w:rPr>
        <w:t xml:space="preserve">Consumer 2: </w:t>
      </w:r>
      <w:r w:rsidRPr="001123FE">
        <w:rPr>
          <w:rFonts w:ascii="Cambria" w:hAnsi="Cambria"/>
          <w:b/>
          <w:i/>
          <w:iCs/>
          <w:sz w:val="28"/>
          <w:szCs w:val="28"/>
        </w:rPr>
        <w:t>P</w:t>
      </w:r>
      <w:r w:rsidRPr="001123FE">
        <w:rPr>
          <w:rFonts w:ascii="Cambria" w:hAnsi="Cambria"/>
          <w:b/>
          <w:sz w:val="28"/>
          <w:szCs w:val="28"/>
        </w:rPr>
        <w:t xml:space="preserve">2 = 100 - </w:t>
      </w:r>
      <w:r w:rsidRPr="001123FE">
        <w:rPr>
          <w:rFonts w:ascii="Cambria" w:hAnsi="Cambria"/>
          <w:b/>
          <w:i/>
          <w:iCs/>
          <w:sz w:val="28"/>
          <w:szCs w:val="28"/>
        </w:rPr>
        <w:t>Q</w:t>
      </w:r>
    </w:p>
    <w:p w14:paraId="16874E13" w14:textId="77777777" w:rsidR="00E85DAB" w:rsidRPr="001123FE" w:rsidRDefault="00E85DAB" w:rsidP="001123FE">
      <w:pPr>
        <w:autoSpaceDE w:val="0"/>
        <w:autoSpaceDN w:val="0"/>
        <w:adjustRightInd w:val="0"/>
        <w:rPr>
          <w:rFonts w:ascii="Cambria" w:hAnsi="Cambria"/>
          <w:b/>
          <w:i/>
          <w:iCs/>
          <w:sz w:val="28"/>
          <w:szCs w:val="28"/>
        </w:rPr>
      </w:pPr>
      <w:r w:rsidRPr="001123FE">
        <w:rPr>
          <w:rFonts w:ascii="Cambria" w:hAnsi="Cambria"/>
          <w:b/>
          <w:sz w:val="28"/>
          <w:szCs w:val="28"/>
        </w:rPr>
        <w:t xml:space="preserve">Consumer 3: </w:t>
      </w:r>
      <w:r w:rsidRPr="001123FE">
        <w:rPr>
          <w:rFonts w:ascii="Cambria" w:hAnsi="Cambria"/>
          <w:b/>
          <w:i/>
          <w:iCs/>
          <w:sz w:val="28"/>
          <w:szCs w:val="28"/>
        </w:rPr>
        <w:t>P</w:t>
      </w:r>
      <w:r w:rsidRPr="001123FE">
        <w:rPr>
          <w:rFonts w:ascii="Cambria" w:hAnsi="Cambria"/>
          <w:b/>
          <w:sz w:val="28"/>
          <w:szCs w:val="28"/>
        </w:rPr>
        <w:t xml:space="preserve">3 = 140 - </w:t>
      </w:r>
      <w:r w:rsidRPr="001123FE">
        <w:rPr>
          <w:rFonts w:ascii="Cambria" w:hAnsi="Cambria"/>
          <w:b/>
          <w:i/>
          <w:iCs/>
          <w:sz w:val="28"/>
          <w:szCs w:val="28"/>
        </w:rPr>
        <w:t>Q</w:t>
      </w:r>
    </w:p>
    <w:p w14:paraId="5FCAF170" w14:textId="77777777" w:rsidR="00E85DAB" w:rsidRPr="001123FE" w:rsidRDefault="00E85DAB" w:rsidP="001123FE">
      <w:pPr>
        <w:autoSpaceDE w:val="0"/>
        <w:autoSpaceDN w:val="0"/>
        <w:adjustRightInd w:val="0"/>
        <w:rPr>
          <w:rFonts w:ascii="Cambria" w:hAnsi="Cambria"/>
          <w:b/>
          <w:sz w:val="28"/>
          <w:szCs w:val="28"/>
        </w:rPr>
      </w:pPr>
      <w:r w:rsidRPr="001123FE">
        <w:rPr>
          <w:rFonts w:ascii="Cambria" w:hAnsi="Cambria"/>
          <w:b/>
          <w:sz w:val="28"/>
          <w:szCs w:val="28"/>
        </w:rPr>
        <w:t xml:space="preserve">where </w:t>
      </w:r>
      <w:r w:rsidRPr="001123FE">
        <w:rPr>
          <w:rFonts w:ascii="Cambria" w:hAnsi="Cambria"/>
          <w:b/>
          <w:i/>
          <w:iCs/>
          <w:sz w:val="28"/>
          <w:szCs w:val="28"/>
        </w:rPr>
        <w:t xml:space="preserve">Q </w:t>
      </w:r>
      <w:r w:rsidRPr="001123FE">
        <w:rPr>
          <w:rFonts w:ascii="Cambria" w:hAnsi="Cambria"/>
          <w:b/>
          <w:sz w:val="28"/>
          <w:szCs w:val="28"/>
        </w:rPr>
        <w:t xml:space="preserve">measures the number of units of the good and </w:t>
      </w:r>
      <w:r w:rsidRPr="001123FE">
        <w:rPr>
          <w:rFonts w:ascii="Cambria" w:hAnsi="Cambria"/>
          <w:b/>
          <w:i/>
          <w:iCs/>
          <w:sz w:val="28"/>
          <w:szCs w:val="28"/>
        </w:rPr>
        <w:t xml:space="preserve">P </w:t>
      </w:r>
      <w:r w:rsidRPr="001123FE">
        <w:rPr>
          <w:rFonts w:ascii="Cambria" w:hAnsi="Cambria"/>
          <w:b/>
          <w:sz w:val="28"/>
          <w:szCs w:val="28"/>
        </w:rPr>
        <w:t>is the price in dollars. The marginal cost of the public good is $180. What is the economically efficient level of production of the good? Illustrate your answer on a clearly labeled graph.</w:t>
      </w:r>
    </w:p>
    <w:p w14:paraId="079D3AEB" w14:textId="77777777" w:rsidR="00E85DAB" w:rsidRPr="001123FE" w:rsidRDefault="00E85DAB" w:rsidP="001123FE">
      <w:pPr>
        <w:autoSpaceDE w:val="0"/>
        <w:autoSpaceDN w:val="0"/>
        <w:adjustRightInd w:val="0"/>
        <w:rPr>
          <w:rFonts w:ascii="Cambria" w:hAnsi="Cambria"/>
          <w:b/>
          <w:sz w:val="28"/>
          <w:szCs w:val="28"/>
        </w:rPr>
      </w:pPr>
    </w:p>
    <w:p w14:paraId="35EA0C0F" w14:textId="77777777" w:rsidR="0093461D" w:rsidRPr="001123FE" w:rsidRDefault="00804414" w:rsidP="001123FE">
      <w:pPr>
        <w:pStyle w:val="NormalIndent"/>
        <w:ind w:left="0"/>
        <w:rPr>
          <w:rFonts w:ascii="Cambria" w:hAnsi="Cambria"/>
          <w:sz w:val="28"/>
          <w:szCs w:val="28"/>
        </w:rPr>
      </w:pPr>
      <w:r w:rsidRPr="001123FE">
        <w:rPr>
          <w:rFonts w:ascii="Cambria" w:hAnsi="Cambria"/>
          <w:noProof/>
          <w:sz w:val="28"/>
          <w:szCs w:val="28"/>
        </w:rPr>
        <w:drawing>
          <wp:inline distT="0" distB="0" distL="0" distR="0" wp14:anchorId="406D56EC" wp14:editId="3DAC70DA">
            <wp:extent cx="4533900" cy="2762250"/>
            <wp:effectExtent l="0" t="0" r="0" b="0"/>
            <wp:docPr id="16" name="Object 1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6EDD6840" w14:textId="77777777" w:rsidR="0093461D" w:rsidRPr="001123FE" w:rsidRDefault="0093461D" w:rsidP="001123FE">
      <w:pPr>
        <w:pStyle w:val="NormalIndent"/>
        <w:ind w:left="0"/>
        <w:rPr>
          <w:rFonts w:ascii="Cambria" w:hAnsi="Cambria"/>
          <w:sz w:val="28"/>
          <w:szCs w:val="28"/>
        </w:rPr>
      </w:pPr>
    </w:p>
    <w:p w14:paraId="3EF5400F" w14:textId="77777777" w:rsidR="0093461D" w:rsidRPr="001123FE" w:rsidRDefault="0093461D" w:rsidP="001123FE">
      <w:pPr>
        <w:pStyle w:val="NormalIndent"/>
        <w:ind w:left="0"/>
        <w:rPr>
          <w:rFonts w:ascii="Cambria" w:hAnsi="Cambria"/>
          <w:sz w:val="28"/>
          <w:szCs w:val="28"/>
        </w:rPr>
      </w:pPr>
      <w:r w:rsidRPr="001123FE">
        <w:rPr>
          <w:rFonts w:ascii="Cambria" w:hAnsi="Cambria"/>
          <w:sz w:val="28"/>
          <w:szCs w:val="28"/>
        </w:rPr>
        <w:t xml:space="preserve">The economically efficient level of output occurs where </w:t>
      </w:r>
      <w:r w:rsidRPr="001123FE">
        <w:rPr>
          <w:rFonts w:ascii="Cambria" w:hAnsi="Cambria"/>
          <w:position w:val="-6"/>
          <w:sz w:val="28"/>
          <w:szCs w:val="28"/>
        </w:rPr>
        <w:object w:dxaOrig="1160" w:dyaOrig="279" w14:anchorId="1B7242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6pt;height:14.4pt" o:ole="">
            <v:imagedata r:id="rId9" o:title=""/>
          </v:shape>
          <o:OLEObject Type="Embed" ProgID="Equation.DSMT4" ShapeID="_x0000_i1025" DrawAspect="Content" ObjectID="_1649808500" r:id="rId10"/>
        </w:object>
      </w:r>
      <w:r w:rsidRPr="001123FE">
        <w:rPr>
          <w:rFonts w:ascii="Cambria" w:hAnsi="Cambria"/>
          <w:sz w:val="28"/>
          <w:szCs w:val="28"/>
        </w:rPr>
        <w:t xml:space="preserve">.  Since this occurs where all three consumers are in the </w:t>
      </w:r>
      <w:proofErr w:type="gramStart"/>
      <w:r w:rsidRPr="001123FE">
        <w:rPr>
          <w:rFonts w:ascii="Cambria" w:hAnsi="Cambria"/>
          <w:sz w:val="28"/>
          <w:szCs w:val="28"/>
        </w:rPr>
        <w:t>market</w:t>
      </w:r>
      <w:proofErr w:type="gramEnd"/>
      <w:r w:rsidRPr="001123FE">
        <w:rPr>
          <w:rFonts w:ascii="Cambria" w:hAnsi="Cambria"/>
          <w:sz w:val="28"/>
          <w:szCs w:val="28"/>
        </w:rPr>
        <w:t xml:space="preserve"> we have</w:t>
      </w:r>
    </w:p>
    <w:p w14:paraId="61A74D00" w14:textId="77777777" w:rsidR="0093461D" w:rsidRPr="001123FE" w:rsidRDefault="0093461D" w:rsidP="001123FE">
      <w:pPr>
        <w:pStyle w:val="NormalIndent"/>
        <w:ind w:left="0"/>
        <w:rPr>
          <w:rFonts w:ascii="Cambria" w:hAnsi="Cambria"/>
          <w:sz w:val="28"/>
          <w:szCs w:val="28"/>
        </w:rPr>
      </w:pPr>
    </w:p>
    <w:p w14:paraId="7A3F73E7" w14:textId="3F670C37" w:rsidR="00E85DAB" w:rsidRPr="001123FE" w:rsidRDefault="0093461D" w:rsidP="001123FE">
      <w:pPr>
        <w:pStyle w:val="MTDisplayEquation"/>
        <w:ind w:left="0"/>
        <w:rPr>
          <w:rFonts w:ascii="Cambria" w:hAnsi="Cambria"/>
          <w:sz w:val="28"/>
          <w:szCs w:val="28"/>
        </w:rPr>
      </w:pPr>
      <w:r w:rsidRPr="001123FE">
        <w:rPr>
          <w:rFonts w:ascii="Cambria" w:hAnsi="Cambria"/>
          <w:sz w:val="28"/>
          <w:szCs w:val="28"/>
        </w:rPr>
        <w:tab/>
      </w:r>
      <w:r w:rsidRPr="001123FE">
        <w:rPr>
          <w:rFonts w:ascii="Cambria" w:hAnsi="Cambria"/>
          <w:position w:val="-46"/>
          <w:sz w:val="28"/>
          <w:szCs w:val="28"/>
        </w:rPr>
        <w:object w:dxaOrig="3620" w:dyaOrig="1040" w14:anchorId="0963552F">
          <v:shape id="_x0000_i1026" type="#_x0000_t75" style="width:180.85pt;height:51.85pt" o:ole="">
            <v:imagedata r:id="rId11" o:title=""/>
          </v:shape>
          <o:OLEObject Type="Embed" ProgID="Equation.DSMT4" ShapeID="_x0000_i1026" DrawAspect="Content" ObjectID="_1649808501" r:id="rId12"/>
        </w:object>
      </w:r>
    </w:p>
    <w:sectPr w:rsidR="00E85DAB" w:rsidRPr="001123FE" w:rsidSect="009B1079">
      <w:pgSz w:w="11906" w:h="16838" w:code="9"/>
      <w:pgMar w:top="720" w:right="720" w:bottom="720" w:left="72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2CBD3E" w14:textId="77777777" w:rsidR="006D4E18" w:rsidRDefault="006D4E18">
      <w:r>
        <w:separator/>
      </w:r>
    </w:p>
  </w:endnote>
  <w:endnote w:type="continuationSeparator" w:id="0">
    <w:p w14:paraId="61B7CD8A" w14:textId="77777777" w:rsidR="006D4E18" w:rsidRDefault="006D4E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9DC74E" w14:textId="77777777" w:rsidR="006D4E18" w:rsidRDefault="006D4E18">
      <w:r>
        <w:separator/>
      </w:r>
    </w:p>
  </w:footnote>
  <w:footnote w:type="continuationSeparator" w:id="0">
    <w:p w14:paraId="5B7CE595" w14:textId="77777777" w:rsidR="006D4E18" w:rsidRDefault="006D4E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05AF65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4C8046E6"/>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7C8DF9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E78479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914A412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154A7B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C35E61B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574D8B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3ED2918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4FC7B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CE495F"/>
    <w:multiLevelType w:val="multilevel"/>
    <w:tmpl w:val="397CAAD8"/>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1440"/>
        </w:tabs>
        <w:ind w:left="144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1" w15:restartNumberingAfterBreak="0">
    <w:nsid w:val="11424AF6"/>
    <w:multiLevelType w:val="multilevel"/>
    <w:tmpl w:val="CE0087E4"/>
    <w:lvl w:ilvl="0">
      <w:start w:val="1"/>
      <w:numFmt w:val="decimal"/>
      <w:pStyle w:val="Problem"/>
      <w:lvlText w:val="2.%1."/>
      <w:lvlJc w:val="left"/>
      <w:pPr>
        <w:tabs>
          <w:tab w:val="num" w:pos="720"/>
        </w:tabs>
        <w:ind w:left="720" w:hanging="720"/>
      </w:pPr>
      <w:rPr>
        <w:rFonts w:hint="default"/>
      </w:rPr>
    </w:lvl>
    <w:lvl w:ilvl="1">
      <w:start w:val="1"/>
      <w:numFmt w:val="lowerLetter"/>
      <w:pStyle w:val="ProblemAnswer"/>
      <w:lvlText w:val="%2)"/>
      <w:lvlJc w:val="left"/>
      <w:pPr>
        <w:tabs>
          <w:tab w:val="num" w:pos="1440"/>
        </w:tabs>
        <w:ind w:left="144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 w15:restartNumberingAfterBreak="0">
    <w:nsid w:val="157E29D5"/>
    <w:multiLevelType w:val="multilevel"/>
    <w:tmpl w:val="010C7E3C"/>
    <w:lvl w:ilvl="0">
      <w:start w:val="1"/>
      <w:numFmt w:val="decimal"/>
      <w:lvlText w:val="2.%1."/>
      <w:lvlJc w:val="left"/>
      <w:pPr>
        <w:tabs>
          <w:tab w:val="num" w:pos="720"/>
        </w:tabs>
        <w:ind w:left="720" w:hanging="720"/>
      </w:pPr>
      <w:rPr>
        <w:rFonts w:hint="default"/>
      </w:rPr>
    </w:lvl>
    <w:lvl w:ilvl="1">
      <w:start w:val="1"/>
      <w:numFmt w:val="lowerLetter"/>
      <w:lvlText w:val="%2)"/>
      <w:lvlJc w:val="left"/>
      <w:pPr>
        <w:tabs>
          <w:tab w:val="num" w:pos="1440"/>
        </w:tabs>
        <w:ind w:left="1440" w:hanging="72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161C63B9"/>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3E591F6B"/>
    <w:multiLevelType w:val="multilevel"/>
    <w:tmpl w:val="A168B90C"/>
    <w:lvl w:ilvl="0">
      <w:start w:val="1"/>
      <w:numFmt w:val="decimal"/>
      <w:lvlText w:val="%1."/>
      <w:lvlJc w:val="left"/>
      <w:pPr>
        <w:tabs>
          <w:tab w:val="num" w:pos="720"/>
        </w:tabs>
        <w:ind w:left="720" w:hanging="720"/>
      </w:pPr>
    </w:lvl>
    <w:lvl w:ilvl="1">
      <w:start w:val="1"/>
      <w:numFmt w:val="upp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4B7E678B"/>
    <w:multiLevelType w:val="hybridMultilevel"/>
    <w:tmpl w:val="FEA48BDC"/>
    <w:lvl w:ilvl="0" w:tplc="A568323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63C36A90"/>
    <w:multiLevelType w:val="hybridMultilevel"/>
    <w:tmpl w:val="321A8D6A"/>
    <w:lvl w:ilvl="0" w:tplc="AE08071C">
      <w:start w:val="1"/>
      <w:numFmt w:val="lowerLetter"/>
      <w:lvlText w:val="%1)"/>
      <w:lvlJc w:val="left"/>
      <w:pPr>
        <w:ind w:left="720" w:hanging="360"/>
      </w:pPr>
      <w:rPr>
        <w:rFonts w:hint="default"/>
        <w:b w:val="0"/>
        <w:i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C6C3D3E"/>
    <w:multiLevelType w:val="hybridMultilevel"/>
    <w:tmpl w:val="C76AE16E"/>
    <w:lvl w:ilvl="0" w:tplc="9434180C">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num>
  <w:num w:numId="2">
    <w:abstractNumId w:val="17"/>
  </w:num>
  <w:num w:numId="3">
    <w:abstractNumId w:val="10"/>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num>
  <w:num w:numId="6">
    <w:abstractNumId w:val="11"/>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5"/>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doNotDisplayPageBoundaries/>
  <w:embedSystemFonts/>
  <w:activeWritingStyle w:appName="MSWord" w:lang="en-US" w:vendorID="64" w:dllVersion="5" w:nlCheck="1" w:checkStyle="1"/>
  <w:activeWritingStyle w:appName="MSWord" w:lang="en-US" w:vendorID="64" w:dllVersion="6" w:nlCheck="1" w:checkStyle="1"/>
  <w:activeWritingStyle w:appName="MSWord" w:lang="en-US" w:vendorID="64" w:dllVersion="4096" w:nlCheck="1" w:checkStyle="0"/>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0DC"/>
    <w:rsid w:val="00016BC5"/>
    <w:rsid w:val="00036FF3"/>
    <w:rsid w:val="0009506E"/>
    <w:rsid w:val="000B0E45"/>
    <w:rsid w:val="001123FE"/>
    <w:rsid w:val="001151A7"/>
    <w:rsid w:val="001453ED"/>
    <w:rsid w:val="00203FE9"/>
    <w:rsid w:val="002A7291"/>
    <w:rsid w:val="002C106E"/>
    <w:rsid w:val="002D0A28"/>
    <w:rsid w:val="003142AB"/>
    <w:rsid w:val="00314A6B"/>
    <w:rsid w:val="00316886"/>
    <w:rsid w:val="00347A2A"/>
    <w:rsid w:val="00347B00"/>
    <w:rsid w:val="00392A59"/>
    <w:rsid w:val="003A268E"/>
    <w:rsid w:val="003D2D2D"/>
    <w:rsid w:val="003D725C"/>
    <w:rsid w:val="00457580"/>
    <w:rsid w:val="00483512"/>
    <w:rsid w:val="004B1DB3"/>
    <w:rsid w:val="0050133F"/>
    <w:rsid w:val="005729F9"/>
    <w:rsid w:val="00591C0C"/>
    <w:rsid w:val="005A6FB8"/>
    <w:rsid w:val="005F712A"/>
    <w:rsid w:val="00605DB3"/>
    <w:rsid w:val="00607077"/>
    <w:rsid w:val="00644A1D"/>
    <w:rsid w:val="006B4E01"/>
    <w:rsid w:val="006D4E18"/>
    <w:rsid w:val="0070552A"/>
    <w:rsid w:val="007B7539"/>
    <w:rsid w:val="00804414"/>
    <w:rsid w:val="008A7EB9"/>
    <w:rsid w:val="0093461D"/>
    <w:rsid w:val="00986093"/>
    <w:rsid w:val="009B1079"/>
    <w:rsid w:val="00A15819"/>
    <w:rsid w:val="00A4627A"/>
    <w:rsid w:val="00A83782"/>
    <w:rsid w:val="00AB5755"/>
    <w:rsid w:val="00AB5EC6"/>
    <w:rsid w:val="00B36548"/>
    <w:rsid w:val="00B37766"/>
    <w:rsid w:val="00B56F3B"/>
    <w:rsid w:val="00BA7E77"/>
    <w:rsid w:val="00BE197C"/>
    <w:rsid w:val="00C05684"/>
    <w:rsid w:val="00C9059D"/>
    <w:rsid w:val="00CE1CB7"/>
    <w:rsid w:val="00D12678"/>
    <w:rsid w:val="00D65591"/>
    <w:rsid w:val="00DE10DC"/>
    <w:rsid w:val="00E07098"/>
    <w:rsid w:val="00E614F3"/>
    <w:rsid w:val="00E85DAB"/>
    <w:rsid w:val="00F10110"/>
    <w:rsid w:val="00F20342"/>
    <w:rsid w:val="00F23951"/>
    <w:rsid w:val="00F2544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8A2A022"/>
  <w15:chartTrackingRefBased/>
  <w15:docId w15:val="{68446549-0C25-437E-A78A-31C81039D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th-TH"/>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bidi="ar-SA"/>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Question">
    <w:name w:val="Question"/>
    <w:basedOn w:val="Normal"/>
    <w:next w:val="NormalIndent"/>
    <w:pPr>
      <w:spacing w:before="240" w:after="120"/>
      <w:ind w:left="720" w:hanging="720"/>
    </w:pPr>
  </w:style>
  <w:style w:type="paragraph" w:customStyle="1" w:styleId="HeadingA">
    <w:name w:val="Heading A"/>
    <w:basedOn w:val="Normal"/>
    <w:next w:val="Normal"/>
    <w:pPr>
      <w:spacing w:after="360"/>
    </w:pPr>
    <w:rPr>
      <w:sz w:val="40"/>
    </w:rPr>
  </w:style>
  <w:style w:type="paragraph" w:customStyle="1" w:styleId="HeadingB">
    <w:name w:val="Heading B"/>
    <w:basedOn w:val="Normal"/>
    <w:next w:val="Normal"/>
    <w:pPr>
      <w:spacing w:after="240"/>
    </w:pPr>
    <w:rPr>
      <w:b/>
      <w:i/>
      <w:sz w:val="32"/>
    </w:rPr>
  </w:style>
  <w:style w:type="paragraph" w:customStyle="1" w:styleId="Answer">
    <w:name w:val="Answer"/>
    <w:basedOn w:val="Normal"/>
    <w:next w:val="BodyTextIndent"/>
    <w:pPr>
      <w:spacing w:after="120"/>
      <w:ind w:left="1440" w:hanging="720"/>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Indent">
    <w:name w:val="Body Text Indent"/>
    <w:basedOn w:val="Normal"/>
    <w:pPr>
      <w:ind w:left="1440"/>
    </w:pPr>
  </w:style>
  <w:style w:type="paragraph" w:customStyle="1" w:styleId="MTDisplayEquation">
    <w:name w:val="MTDisplayEquation"/>
    <w:basedOn w:val="BodyTextIndent"/>
    <w:pPr>
      <w:tabs>
        <w:tab w:val="center" w:pos="4320"/>
        <w:tab w:val="right" w:pos="8640"/>
      </w:tabs>
    </w:pPr>
  </w:style>
  <w:style w:type="paragraph" w:styleId="NormalIndent">
    <w:name w:val="Normal Indent"/>
    <w:basedOn w:val="Normal"/>
    <w:pPr>
      <w:ind w:left="720"/>
    </w:pPr>
  </w:style>
  <w:style w:type="paragraph" w:customStyle="1" w:styleId="Problem">
    <w:name w:val="Problem"/>
    <w:basedOn w:val="Normal"/>
    <w:next w:val="NormalIndent"/>
    <w:pPr>
      <w:numPr>
        <w:numId w:val="6"/>
      </w:numPr>
      <w:spacing w:before="240" w:after="120"/>
    </w:pPr>
  </w:style>
  <w:style w:type="paragraph" w:customStyle="1" w:styleId="ProblemAnswer">
    <w:name w:val="Problem Answer"/>
    <w:basedOn w:val="Normal"/>
    <w:next w:val="BodyTextIndent"/>
    <w:pPr>
      <w:numPr>
        <w:ilvl w:val="1"/>
        <w:numId w:val="6"/>
      </w:numPr>
      <w:spacing w:after="120"/>
      <w:outlineLvl w:val="1"/>
    </w:pPr>
  </w:style>
  <w:style w:type="table" w:styleId="TableGrid">
    <w:name w:val="Table Grid"/>
    <w:basedOn w:val="TableNormal"/>
    <w:rsid w:val="00347B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E85DAB"/>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rsid w:val="00D12678"/>
    <w:rPr>
      <w:rFonts w:ascii="Segoe UI" w:hAnsi="Segoe UI" w:cs="Segoe UI"/>
      <w:sz w:val="18"/>
      <w:szCs w:val="18"/>
    </w:rPr>
  </w:style>
  <w:style w:type="character" w:customStyle="1" w:styleId="BalloonTextChar">
    <w:name w:val="Balloon Text Char"/>
    <w:link w:val="BalloonText"/>
    <w:rsid w:val="00D1267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Wiley%20Solutions%20Manual%20with%20Test%20Question%20Chapter.dot" TargetMode="Externa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5144766146993319"/>
          <c:y val="8.3650190114068435E-2"/>
          <c:w val="0.80178173719376389"/>
          <c:h val="0.6730038022813688"/>
        </c:manualLayout>
      </c:layout>
      <c:scatterChart>
        <c:scatterStyle val="lineMarker"/>
        <c:varyColors val="0"/>
        <c:ser>
          <c:idx val="0"/>
          <c:order val="0"/>
          <c:tx>
            <c:strRef>
              <c:f>Sheet1!$B$1</c:f>
              <c:strCache>
                <c:ptCount val="1"/>
                <c:pt idx="0">
                  <c:v>P1</c:v>
                </c:pt>
              </c:strCache>
            </c:strRef>
          </c:tx>
          <c:spPr>
            <a:ln w="25400">
              <a:solidFill>
                <a:srgbClr val="000000"/>
              </a:solidFill>
              <a:prstDash val="solid"/>
            </a:ln>
          </c:spPr>
          <c:marker>
            <c:symbol val="none"/>
          </c:marker>
          <c:xVal>
            <c:numRef>
              <c:f>Sheet1!$A$2:$A$10</c:f>
              <c:numCache>
                <c:formatCode>General</c:formatCode>
                <c:ptCount val="9"/>
                <c:pt idx="0">
                  <c:v>0</c:v>
                </c:pt>
                <c:pt idx="1">
                  <c:v>20</c:v>
                </c:pt>
                <c:pt idx="2">
                  <c:v>40</c:v>
                </c:pt>
                <c:pt idx="3">
                  <c:v>60</c:v>
                </c:pt>
                <c:pt idx="4">
                  <c:v>80</c:v>
                </c:pt>
                <c:pt idx="5">
                  <c:v>100</c:v>
                </c:pt>
                <c:pt idx="6">
                  <c:v>120</c:v>
                </c:pt>
                <c:pt idx="7">
                  <c:v>140</c:v>
                </c:pt>
                <c:pt idx="8">
                  <c:v>160</c:v>
                </c:pt>
              </c:numCache>
            </c:numRef>
          </c:xVal>
          <c:yVal>
            <c:numRef>
              <c:f>Sheet1!$B$2:$B$10</c:f>
              <c:numCache>
                <c:formatCode>General</c:formatCode>
                <c:ptCount val="9"/>
                <c:pt idx="0">
                  <c:v>60</c:v>
                </c:pt>
                <c:pt idx="1">
                  <c:v>40</c:v>
                </c:pt>
                <c:pt idx="2">
                  <c:v>20</c:v>
                </c:pt>
                <c:pt idx="3">
                  <c:v>0</c:v>
                </c:pt>
              </c:numCache>
            </c:numRef>
          </c:yVal>
          <c:smooth val="0"/>
          <c:extLst>
            <c:ext xmlns:c16="http://schemas.microsoft.com/office/drawing/2014/chart" uri="{C3380CC4-5D6E-409C-BE32-E72D297353CC}">
              <c16:uniqueId val="{00000000-4C53-4426-91CA-912F3F849D65}"/>
            </c:ext>
          </c:extLst>
        </c:ser>
        <c:ser>
          <c:idx val="1"/>
          <c:order val="1"/>
          <c:tx>
            <c:strRef>
              <c:f>Sheet1!$C$1</c:f>
              <c:strCache>
                <c:ptCount val="1"/>
                <c:pt idx="0">
                  <c:v>P2</c:v>
                </c:pt>
              </c:strCache>
            </c:strRef>
          </c:tx>
          <c:spPr>
            <a:ln w="25400">
              <a:solidFill>
                <a:srgbClr val="000000"/>
              </a:solidFill>
              <a:prstDash val="solid"/>
            </a:ln>
          </c:spPr>
          <c:marker>
            <c:symbol val="none"/>
          </c:marker>
          <c:xVal>
            <c:numRef>
              <c:f>Sheet1!$A$2:$A$10</c:f>
              <c:numCache>
                <c:formatCode>General</c:formatCode>
                <c:ptCount val="9"/>
                <c:pt idx="0">
                  <c:v>0</c:v>
                </c:pt>
                <c:pt idx="1">
                  <c:v>20</c:v>
                </c:pt>
                <c:pt idx="2">
                  <c:v>40</c:v>
                </c:pt>
                <c:pt idx="3">
                  <c:v>60</c:v>
                </c:pt>
                <c:pt idx="4">
                  <c:v>80</c:v>
                </c:pt>
                <c:pt idx="5">
                  <c:v>100</c:v>
                </c:pt>
                <c:pt idx="6">
                  <c:v>120</c:v>
                </c:pt>
                <c:pt idx="7">
                  <c:v>140</c:v>
                </c:pt>
                <c:pt idx="8">
                  <c:v>160</c:v>
                </c:pt>
              </c:numCache>
            </c:numRef>
          </c:xVal>
          <c:yVal>
            <c:numRef>
              <c:f>Sheet1!$C$2:$C$10</c:f>
              <c:numCache>
                <c:formatCode>General</c:formatCode>
                <c:ptCount val="9"/>
                <c:pt idx="0">
                  <c:v>100</c:v>
                </c:pt>
                <c:pt idx="1">
                  <c:v>80</c:v>
                </c:pt>
                <c:pt idx="2">
                  <c:v>60</c:v>
                </c:pt>
                <c:pt idx="3">
                  <c:v>40</c:v>
                </c:pt>
                <c:pt idx="4">
                  <c:v>20</c:v>
                </c:pt>
                <c:pt idx="5">
                  <c:v>0</c:v>
                </c:pt>
              </c:numCache>
            </c:numRef>
          </c:yVal>
          <c:smooth val="0"/>
          <c:extLst>
            <c:ext xmlns:c16="http://schemas.microsoft.com/office/drawing/2014/chart" uri="{C3380CC4-5D6E-409C-BE32-E72D297353CC}">
              <c16:uniqueId val="{00000001-4C53-4426-91CA-912F3F849D65}"/>
            </c:ext>
          </c:extLst>
        </c:ser>
        <c:ser>
          <c:idx val="2"/>
          <c:order val="2"/>
          <c:tx>
            <c:strRef>
              <c:f>Sheet1!$D$1</c:f>
              <c:strCache>
                <c:ptCount val="1"/>
                <c:pt idx="0">
                  <c:v>P3</c:v>
                </c:pt>
              </c:strCache>
            </c:strRef>
          </c:tx>
          <c:spPr>
            <a:ln w="25400">
              <a:solidFill>
                <a:srgbClr val="000000"/>
              </a:solidFill>
              <a:prstDash val="solid"/>
            </a:ln>
          </c:spPr>
          <c:marker>
            <c:symbol val="none"/>
          </c:marker>
          <c:xVal>
            <c:numRef>
              <c:f>Sheet1!$A$2:$A$10</c:f>
              <c:numCache>
                <c:formatCode>General</c:formatCode>
                <c:ptCount val="9"/>
                <c:pt idx="0">
                  <c:v>0</c:v>
                </c:pt>
                <c:pt idx="1">
                  <c:v>20</c:v>
                </c:pt>
                <c:pt idx="2">
                  <c:v>40</c:v>
                </c:pt>
                <c:pt idx="3">
                  <c:v>60</c:v>
                </c:pt>
                <c:pt idx="4">
                  <c:v>80</c:v>
                </c:pt>
                <c:pt idx="5">
                  <c:v>100</c:v>
                </c:pt>
                <c:pt idx="6">
                  <c:v>120</c:v>
                </c:pt>
                <c:pt idx="7">
                  <c:v>140</c:v>
                </c:pt>
                <c:pt idx="8">
                  <c:v>160</c:v>
                </c:pt>
              </c:numCache>
            </c:numRef>
          </c:xVal>
          <c:yVal>
            <c:numRef>
              <c:f>Sheet1!$D$2:$D$10</c:f>
              <c:numCache>
                <c:formatCode>General</c:formatCode>
                <c:ptCount val="9"/>
                <c:pt idx="0">
                  <c:v>140</c:v>
                </c:pt>
                <c:pt idx="1">
                  <c:v>120</c:v>
                </c:pt>
                <c:pt idx="2">
                  <c:v>100</c:v>
                </c:pt>
                <c:pt idx="3">
                  <c:v>80</c:v>
                </c:pt>
                <c:pt idx="4">
                  <c:v>60</c:v>
                </c:pt>
                <c:pt idx="5">
                  <c:v>40</c:v>
                </c:pt>
                <c:pt idx="6">
                  <c:v>20</c:v>
                </c:pt>
                <c:pt idx="7">
                  <c:v>0</c:v>
                </c:pt>
              </c:numCache>
            </c:numRef>
          </c:yVal>
          <c:smooth val="0"/>
          <c:extLst>
            <c:ext xmlns:c16="http://schemas.microsoft.com/office/drawing/2014/chart" uri="{C3380CC4-5D6E-409C-BE32-E72D297353CC}">
              <c16:uniqueId val="{00000002-4C53-4426-91CA-912F3F849D65}"/>
            </c:ext>
          </c:extLst>
        </c:ser>
        <c:ser>
          <c:idx val="3"/>
          <c:order val="3"/>
          <c:tx>
            <c:strRef>
              <c:f>Sheet1!$E$1</c:f>
              <c:strCache>
                <c:ptCount val="1"/>
                <c:pt idx="0">
                  <c:v>Total</c:v>
                </c:pt>
              </c:strCache>
            </c:strRef>
          </c:tx>
          <c:spPr>
            <a:ln w="25400">
              <a:solidFill>
                <a:srgbClr val="000000"/>
              </a:solidFill>
              <a:prstDash val="solid"/>
            </a:ln>
          </c:spPr>
          <c:marker>
            <c:symbol val="none"/>
          </c:marker>
          <c:xVal>
            <c:numRef>
              <c:f>Sheet1!$A$2:$A$10</c:f>
              <c:numCache>
                <c:formatCode>General</c:formatCode>
                <c:ptCount val="9"/>
                <c:pt idx="0">
                  <c:v>0</c:v>
                </c:pt>
                <c:pt idx="1">
                  <c:v>20</c:v>
                </c:pt>
                <c:pt idx="2">
                  <c:v>40</c:v>
                </c:pt>
                <c:pt idx="3">
                  <c:v>60</c:v>
                </c:pt>
                <c:pt idx="4">
                  <c:v>80</c:v>
                </c:pt>
                <c:pt idx="5">
                  <c:v>100</c:v>
                </c:pt>
                <c:pt idx="6">
                  <c:v>120</c:v>
                </c:pt>
                <c:pt idx="7">
                  <c:v>140</c:v>
                </c:pt>
                <c:pt idx="8">
                  <c:v>160</c:v>
                </c:pt>
              </c:numCache>
            </c:numRef>
          </c:xVal>
          <c:yVal>
            <c:numRef>
              <c:f>Sheet1!$E$2:$E$10</c:f>
              <c:numCache>
                <c:formatCode>General</c:formatCode>
                <c:ptCount val="9"/>
                <c:pt idx="0">
                  <c:v>300</c:v>
                </c:pt>
                <c:pt idx="1">
                  <c:v>240</c:v>
                </c:pt>
                <c:pt idx="2">
                  <c:v>180</c:v>
                </c:pt>
                <c:pt idx="3">
                  <c:v>120</c:v>
                </c:pt>
                <c:pt idx="4">
                  <c:v>80</c:v>
                </c:pt>
                <c:pt idx="5">
                  <c:v>40</c:v>
                </c:pt>
                <c:pt idx="6">
                  <c:v>20</c:v>
                </c:pt>
                <c:pt idx="7">
                  <c:v>0</c:v>
                </c:pt>
              </c:numCache>
            </c:numRef>
          </c:yVal>
          <c:smooth val="0"/>
          <c:extLst>
            <c:ext xmlns:c16="http://schemas.microsoft.com/office/drawing/2014/chart" uri="{C3380CC4-5D6E-409C-BE32-E72D297353CC}">
              <c16:uniqueId val="{00000003-4C53-4426-91CA-912F3F849D65}"/>
            </c:ext>
          </c:extLst>
        </c:ser>
        <c:ser>
          <c:idx val="4"/>
          <c:order val="4"/>
          <c:tx>
            <c:strRef>
              <c:f>Sheet1!$F$1</c:f>
              <c:strCache>
                <c:ptCount val="1"/>
                <c:pt idx="0">
                  <c:v>MC</c:v>
                </c:pt>
              </c:strCache>
            </c:strRef>
          </c:tx>
          <c:spPr>
            <a:ln w="25400">
              <a:solidFill>
                <a:srgbClr val="000000"/>
              </a:solidFill>
              <a:prstDash val="solid"/>
            </a:ln>
          </c:spPr>
          <c:marker>
            <c:symbol val="none"/>
          </c:marker>
          <c:xVal>
            <c:numRef>
              <c:f>Sheet1!$A$2:$A$10</c:f>
              <c:numCache>
                <c:formatCode>General</c:formatCode>
                <c:ptCount val="9"/>
                <c:pt idx="0">
                  <c:v>0</c:v>
                </c:pt>
                <c:pt idx="1">
                  <c:v>20</c:v>
                </c:pt>
                <c:pt idx="2">
                  <c:v>40</c:v>
                </c:pt>
                <c:pt idx="3">
                  <c:v>60</c:v>
                </c:pt>
                <c:pt idx="4">
                  <c:v>80</c:v>
                </c:pt>
                <c:pt idx="5">
                  <c:v>100</c:v>
                </c:pt>
                <c:pt idx="6">
                  <c:v>120</c:v>
                </c:pt>
                <c:pt idx="7">
                  <c:v>140</c:v>
                </c:pt>
                <c:pt idx="8">
                  <c:v>160</c:v>
                </c:pt>
              </c:numCache>
            </c:numRef>
          </c:xVal>
          <c:yVal>
            <c:numRef>
              <c:f>Sheet1!$F$2:$F$10</c:f>
              <c:numCache>
                <c:formatCode>General</c:formatCode>
                <c:ptCount val="9"/>
                <c:pt idx="0">
                  <c:v>180</c:v>
                </c:pt>
                <c:pt idx="1">
                  <c:v>180</c:v>
                </c:pt>
                <c:pt idx="2">
                  <c:v>180</c:v>
                </c:pt>
                <c:pt idx="3">
                  <c:v>180</c:v>
                </c:pt>
                <c:pt idx="4">
                  <c:v>180</c:v>
                </c:pt>
                <c:pt idx="5">
                  <c:v>180</c:v>
                </c:pt>
                <c:pt idx="6">
                  <c:v>180</c:v>
                </c:pt>
                <c:pt idx="7">
                  <c:v>180</c:v>
                </c:pt>
                <c:pt idx="8">
                  <c:v>180</c:v>
                </c:pt>
              </c:numCache>
            </c:numRef>
          </c:yVal>
          <c:smooth val="0"/>
          <c:extLst>
            <c:ext xmlns:c16="http://schemas.microsoft.com/office/drawing/2014/chart" uri="{C3380CC4-5D6E-409C-BE32-E72D297353CC}">
              <c16:uniqueId val="{00000004-4C53-4426-91CA-912F3F849D65}"/>
            </c:ext>
          </c:extLst>
        </c:ser>
        <c:dLbls>
          <c:showLegendKey val="0"/>
          <c:showVal val="0"/>
          <c:showCatName val="0"/>
          <c:showSerName val="0"/>
          <c:showPercent val="0"/>
          <c:showBubbleSize val="0"/>
        </c:dLbls>
        <c:axId val="74455359"/>
        <c:axId val="1"/>
      </c:scatterChart>
      <c:valAx>
        <c:axId val="74455359"/>
        <c:scaling>
          <c:orientation val="minMax"/>
        </c:scaling>
        <c:delete val="0"/>
        <c:axPos val="b"/>
        <c:title>
          <c:tx>
            <c:rich>
              <a:bodyPr/>
              <a:lstStyle/>
              <a:p>
                <a:pPr>
                  <a:defRPr sz="950" b="1" i="0" u="none" strike="noStrike" baseline="0">
                    <a:solidFill>
                      <a:srgbClr val="000000"/>
                    </a:solidFill>
                    <a:latin typeface="Arial"/>
                    <a:ea typeface="Arial"/>
                    <a:cs typeface="Arial"/>
                  </a:defRPr>
                </a:pPr>
                <a:r>
                  <a:rPr lang="en-US"/>
                  <a:t>Quantity</a:t>
                </a:r>
              </a:p>
            </c:rich>
          </c:tx>
          <c:layout>
            <c:manualLayout>
              <c:xMode val="edge"/>
              <c:yMode val="edge"/>
              <c:x val="0.48775055679287305"/>
              <c:y val="0.87072243346007605"/>
            </c:manualLayout>
          </c:layout>
          <c:overlay val="0"/>
          <c:spPr>
            <a:noFill/>
            <a:ln w="25400">
              <a:noFill/>
            </a:ln>
          </c:spPr>
        </c:title>
        <c:numFmt formatCode="General" sourceLinked="1"/>
        <c:majorTickMark val="out"/>
        <c:minorTickMark val="none"/>
        <c:tickLblPos val="nextTo"/>
        <c:spPr>
          <a:ln w="3175">
            <a:solidFill>
              <a:srgbClr val="000000"/>
            </a:solidFill>
            <a:prstDash val="solid"/>
          </a:ln>
        </c:spPr>
        <c:txPr>
          <a:bodyPr rot="0" vert="horz"/>
          <a:lstStyle/>
          <a:p>
            <a:pPr>
              <a:defRPr sz="950" b="0" i="0" u="none" strike="noStrike" baseline="0">
                <a:solidFill>
                  <a:srgbClr val="000000"/>
                </a:solidFill>
                <a:latin typeface="Arial"/>
                <a:ea typeface="Arial"/>
                <a:cs typeface="Arial"/>
              </a:defRPr>
            </a:pPr>
            <a:endParaRPr lang="th-TH"/>
          </a:p>
        </c:txPr>
        <c:crossAx val="1"/>
        <c:crosses val="autoZero"/>
        <c:crossBetween val="midCat"/>
      </c:valAx>
      <c:valAx>
        <c:axId val="1"/>
        <c:scaling>
          <c:orientation val="minMax"/>
        </c:scaling>
        <c:delete val="0"/>
        <c:axPos val="l"/>
        <c:title>
          <c:tx>
            <c:rich>
              <a:bodyPr/>
              <a:lstStyle/>
              <a:p>
                <a:pPr>
                  <a:defRPr sz="950" b="1" i="0" u="none" strike="noStrike" baseline="0">
                    <a:solidFill>
                      <a:srgbClr val="000000"/>
                    </a:solidFill>
                    <a:latin typeface="Arial"/>
                    <a:ea typeface="Arial"/>
                    <a:cs typeface="Arial"/>
                  </a:defRPr>
                </a:pPr>
                <a:r>
                  <a:rPr lang="en-US"/>
                  <a:t>Price</a:t>
                </a:r>
              </a:p>
            </c:rich>
          </c:tx>
          <c:layout>
            <c:manualLayout>
              <c:xMode val="edge"/>
              <c:yMode val="edge"/>
              <c:x val="2.4498886414253896E-2"/>
              <c:y val="0.34600760456273766"/>
            </c:manualLayout>
          </c:layout>
          <c:overlay val="0"/>
          <c:spPr>
            <a:noFill/>
            <a:ln w="25400">
              <a:noFill/>
            </a:ln>
          </c:spPr>
        </c:title>
        <c:numFmt formatCode="General" sourceLinked="1"/>
        <c:majorTickMark val="out"/>
        <c:minorTickMark val="none"/>
        <c:tickLblPos val="nextTo"/>
        <c:spPr>
          <a:ln w="3175">
            <a:solidFill>
              <a:srgbClr val="000000"/>
            </a:solidFill>
            <a:prstDash val="solid"/>
          </a:ln>
        </c:spPr>
        <c:txPr>
          <a:bodyPr rot="0" vert="horz"/>
          <a:lstStyle/>
          <a:p>
            <a:pPr>
              <a:defRPr sz="950" b="0" i="0" u="none" strike="noStrike" baseline="0">
                <a:solidFill>
                  <a:srgbClr val="000000"/>
                </a:solidFill>
                <a:latin typeface="Arial"/>
                <a:ea typeface="Arial"/>
                <a:cs typeface="Arial"/>
              </a:defRPr>
            </a:pPr>
            <a:endParaRPr lang="th-TH"/>
          </a:p>
        </c:txPr>
        <c:crossAx val="74455359"/>
        <c:crosses val="autoZero"/>
        <c:crossBetween val="midCat"/>
      </c:valAx>
      <c:spPr>
        <a:noFill/>
        <a:ln w="25400">
          <a:noFill/>
        </a:ln>
      </c:spPr>
    </c:plotArea>
    <c:plotVisOnly val="1"/>
    <c:dispBlanksAs val="gap"/>
    <c:showDLblsOverMax val="0"/>
  </c:chart>
  <c:spPr>
    <a:solidFill>
      <a:srgbClr val="FFFFFF"/>
    </a:solidFill>
    <a:ln w="3175">
      <a:solidFill>
        <a:srgbClr val="000000"/>
      </a:solidFill>
      <a:prstDash val="solid"/>
    </a:ln>
  </c:spPr>
  <c:txPr>
    <a:bodyPr/>
    <a:lstStyle/>
    <a:p>
      <a:pPr>
        <a:defRPr sz="950" b="0" i="0" u="none" strike="noStrike" baseline="0">
          <a:solidFill>
            <a:srgbClr val="000000"/>
          </a:solidFill>
          <a:latin typeface="Arial"/>
          <a:ea typeface="Arial"/>
          <a:cs typeface="Arial"/>
        </a:defRPr>
      </a:pPr>
      <a:endParaRPr lang="th-TH"/>
    </a:p>
  </c:txPr>
  <c:externalData r:id="rId1">
    <c:autoUpdate val="0"/>
  </c:externalData>
  <c:userShapes r:id="rId2"/>
</c:chartSpace>
</file>

<file path=word/drawings/drawing1.xml><?xml version="1.0" encoding="utf-8"?>
<c:userShapes xmlns:c="http://schemas.openxmlformats.org/drawingml/2006/chart">
  <cdr:relSizeAnchor xmlns:cdr="http://schemas.openxmlformats.org/drawingml/2006/chartDrawing">
    <cdr:from>
      <cdr:x>0.38425</cdr:x>
      <cdr:y>0.69025</cdr:y>
    </cdr:from>
    <cdr:to>
      <cdr:x>0.4445</cdr:x>
      <cdr:y>0.78525</cdr:y>
    </cdr:to>
    <cdr:sp macro="" textlink="">
      <cdr:nvSpPr>
        <cdr:cNvPr id="3073" name="Text Box 1">
          <a:extLst xmlns:a="http://schemas.openxmlformats.org/drawingml/2006/main">
            <a:ext uri="{FF2B5EF4-FFF2-40B4-BE49-F238E27FC236}">
              <a16:creationId xmlns:a16="http://schemas.microsoft.com/office/drawing/2014/main" id="{914AB9E4-5C86-4863-9AD3-E24EE4CD4A3E}"/>
            </a:ext>
          </a:extLst>
        </cdr:cNvPr>
        <cdr:cNvSpPr txBox="1">
          <a:spLocks xmlns:a="http://schemas.openxmlformats.org/drawingml/2006/main" noChangeArrowheads="1"/>
        </cdr:cNvSpPr>
      </cdr:nvSpPr>
      <cdr:spPr bwMode="auto">
        <a:xfrm xmlns:a="http://schemas.openxmlformats.org/drawingml/2006/main">
          <a:off x="1643332" y="1729128"/>
          <a:ext cx="257672" cy="237982"/>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a:ext uri="{909E8E84-426E-40DD-AFC4-6F175D3DCCD1}">
            <a14:hiddenFill xmlns:a14="http://schemas.microsoft.com/office/drawing/2010/main">
              <a:solidFill>
                <a:srgbClr xmlns:mc="http://schemas.openxmlformats.org/markup-compatibility/2006" val="FFFFFF" mc:Ignorable="a14" a14:legacySpreadsheetColorIndex="9"/>
              </a:solidFill>
            </a14:hiddenFill>
          </a:ext>
          <a:ext uri="{91240B29-F687-4F45-9708-019B960494DF}">
            <a14:hiddenLine xmlns:a14="http://schemas.microsoft.com/office/drawing/2010/main" w="9525">
              <a:solidFill>
                <a:srgbClr xmlns:mc="http://schemas.openxmlformats.org/markup-compatibility/2006" val="000000" mc:Ignorable="a14" a14:legacySpreadsheetColorIndex="64"/>
              </a:solidFill>
              <a:miter lim="800000"/>
              <a:headEnd/>
              <a:tailEnd/>
            </a14:hiddenLine>
          </a:ext>
        </a:extLst>
      </cdr:spPr>
      <cdr:txBody>
        <a:bodyPr xmlns:a="http://schemas.openxmlformats.org/drawingml/2006/main" wrap="none" lIns="18288" tIns="27432" rIns="0" bIns="0" anchor="t" upright="1">
          <a:spAutoFit/>
        </a:bodyPr>
        <a:lstStyle xmlns:a="http://schemas.openxmlformats.org/drawingml/2006/main"/>
        <a:p xmlns:a="http://schemas.openxmlformats.org/drawingml/2006/main">
          <a:pPr algn="l" rtl="0">
            <a:defRPr sz="1000"/>
          </a:pPr>
          <a:r>
            <a:rPr lang="th-TH" sz="1125" b="0" i="0" u="none" strike="noStrike" baseline="0">
              <a:solidFill>
                <a:srgbClr val="000000"/>
              </a:solidFill>
              <a:latin typeface="Times New Roman"/>
            </a:rPr>
            <a:t>D1</a:t>
          </a:r>
        </a:p>
      </cdr:txBody>
    </cdr:sp>
  </cdr:relSizeAnchor>
  <cdr:relSizeAnchor xmlns:cdr="http://schemas.openxmlformats.org/drawingml/2006/chartDrawing">
    <cdr:from>
      <cdr:x>0.55025</cdr:x>
      <cdr:y>0.69025</cdr:y>
    </cdr:from>
    <cdr:to>
      <cdr:x>0.6105</cdr:x>
      <cdr:y>0.78525</cdr:y>
    </cdr:to>
    <cdr:sp macro="" textlink="">
      <cdr:nvSpPr>
        <cdr:cNvPr id="3074" name="Text Box 2">
          <a:extLst xmlns:a="http://schemas.openxmlformats.org/drawingml/2006/main">
            <a:ext uri="{FF2B5EF4-FFF2-40B4-BE49-F238E27FC236}">
              <a16:creationId xmlns:a16="http://schemas.microsoft.com/office/drawing/2014/main" id="{16462BE6-6581-47CD-8D24-8E2314EBFF20}"/>
            </a:ext>
          </a:extLst>
        </cdr:cNvPr>
        <cdr:cNvSpPr txBox="1">
          <a:spLocks xmlns:a="http://schemas.openxmlformats.org/drawingml/2006/main" noChangeArrowheads="1"/>
        </cdr:cNvSpPr>
      </cdr:nvSpPr>
      <cdr:spPr bwMode="auto">
        <a:xfrm xmlns:a="http://schemas.openxmlformats.org/drawingml/2006/main">
          <a:off x="2353268" y="1729128"/>
          <a:ext cx="257673" cy="237982"/>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a:ext uri="{909E8E84-426E-40DD-AFC4-6F175D3DCCD1}">
            <a14:hiddenFill xmlns:a14="http://schemas.microsoft.com/office/drawing/2010/main">
              <a:solidFill>
                <a:srgbClr xmlns:mc="http://schemas.openxmlformats.org/markup-compatibility/2006" val="FFFFFF" mc:Ignorable="a14" a14:legacySpreadsheetColorIndex="9"/>
              </a:solidFill>
            </a14:hiddenFill>
          </a:ext>
          <a:ext uri="{91240B29-F687-4F45-9708-019B960494DF}">
            <a14:hiddenLine xmlns:a14="http://schemas.microsoft.com/office/drawing/2010/main" w="9525">
              <a:solidFill>
                <a:srgbClr xmlns:mc="http://schemas.openxmlformats.org/markup-compatibility/2006" val="000000" mc:Ignorable="a14" a14:legacySpreadsheetColorIndex="64"/>
              </a:solidFill>
              <a:miter lim="800000"/>
              <a:headEnd/>
              <a:tailEnd/>
            </a14:hiddenLine>
          </a:ext>
        </a:extLst>
      </cdr:spPr>
      <cdr:txBody>
        <a:bodyPr xmlns:a="http://schemas.openxmlformats.org/drawingml/2006/main" wrap="none" lIns="18288" tIns="27432" rIns="0" bIns="0" anchor="t" upright="1">
          <a:spAutoFit/>
        </a:bodyPr>
        <a:lstStyle xmlns:a="http://schemas.openxmlformats.org/drawingml/2006/main"/>
        <a:p xmlns:a="http://schemas.openxmlformats.org/drawingml/2006/main">
          <a:pPr algn="l" rtl="0">
            <a:defRPr sz="1000"/>
          </a:pPr>
          <a:r>
            <a:rPr lang="th-TH" sz="1125" b="0" i="0" u="none" strike="noStrike" baseline="0">
              <a:solidFill>
                <a:srgbClr val="000000"/>
              </a:solidFill>
              <a:latin typeface="Times New Roman"/>
            </a:rPr>
            <a:t>D2</a:t>
          </a:r>
        </a:p>
      </cdr:txBody>
    </cdr:sp>
  </cdr:relSizeAnchor>
  <cdr:relSizeAnchor xmlns:cdr="http://schemas.openxmlformats.org/drawingml/2006/chartDrawing">
    <cdr:from>
      <cdr:x>0.7105</cdr:x>
      <cdr:y>0.69025</cdr:y>
    </cdr:from>
    <cdr:to>
      <cdr:x>0.77075</cdr:x>
      <cdr:y>0.78525</cdr:y>
    </cdr:to>
    <cdr:sp macro="" textlink="">
      <cdr:nvSpPr>
        <cdr:cNvPr id="3075" name="Text Box 3">
          <a:extLst xmlns:a="http://schemas.openxmlformats.org/drawingml/2006/main">
            <a:ext uri="{FF2B5EF4-FFF2-40B4-BE49-F238E27FC236}">
              <a16:creationId xmlns:a16="http://schemas.microsoft.com/office/drawing/2014/main" id="{9CB75A42-4BA0-493B-8C75-EC2B108A802B}"/>
            </a:ext>
          </a:extLst>
        </cdr:cNvPr>
        <cdr:cNvSpPr txBox="1">
          <a:spLocks xmlns:a="http://schemas.openxmlformats.org/drawingml/2006/main" noChangeArrowheads="1"/>
        </cdr:cNvSpPr>
      </cdr:nvSpPr>
      <cdr:spPr bwMode="auto">
        <a:xfrm xmlns:a="http://schemas.openxmlformats.org/drawingml/2006/main">
          <a:off x="3038613" y="1729128"/>
          <a:ext cx="257673" cy="237982"/>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a:ext uri="{909E8E84-426E-40DD-AFC4-6F175D3DCCD1}">
            <a14:hiddenFill xmlns:a14="http://schemas.microsoft.com/office/drawing/2010/main">
              <a:solidFill>
                <a:srgbClr xmlns:mc="http://schemas.openxmlformats.org/markup-compatibility/2006" val="FFFFFF" mc:Ignorable="a14" a14:legacySpreadsheetColorIndex="9"/>
              </a:solidFill>
            </a14:hiddenFill>
          </a:ext>
          <a:ext uri="{91240B29-F687-4F45-9708-019B960494DF}">
            <a14:hiddenLine xmlns:a14="http://schemas.microsoft.com/office/drawing/2010/main" w="9525">
              <a:solidFill>
                <a:srgbClr xmlns:mc="http://schemas.openxmlformats.org/markup-compatibility/2006" val="000000" mc:Ignorable="a14" a14:legacySpreadsheetColorIndex="64"/>
              </a:solidFill>
              <a:miter lim="800000"/>
              <a:headEnd/>
              <a:tailEnd/>
            </a14:hiddenLine>
          </a:ext>
        </a:extLst>
      </cdr:spPr>
      <cdr:txBody>
        <a:bodyPr xmlns:a="http://schemas.openxmlformats.org/drawingml/2006/main" wrap="none" lIns="18288" tIns="27432" rIns="0" bIns="0" anchor="t" upright="1">
          <a:spAutoFit/>
        </a:bodyPr>
        <a:lstStyle xmlns:a="http://schemas.openxmlformats.org/drawingml/2006/main"/>
        <a:p xmlns:a="http://schemas.openxmlformats.org/drawingml/2006/main">
          <a:pPr algn="l" rtl="0">
            <a:defRPr sz="1000"/>
          </a:pPr>
          <a:r>
            <a:rPr lang="th-TH" sz="1125" b="0" i="0" u="none" strike="noStrike" baseline="0">
              <a:solidFill>
                <a:srgbClr val="000000"/>
              </a:solidFill>
              <a:latin typeface="Times New Roman"/>
            </a:rPr>
            <a:t>D3</a:t>
          </a:r>
        </a:p>
      </cdr:txBody>
    </cdr:sp>
  </cdr:relSizeAnchor>
  <cdr:relSizeAnchor xmlns:cdr="http://schemas.openxmlformats.org/drawingml/2006/chartDrawing">
    <cdr:from>
      <cdr:x>0.19425</cdr:x>
      <cdr:y>0.1665</cdr:y>
    </cdr:from>
    <cdr:to>
      <cdr:x>0.2855</cdr:x>
      <cdr:y>0.2615</cdr:y>
    </cdr:to>
    <cdr:sp macro="" textlink="">
      <cdr:nvSpPr>
        <cdr:cNvPr id="3076" name="Text Box 4">
          <a:extLst xmlns:a="http://schemas.openxmlformats.org/drawingml/2006/main">
            <a:ext uri="{FF2B5EF4-FFF2-40B4-BE49-F238E27FC236}">
              <a16:creationId xmlns:a16="http://schemas.microsoft.com/office/drawing/2014/main" id="{A386D7B4-1615-4E08-93A6-512E8ECF54A9}"/>
            </a:ext>
          </a:extLst>
        </cdr:cNvPr>
        <cdr:cNvSpPr txBox="1">
          <a:spLocks xmlns:a="http://schemas.openxmlformats.org/drawingml/2006/main" noChangeArrowheads="1"/>
        </cdr:cNvSpPr>
      </cdr:nvSpPr>
      <cdr:spPr bwMode="auto">
        <a:xfrm xmlns:a="http://schemas.openxmlformats.org/drawingml/2006/main">
          <a:off x="830754" y="417095"/>
          <a:ext cx="390251" cy="237982"/>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a:ext uri="{909E8E84-426E-40DD-AFC4-6F175D3DCCD1}">
            <a14:hiddenFill xmlns:a14="http://schemas.microsoft.com/office/drawing/2010/main">
              <a:solidFill>
                <a:srgbClr xmlns:mc="http://schemas.openxmlformats.org/markup-compatibility/2006" val="FFFFFF" mc:Ignorable="a14" a14:legacySpreadsheetColorIndex="9"/>
              </a:solidFill>
            </a14:hiddenFill>
          </a:ext>
          <a:ext uri="{91240B29-F687-4F45-9708-019B960494DF}">
            <a14:hiddenLine xmlns:a14="http://schemas.microsoft.com/office/drawing/2010/main" w="9525">
              <a:solidFill>
                <a:srgbClr xmlns:mc="http://schemas.openxmlformats.org/markup-compatibility/2006" val="000000" mc:Ignorable="a14" a14:legacySpreadsheetColorIndex="64"/>
              </a:solidFill>
              <a:miter lim="800000"/>
              <a:headEnd/>
              <a:tailEnd/>
            </a14:hiddenLine>
          </a:ext>
        </a:extLst>
      </cdr:spPr>
      <cdr:txBody>
        <a:bodyPr xmlns:a="http://schemas.openxmlformats.org/drawingml/2006/main" wrap="none" lIns="18288" tIns="27432" rIns="0" bIns="0" anchor="t" upright="1">
          <a:spAutoFit/>
        </a:bodyPr>
        <a:lstStyle xmlns:a="http://schemas.openxmlformats.org/drawingml/2006/main"/>
        <a:p xmlns:a="http://schemas.openxmlformats.org/drawingml/2006/main">
          <a:pPr algn="l" rtl="0">
            <a:defRPr sz="1000"/>
          </a:pPr>
          <a:r>
            <a:rPr lang="th-TH" sz="1125" b="0" i="0" u="none" strike="noStrike" baseline="0">
              <a:solidFill>
                <a:srgbClr val="000000"/>
              </a:solidFill>
              <a:latin typeface="Times New Roman"/>
            </a:rPr>
            <a:t>MSB</a:t>
          </a:r>
        </a:p>
      </cdr:txBody>
    </cdr:sp>
  </cdr:relSizeAnchor>
  <cdr:relSizeAnchor xmlns:cdr="http://schemas.openxmlformats.org/drawingml/2006/chartDrawing">
    <cdr:from>
      <cdr:x>0.80425</cdr:x>
      <cdr:y>0.35175</cdr:y>
    </cdr:from>
    <cdr:to>
      <cdr:x>0.87775</cdr:x>
      <cdr:y>0.44675</cdr:y>
    </cdr:to>
    <cdr:sp macro="" textlink="">
      <cdr:nvSpPr>
        <cdr:cNvPr id="3077" name="Text Box 5">
          <a:extLst xmlns:a="http://schemas.openxmlformats.org/drawingml/2006/main">
            <a:ext uri="{FF2B5EF4-FFF2-40B4-BE49-F238E27FC236}">
              <a16:creationId xmlns:a16="http://schemas.microsoft.com/office/drawing/2014/main" id="{1B3BCE6E-946E-43F1-8420-92963333C6C0}"/>
            </a:ext>
          </a:extLst>
        </cdr:cNvPr>
        <cdr:cNvSpPr txBox="1">
          <a:spLocks xmlns:a="http://schemas.openxmlformats.org/drawingml/2006/main" noChangeArrowheads="1"/>
        </cdr:cNvSpPr>
      </cdr:nvSpPr>
      <cdr:spPr bwMode="auto">
        <a:xfrm xmlns:a="http://schemas.openxmlformats.org/drawingml/2006/main">
          <a:off x="3439556" y="881160"/>
          <a:ext cx="314339" cy="237982"/>
        </a:xfrm>
        <a:prstGeom xmlns:a="http://schemas.openxmlformats.org/drawingml/2006/main" prst="rect">
          <a:avLst/>
        </a:prstGeom>
        <a:noFill xmlns:a="http://schemas.openxmlformats.org/drawingml/2006/main"/>
        <a:ln xmlns:a="http://schemas.openxmlformats.org/drawingml/2006/main">
          <a:noFill/>
        </a:ln>
        <a:extLst xmlns:a="http://schemas.openxmlformats.org/drawingml/2006/main">
          <a:ext uri="{909E8E84-426E-40DD-AFC4-6F175D3DCCD1}">
            <a14:hiddenFill xmlns:a14="http://schemas.microsoft.com/office/drawing/2010/main">
              <a:solidFill>
                <a:srgbClr xmlns:mc="http://schemas.openxmlformats.org/markup-compatibility/2006" val="FFFFFF" mc:Ignorable="a14" a14:legacySpreadsheetColorIndex="9"/>
              </a:solidFill>
            </a14:hiddenFill>
          </a:ext>
          <a:ext uri="{91240B29-F687-4F45-9708-019B960494DF}">
            <a14:hiddenLine xmlns:a14="http://schemas.microsoft.com/office/drawing/2010/main" w="9525">
              <a:solidFill>
                <a:srgbClr xmlns:mc="http://schemas.openxmlformats.org/markup-compatibility/2006" val="000000" mc:Ignorable="a14" a14:legacySpreadsheetColorIndex="64"/>
              </a:solidFill>
              <a:miter lim="800000"/>
              <a:headEnd/>
              <a:tailEnd/>
            </a14:hiddenLine>
          </a:ext>
        </a:extLst>
      </cdr:spPr>
      <cdr:txBody>
        <a:bodyPr xmlns:a="http://schemas.openxmlformats.org/drawingml/2006/main" wrap="none" lIns="18288" tIns="27432" rIns="0" bIns="0" anchor="t" upright="1">
          <a:spAutoFit/>
        </a:bodyPr>
        <a:lstStyle xmlns:a="http://schemas.openxmlformats.org/drawingml/2006/main"/>
        <a:p xmlns:a="http://schemas.openxmlformats.org/drawingml/2006/main">
          <a:pPr algn="l" rtl="0">
            <a:defRPr sz="1000"/>
          </a:pPr>
          <a:r>
            <a:rPr lang="th-TH" sz="1125" b="0" i="0" u="none" strike="noStrike" baseline="0">
              <a:solidFill>
                <a:srgbClr val="000000"/>
              </a:solidFill>
              <a:latin typeface="Times New Roman"/>
            </a:rPr>
            <a:t>MC</a:t>
          </a:r>
        </a:p>
      </cdr:txBody>
    </cdr:sp>
  </cdr:relSizeAnchor>
  <cdr:relSizeAnchor xmlns:cdr="http://schemas.openxmlformats.org/drawingml/2006/chartDrawing">
    <cdr:from>
      <cdr:x>0.30725</cdr:x>
      <cdr:y>0.40425</cdr:y>
    </cdr:from>
    <cdr:to>
      <cdr:x>0.30725</cdr:x>
      <cdr:y>0.75275</cdr:y>
    </cdr:to>
    <cdr:sp macro="" textlink="">
      <cdr:nvSpPr>
        <cdr:cNvPr id="3078" name="Line 6">
          <a:extLst xmlns:a="http://schemas.openxmlformats.org/drawingml/2006/main">
            <a:ext uri="{FF2B5EF4-FFF2-40B4-BE49-F238E27FC236}">
              <a16:creationId xmlns:a16="http://schemas.microsoft.com/office/drawing/2014/main" id="{9E9905E2-FF59-4304-8FAB-90B4F653AE17}"/>
            </a:ext>
          </a:extLst>
        </cdr:cNvPr>
        <cdr:cNvSpPr>
          <a:spLocks xmlns:a="http://schemas.openxmlformats.org/drawingml/2006/main" noChangeShapeType="1"/>
        </cdr:cNvSpPr>
      </cdr:nvSpPr>
      <cdr:spPr bwMode="auto">
        <a:xfrm xmlns:a="http://schemas.openxmlformats.org/drawingml/2006/main">
          <a:off x="1314024" y="1012677"/>
          <a:ext cx="0" cy="873018"/>
        </a:xfrm>
        <a:prstGeom xmlns:a="http://schemas.openxmlformats.org/drawingml/2006/main" prst="line">
          <a:avLst/>
        </a:prstGeom>
        <a:noFill xmlns:a="http://schemas.openxmlformats.org/drawingml/2006/main"/>
        <a:ln xmlns:a="http://schemas.openxmlformats.org/drawingml/2006/main" w="9525">
          <a:solidFill>
            <a:srgbClr xmlns:mc="http://schemas.openxmlformats.org/markup-compatibility/2006" xmlns:a14="http://schemas.microsoft.com/office/drawing/2010/main" val="000000" mc:Ignorable="a14" a14:legacySpreadsheetColorIndex="64"/>
          </a:solidFill>
          <a:prstDash val="dash"/>
          <a:round/>
          <a:headEnd/>
          <a:tailEnd/>
        </a:ln>
        <a:extLst xmlns:a="http://schemas.openxmlformats.org/drawingml/2006/main">
          <a:ext uri="{909E8E84-426E-40DD-AFC4-6F175D3DCCD1}">
            <a14:hiddenFill xmlns:a14="http://schemas.microsoft.com/office/drawing/2010/main">
              <a:noFill/>
            </a14:hiddenFill>
          </a:ext>
        </a:extLst>
      </cdr:spPr>
    </cdr:sp>
  </cdr:relSizeAnchor>
  <cdr:relSizeAnchor xmlns:cdr="http://schemas.openxmlformats.org/drawingml/2006/chartDrawing">
    <cdr:from>
      <cdr:x>0.401</cdr:x>
      <cdr:y>0.11475</cdr:y>
    </cdr:from>
    <cdr:to>
      <cdr:x>0.784</cdr:x>
      <cdr:y>0.37325</cdr:y>
    </cdr:to>
    <cdr:sp macro="" textlink="">
      <cdr:nvSpPr>
        <cdr:cNvPr id="3079" name="Text Box 7">
          <a:extLst xmlns:a="http://schemas.openxmlformats.org/drawingml/2006/main">
            <a:ext uri="{FF2B5EF4-FFF2-40B4-BE49-F238E27FC236}">
              <a16:creationId xmlns:a16="http://schemas.microsoft.com/office/drawing/2014/main" id="{DE1B281B-8E22-4D88-81FB-159FF5BAE0BA}"/>
            </a:ext>
          </a:extLst>
        </cdr:cNvPr>
        <cdr:cNvSpPr txBox="1">
          <a:spLocks xmlns:a="http://schemas.openxmlformats.org/drawingml/2006/main" noChangeArrowheads="1"/>
        </cdr:cNvSpPr>
      </cdr:nvSpPr>
      <cdr:spPr bwMode="auto">
        <a:xfrm xmlns:a="http://schemas.openxmlformats.org/drawingml/2006/main">
          <a:off x="1714967" y="287457"/>
          <a:ext cx="1637985" cy="647562"/>
        </a:xfrm>
        <a:prstGeom xmlns:a="http://schemas.openxmlformats.org/drawingml/2006/main" prst="rect">
          <a:avLst/>
        </a:prstGeom>
        <a:noFill xmlns:a="http://schemas.openxmlformats.org/drawingml/2006/main"/>
        <a:ln xmlns:a="http://schemas.openxmlformats.org/drawingml/2006/main" w="9525">
          <a:solidFill>
            <a:srgbClr xmlns:mc="http://schemas.openxmlformats.org/markup-compatibility/2006" xmlns:a14="http://schemas.microsoft.com/office/drawing/2010/main" val="000000" mc:Ignorable="a14" a14:legacySpreadsheetColorIndex="64"/>
          </a:solidFill>
          <a:miter lim="800000"/>
          <a:headEnd/>
          <a:tailEnd/>
        </a:ln>
        <a:extLst xmlns:a="http://schemas.openxmlformats.org/drawingml/2006/main">
          <a:ext uri="{909E8E84-426E-40DD-AFC4-6F175D3DCCD1}">
            <a14:hiddenFill xmlns:a14="http://schemas.microsoft.com/office/drawing/2010/main">
              <a:solidFill>
                <a:srgbClr xmlns:mc="http://schemas.openxmlformats.org/markup-compatibility/2006" val="FFFFFF" mc:Ignorable="a14" a14:legacySpreadsheetColorIndex="9"/>
              </a:solidFill>
            </a14:hiddenFill>
          </a:ext>
        </a:extLst>
      </cdr:spPr>
      <cdr:txBody>
        <a:bodyPr xmlns:a="http://schemas.openxmlformats.org/drawingml/2006/main" vertOverflow="clip" wrap="square" lIns="27432" tIns="27432" rIns="0" bIns="0" anchor="t" upright="1"/>
        <a:lstStyle xmlns:a="http://schemas.openxmlformats.org/drawingml/2006/main"/>
        <a:p xmlns:a="http://schemas.openxmlformats.org/drawingml/2006/main">
          <a:pPr algn="l" rtl="0">
            <a:defRPr sz="1000"/>
          </a:pPr>
          <a:r>
            <a:rPr lang="th-TH" sz="1125" b="0" i="0" u="none" strike="noStrike" baseline="0">
              <a:solidFill>
                <a:srgbClr val="000000"/>
              </a:solidFill>
              <a:latin typeface="Times New Roman"/>
            </a:rPr>
            <a:t>Economically efficient</a:t>
          </a:r>
        </a:p>
        <a:p xmlns:a="http://schemas.openxmlformats.org/drawingml/2006/main">
          <a:pPr algn="l" rtl="0">
            <a:defRPr sz="1000"/>
          </a:pPr>
          <a:r>
            <a:rPr lang="th-TH" sz="1125" b="0" i="0" u="none" strike="noStrike" baseline="0">
              <a:solidFill>
                <a:srgbClr val="000000"/>
              </a:solidFill>
              <a:latin typeface="Times New Roman"/>
            </a:rPr>
            <a:t>level of production at Q=40</a:t>
          </a:r>
        </a:p>
      </cdr:txBody>
    </cdr:sp>
  </cdr:relSizeAnchor>
  <cdr:relSizeAnchor xmlns:cdr="http://schemas.openxmlformats.org/drawingml/2006/chartDrawing">
    <cdr:from>
      <cdr:x>0.30725</cdr:x>
      <cdr:y>0.28225</cdr:y>
    </cdr:from>
    <cdr:to>
      <cdr:x>0.38425</cdr:x>
      <cdr:y>0.40425</cdr:y>
    </cdr:to>
    <cdr:sp macro="" textlink="">
      <cdr:nvSpPr>
        <cdr:cNvPr id="3080" name="Line 8">
          <a:extLst xmlns:a="http://schemas.openxmlformats.org/drawingml/2006/main">
            <a:ext uri="{FF2B5EF4-FFF2-40B4-BE49-F238E27FC236}">
              <a16:creationId xmlns:a16="http://schemas.microsoft.com/office/drawing/2014/main" id="{3767FC3F-CD77-4096-9DF7-30D9CCD259C9}"/>
            </a:ext>
          </a:extLst>
        </cdr:cNvPr>
        <cdr:cNvSpPr>
          <a:spLocks xmlns:a="http://schemas.openxmlformats.org/drawingml/2006/main" noChangeShapeType="1"/>
        </cdr:cNvSpPr>
      </cdr:nvSpPr>
      <cdr:spPr bwMode="auto">
        <a:xfrm xmlns:a="http://schemas.openxmlformats.org/drawingml/2006/main" flipH="1">
          <a:off x="1314024" y="707057"/>
          <a:ext cx="329308" cy="305620"/>
        </a:xfrm>
        <a:prstGeom xmlns:a="http://schemas.openxmlformats.org/drawingml/2006/main" prst="line">
          <a:avLst/>
        </a:prstGeom>
        <a:noFill xmlns:a="http://schemas.openxmlformats.org/drawingml/2006/main"/>
        <a:ln xmlns:a="http://schemas.openxmlformats.org/drawingml/2006/main" w="9525">
          <a:solidFill>
            <a:srgbClr xmlns:mc="http://schemas.openxmlformats.org/markup-compatibility/2006" xmlns:a14="http://schemas.microsoft.com/office/drawing/2010/main" val="000000" mc:Ignorable="a14" a14:legacySpreadsheetColorIndex="64"/>
          </a:solidFill>
          <a:round/>
          <a:headEnd/>
          <a:tailEnd type="triangle" w="med" len="med"/>
        </a:ln>
        <a:extLst xmlns:a="http://schemas.openxmlformats.org/drawingml/2006/main">
          <a:ext uri="{909E8E84-426E-40DD-AFC4-6F175D3DCCD1}">
            <a14:hiddenFill xmlns:a14="http://schemas.microsoft.com/office/drawing/2010/main">
              <a:noFill/>
            </a14:hiddenFill>
          </a:ext>
        </a:extLst>
      </cdr:spPr>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Wiley Solutions Manual with Test Question Chapter.dot</Template>
  <TotalTime>36</TotalTime>
  <Pages>4</Pages>
  <Words>1186</Words>
  <Characters>6764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Chapter 1</vt:lpstr>
    </vt:vector>
  </TitlesOfParts>
  <Company>Unity Health</Company>
  <LinksUpToDate>false</LinksUpToDate>
  <CharactersWithSpaces>7935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1</dc:title>
  <dc:subject/>
  <dc:creator>College of Business</dc:creator>
  <cp:keywords/>
  <cp:lastModifiedBy>LENOVO</cp:lastModifiedBy>
  <cp:revision>5</cp:revision>
  <cp:lastPrinted>2001-02-05T05:56:00Z</cp:lastPrinted>
  <dcterms:created xsi:type="dcterms:W3CDTF">2019-11-25T06:55:00Z</dcterms:created>
  <dcterms:modified xsi:type="dcterms:W3CDTF">2020-04-30T20:22:00Z</dcterms:modified>
</cp:coreProperties>
</file>