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418" w:rsidRDefault="00EB5418" w:rsidP="00B102D9">
      <w:pPr>
        <w:rPr>
          <w:b/>
          <w:bCs/>
        </w:rPr>
      </w:pPr>
      <w:r>
        <w:rPr>
          <w:b/>
          <w:bCs/>
        </w:rPr>
        <w:t xml:space="preserve">FN 281 </w:t>
      </w:r>
    </w:p>
    <w:p w:rsidR="004E7D08" w:rsidRPr="00CB261E" w:rsidRDefault="00B102D9" w:rsidP="00B102D9">
      <w:pPr>
        <w:rPr>
          <w:b/>
          <w:bCs/>
        </w:rPr>
      </w:pPr>
      <w:r w:rsidRPr="00CB261E">
        <w:rPr>
          <w:b/>
          <w:bCs/>
        </w:rPr>
        <w:t>1</w:t>
      </w:r>
      <w:r w:rsidR="00CA761D">
        <w:rPr>
          <w:b/>
          <w:bCs/>
        </w:rPr>
        <w:t xml:space="preserve"> </w:t>
      </w:r>
      <w:r w:rsidRPr="00CB261E">
        <w:rPr>
          <w:b/>
          <w:bCs/>
        </w:rPr>
        <w:t>)Discuss one Insurance product and comment on its benefits</w:t>
      </w:r>
    </w:p>
    <w:p w:rsidR="00AD347C" w:rsidRDefault="00AD347C" w:rsidP="00AD347C">
      <w:pPr>
        <w:rPr>
          <w:color w:val="FF0000"/>
          <w:u w:val="single"/>
        </w:rPr>
      </w:pPr>
      <w:r w:rsidRPr="00032AFB">
        <w:rPr>
          <w:color w:val="FF0000"/>
          <w:u w:val="single"/>
        </w:rPr>
        <w:t>Answer</w:t>
      </w:r>
    </w:p>
    <w:p w:rsidR="00AD347C" w:rsidRPr="00F54C23" w:rsidRDefault="00AD347C" w:rsidP="00AD347C">
      <w:r w:rsidRPr="00AD347C">
        <w:t>ANNUITY SMART @ 60</w:t>
      </w:r>
      <w:r>
        <w:t xml:space="preserve"> is retirement insurance that </w:t>
      </w:r>
      <w:r w:rsidRPr="00AD347C">
        <w:t>Insured until the age of 90 years</w:t>
      </w:r>
      <w:r>
        <w:t xml:space="preserve"> and </w:t>
      </w:r>
      <w:r w:rsidR="00B275C3">
        <w:t>t</w:t>
      </w:r>
      <w:r w:rsidR="00F54C23">
        <w:t xml:space="preserve">he age of </w:t>
      </w:r>
      <w:r w:rsidR="00F54C23" w:rsidRPr="00F54C23">
        <w:t xml:space="preserve">the insured is </w:t>
      </w:r>
      <w:r w:rsidRPr="00F54C23">
        <w:t>20-50 years</w:t>
      </w:r>
      <w:r w:rsidR="00F54C23" w:rsidRPr="00F54C23">
        <w:t>.</w:t>
      </w:r>
    </w:p>
    <w:p w:rsidR="00F54C23" w:rsidRPr="00F54C23" w:rsidRDefault="00F54C23" w:rsidP="00AD347C">
      <w:r w:rsidRPr="00F54C23">
        <w:t>Benefits</w:t>
      </w:r>
    </w:p>
    <w:p w:rsidR="00F54C23" w:rsidRPr="00F54C23" w:rsidRDefault="00F54C23" w:rsidP="00F54C23">
      <w:r w:rsidRPr="00F54C23">
        <w:t xml:space="preserve">- Before the age of 60 years (before pension). Get 105% of all premiums paid. (Excluding premiums of contract) or the policy surrender value. </w:t>
      </w:r>
    </w:p>
    <w:p w:rsidR="00F54C23" w:rsidRPr="00F54C23" w:rsidRDefault="00F54C23" w:rsidP="00F54C23">
      <w:r w:rsidRPr="00F54C23">
        <w:t>The age 60 -74 years (the pension), from the first day to get a pension. If the insured dies before receiving a pension after 15 years, the company will pay the present value of pension based on the present value of pension table. Pensions and the balance has not been paid. In the insured died (if any) to the beneficiary.</w:t>
      </w:r>
    </w:p>
    <w:p w:rsidR="00F54C23" w:rsidRPr="00F54C23" w:rsidRDefault="00F54C23" w:rsidP="00F54C23">
      <w:r w:rsidRPr="00F54C23">
        <w:t xml:space="preserve">-In the case of alive, You will received a pension of 15% of the sum assured at the end of the year the policy. When the insured attains the age of 60-90 years and at the age of 90 years receive a pension at the end of the 15% of the sum assured. </w:t>
      </w:r>
    </w:p>
    <w:p w:rsidR="00F54C23" w:rsidRPr="00F54C23" w:rsidRDefault="00F54C23" w:rsidP="00F54C23">
      <w:r w:rsidRPr="00F54C23">
        <w:t>- This insurance can be purchased to provide additional protection to the other type.</w:t>
      </w:r>
    </w:p>
    <w:p w:rsidR="00AD347C" w:rsidRPr="00B275C3" w:rsidRDefault="00F54C23" w:rsidP="00B102D9">
      <w:pPr>
        <w:rPr>
          <w:rFonts w:cstheme="minorHAnsi"/>
          <w:szCs w:val="22"/>
        </w:rPr>
      </w:pPr>
      <w:r w:rsidRPr="00F54C23">
        <w:rPr>
          <w:rFonts w:cstheme="minorHAnsi"/>
          <w:szCs w:val="22"/>
        </w:rPr>
        <w:t xml:space="preserve">So benefits from this insurance are </w:t>
      </w:r>
      <w:r w:rsidRPr="00B275C3">
        <w:rPr>
          <w:rStyle w:val="Strong"/>
          <w:rFonts w:cstheme="minorHAnsi"/>
          <w:b w:val="0"/>
          <w:bCs w:val="0"/>
          <w:szCs w:val="22"/>
          <w:shd w:val="clear" w:color="auto" w:fill="FFFFFF"/>
        </w:rPr>
        <w:t>risk cover, planning for life stage needs,</w:t>
      </w:r>
      <w:r w:rsidRPr="00B275C3">
        <w:rPr>
          <w:rFonts w:cstheme="minorHAnsi"/>
          <w:b/>
          <w:bCs/>
          <w:szCs w:val="22"/>
          <w:shd w:val="clear" w:color="auto" w:fill="FFFFFF"/>
        </w:rPr>
        <w:t xml:space="preserve"> </w:t>
      </w:r>
      <w:r w:rsidRPr="00B275C3">
        <w:rPr>
          <w:rStyle w:val="Strong"/>
          <w:rFonts w:cstheme="minorHAnsi"/>
          <w:b w:val="0"/>
          <w:bCs w:val="0"/>
          <w:szCs w:val="22"/>
          <w:shd w:val="clear" w:color="auto" w:fill="FFFFFF"/>
        </w:rPr>
        <w:t>safe and profitable long-term investment and tax Benefits.</w:t>
      </w:r>
      <w:r w:rsidRPr="00F54C23">
        <w:rPr>
          <w:rFonts w:cstheme="minorHAnsi"/>
          <w:szCs w:val="22"/>
        </w:rPr>
        <w:t xml:space="preserve">  </w:t>
      </w:r>
    </w:p>
    <w:p w:rsidR="00B102D9" w:rsidRPr="00CB261E" w:rsidRDefault="00B102D9" w:rsidP="00B102D9">
      <w:pPr>
        <w:rPr>
          <w:b/>
          <w:bCs/>
        </w:rPr>
      </w:pPr>
      <w:r w:rsidRPr="00CB261E">
        <w:rPr>
          <w:b/>
          <w:bCs/>
        </w:rPr>
        <w:t>2) Which mortgage would result in higher total payments?</w:t>
      </w:r>
    </w:p>
    <w:p w:rsidR="002B39C4" w:rsidRDefault="00B102D9" w:rsidP="002B39C4">
      <w:pPr>
        <w:ind w:firstLine="720"/>
      </w:pPr>
      <w:r>
        <w:t>Mortgage A: $970 a month for 30 years</w:t>
      </w:r>
    </w:p>
    <w:p w:rsidR="00B102D9" w:rsidRDefault="00B102D9" w:rsidP="00B102D9">
      <w:pPr>
        <w:pStyle w:val="ListParagraph"/>
      </w:pPr>
      <w:r>
        <w:t>Mortgage B: $760 a month for 5 years and $1005 for 25 years</w:t>
      </w:r>
    </w:p>
    <w:p w:rsidR="006A5D3E" w:rsidRDefault="006A5D3E" w:rsidP="002B39C4">
      <w:r w:rsidRPr="00032AFB">
        <w:rPr>
          <w:color w:val="FF0000"/>
          <w:u w:val="single"/>
        </w:rPr>
        <w:t>Answer</w:t>
      </w:r>
      <w:r>
        <w:t xml:space="preserve">  </w:t>
      </w:r>
    </w:p>
    <w:p w:rsidR="00B102D9" w:rsidRDefault="002B39C4" w:rsidP="002B39C4">
      <w:r>
        <w:t xml:space="preserve">For mortgage A, 970 x 360 = </w:t>
      </w:r>
      <w:r w:rsidR="00CA761D">
        <w:t>$ 349,200</w:t>
      </w:r>
    </w:p>
    <w:p w:rsidR="00B102D9" w:rsidRDefault="00CA761D" w:rsidP="00CA761D">
      <w:r>
        <w:t>For mortgage B, (760 x(5x12)) + (1,005 x(25x12)) = 45,600 + 301,500 = $ 347,100</w:t>
      </w:r>
    </w:p>
    <w:p w:rsidR="00CA761D" w:rsidRPr="00CA761D" w:rsidRDefault="00CA761D" w:rsidP="00CA761D">
      <w:r>
        <w:t xml:space="preserve">So mortgage A is higher than mortgage B </w:t>
      </w:r>
    </w:p>
    <w:p w:rsidR="00B102D9" w:rsidRPr="00CB261E" w:rsidRDefault="00B102D9" w:rsidP="00B102D9">
      <w:pPr>
        <w:rPr>
          <w:b/>
          <w:bCs/>
        </w:rPr>
      </w:pPr>
      <w:r w:rsidRPr="00CB261E">
        <w:rPr>
          <w:b/>
          <w:bCs/>
        </w:rPr>
        <w:t>3) What are the two main types of consumer credit?</w:t>
      </w:r>
    </w:p>
    <w:p w:rsidR="00032AFB" w:rsidRDefault="00032AFB" w:rsidP="00032AFB">
      <w:pPr>
        <w:shd w:val="clear" w:color="auto" w:fill="FFFFFF"/>
        <w:spacing w:after="240" w:line="432" w:lineRule="atLeast"/>
        <w:rPr>
          <w:rFonts w:eastAsia="Times New Roman" w:cstheme="minorHAnsi"/>
          <w:color w:val="000000" w:themeColor="text1"/>
          <w:szCs w:val="22"/>
        </w:rPr>
      </w:pPr>
      <w:r w:rsidRPr="00032AFB">
        <w:rPr>
          <w:color w:val="FF0000"/>
          <w:u w:val="single"/>
        </w:rPr>
        <w:t>Answer</w:t>
      </w:r>
      <w:r w:rsidR="003133A2" w:rsidRPr="003133A2">
        <w:rPr>
          <w:rFonts w:eastAsia="Times New Roman" w:cstheme="minorHAnsi"/>
          <w:color w:val="000000" w:themeColor="text1"/>
          <w:szCs w:val="22"/>
        </w:rPr>
        <w:t xml:space="preserve"> </w:t>
      </w:r>
    </w:p>
    <w:p w:rsidR="003133A2" w:rsidRPr="003133A2" w:rsidRDefault="003133A2" w:rsidP="00032AFB">
      <w:pPr>
        <w:shd w:val="clear" w:color="auto" w:fill="FFFFFF"/>
        <w:spacing w:after="240" w:line="432" w:lineRule="atLeast"/>
        <w:ind w:firstLine="720"/>
        <w:rPr>
          <w:rFonts w:eastAsia="Times New Roman" w:cstheme="minorHAnsi"/>
          <w:color w:val="000000" w:themeColor="text1"/>
          <w:szCs w:val="22"/>
        </w:rPr>
      </w:pPr>
      <w:r w:rsidRPr="003133A2">
        <w:rPr>
          <w:rFonts w:eastAsia="Times New Roman" w:cstheme="minorHAnsi"/>
          <w:color w:val="000000" w:themeColor="text1"/>
          <w:szCs w:val="22"/>
        </w:rPr>
        <w:t>Open-end credit, better known as</w:t>
      </w:r>
      <w:r w:rsidRPr="00764F1A">
        <w:rPr>
          <w:rFonts w:eastAsia="Times New Roman" w:cstheme="minorHAnsi"/>
          <w:color w:val="000000" w:themeColor="text1"/>
          <w:szCs w:val="22"/>
        </w:rPr>
        <w:t> </w:t>
      </w:r>
      <w:hyperlink r:id="rId7" w:history="1">
        <w:r w:rsidR="00CA761D">
          <w:rPr>
            <w:rFonts w:eastAsia="Times New Roman" w:cstheme="minorHAnsi"/>
            <w:color w:val="000000" w:themeColor="text1"/>
            <w:szCs w:val="22"/>
          </w:rPr>
          <w:t>9</w:t>
        </w:r>
      </w:hyperlink>
      <w:r w:rsidRPr="003133A2">
        <w:rPr>
          <w:rFonts w:eastAsia="Times New Roman" w:cstheme="minorHAnsi"/>
          <w:color w:val="000000" w:themeColor="text1"/>
          <w:szCs w:val="22"/>
        </w:rPr>
        <w:t xml:space="preserve">, can be used repeatedly for purchases that will be paid back monthly, though paying the full amount due every month is not required. The most common </w:t>
      </w:r>
      <w:r w:rsidRPr="003133A2">
        <w:rPr>
          <w:rFonts w:eastAsia="Times New Roman" w:cstheme="minorHAnsi"/>
          <w:color w:val="000000" w:themeColor="text1"/>
          <w:szCs w:val="22"/>
        </w:rPr>
        <w:lastRenderedPageBreak/>
        <w:t>form of revolving credit are credit cards, but home equity loans and home equity lines of credit (HELOC) also fall in this category.</w:t>
      </w:r>
    </w:p>
    <w:p w:rsidR="003133A2" w:rsidRPr="003133A2" w:rsidRDefault="003133A2" w:rsidP="003133A2">
      <w:pPr>
        <w:shd w:val="clear" w:color="auto" w:fill="FFFFFF"/>
        <w:spacing w:after="240" w:line="432" w:lineRule="atLeast"/>
        <w:rPr>
          <w:rFonts w:eastAsia="Times New Roman" w:cstheme="minorHAnsi"/>
          <w:color w:val="000000" w:themeColor="text1"/>
          <w:szCs w:val="22"/>
        </w:rPr>
      </w:pPr>
      <w:r w:rsidRPr="003133A2">
        <w:rPr>
          <w:rFonts w:eastAsia="Times New Roman" w:cstheme="minorHAnsi"/>
          <w:color w:val="000000" w:themeColor="text1"/>
          <w:szCs w:val="22"/>
        </w:rPr>
        <w:t>Credit cards are used for daily expenses, such as food, clothing, transportation and small home repairs. Interest charges are applied when the monthly balance is not paid in full. The</w:t>
      </w:r>
      <w:r w:rsidRPr="00764F1A">
        <w:rPr>
          <w:rFonts w:eastAsia="Times New Roman" w:cstheme="minorHAnsi"/>
          <w:color w:val="000000" w:themeColor="text1"/>
          <w:szCs w:val="22"/>
        </w:rPr>
        <w:t xml:space="preserve"> </w:t>
      </w:r>
      <w:hyperlink r:id="rId8" w:history="1">
        <w:r w:rsidRPr="00764F1A">
          <w:rPr>
            <w:rFonts w:eastAsia="Times New Roman" w:cstheme="minorHAnsi"/>
            <w:color w:val="000000" w:themeColor="text1"/>
            <w:szCs w:val="22"/>
          </w:rPr>
          <w:t>interest rates on credit cards average 15 percent</w:t>
        </w:r>
      </w:hyperlink>
      <w:r w:rsidRPr="003133A2">
        <w:rPr>
          <w:rFonts w:eastAsia="Times New Roman" w:cstheme="minorHAnsi"/>
          <w:color w:val="000000" w:themeColor="text1"/>
          <w:szCs w:val="22"/>
        </w:rPr>
        <w:t>, but can be as low as zero percent (temporary, introductory offers) and as high as 30 percent or more, depending on the consumer’s payment history and credit score.</w:t>
      </w:r>
    </w:p>
    <w:p w:rsidR="003133A2" w:rsidRPr="00764F1A" w:rsidRDefault="003133A2" w:rsidP="00764F1A">
      <w:pPr>
        <w:shd w:val="clear" w:color="auto" w:fill="FFFFFF"/>
        <w:spacing w:after="240" w:line="432" w:lineRule="atLeast"/>
        <w:ind w:firstLine="720"/>
        <w:rPr>
          <w:rFonts w:eastAsia="Times New Roman" w:cstheme="minorHAnsi"/>
          <w:color w:val="000000" w:themeColor="text1"/>
          <w:szCs w:val="22"/>
        </w:rPr>
      </w:pPr>
      <w:r w:rsidRPr="003133A2">
        <w:rPr>
          <w:rFonts w:eastAsia="Times New Roman" w:cstheme="minorHAnsi"/>
          <w:color w:val="000000" w:themeColor="text1"/>
          <w:szCs w:val="22"/>
        </w:rPr>
        <w:t>Closed-end credit is used to finance a specific purpose for a specific period of time. They also are called installment loans because consumers are required to follow a regular payment schedule (usually monthly) that includes interest charges, until the principal is paid off.</w:t>
      </w:r>
    </w:p>
    <w:p w:rsidR="00B102D9" w:rsidRPr="00764F1A" w:rsidRDefault="003133A2" w:rsidP="00764F1A">
      <w:pPr>
        <w:shd w:val="clear" w:color="auto" w:fill="FFFFFF"/>
        <w:spacing w:after="240" w:line="432" w:lineRule="atLeast"/>
        <w:rPr>
          <w:rFonts w:eastAsia="Times New Roman" w:cstheme="minorHAnsi"/>
          <w:color w:val="000000" w:themeColor="text1"/>
          <w:szCs w:val="22"/>
        </w:rPr>
      </w:pPr>
      <w:r w:rsidRPr="00764F1A">
        <w:rPr>
          <w:rFonts w:cstheme="minorHAnsi"/>
          <w:color w:val="000000" w:themeColor="text1"/>
          <w:szCs w:val="22"/>
          <w:shd w:val="clear" w:color="auto" w:fill="FFFFFF"/>
        </w:rPr>
        <w:t>The interest rate for installment loans varies by lender and is tied closely to the consumer’s</w:t>
      </w:r>
      <w:r w:rsidRPr="00764F1A">
        <w:rPr>
          <w:rFonts w:cstheme="minorHAnsi"/>
          <w:color w:val="000000" w:themeColor="text1"/>
          <w:szCs w:val="22"/>
        </w:rPr>
        <w:t xml:space="preserve"> </w:t>
      </w:r>
      <w:hyperlink r:id="rId9" w:history="1">
        <w:r w:rsidRPr="00764F1A">
          <w:rPr>
            <w:rStyle w:val="Hyperlink"/>
            <w:rFonts w:cstheme="minorHAnsi"/>
            <w:color w:val="000000" w:themeColor="text1"/>
            <w:szCs w:val="22"/>
            <w:u w:val="none"/>
            <w:shd w:val="clear" w:color="auto" w:fill="FFFFFF"/>
          </w:rPr>
          <w:t>credit score.</w:t>
        </w:r>
      </w:hyperlink>
      <w:r w:rsidRPr="00764F1A">
        <w:rPr>
          <w:rStyle w:val="apple-converted-space"/>
          <w:rFonts w:cstheme="minorHAnsi"/>
          <w:color w:val="000000" w:themeColor="text1"/>
          <w:szCs w:val="22"/>
          <w:shd w:val="clear" w:color="auto" w:fill="FFFFFF"/>
        </w:rPr>
        <w:t> </w:t>
      </w:r>
      <w:r w:rsidRPr="00764F1A">
        <w:rPr>
          <w:rFonts w:cstheme="minorHAnsi"/>
          <w:color w:val="000000" w:themeColor="text1"/>
          <w:szCs w:val="22"/>
          <w:shd w:val="clear" w:color="auto" w:fill="FFFFFF"/>
        </w:rPr>
        <w:t>The lending institution can seize the consumer’s property as compensation if the consumer defaults on the loan.</w:t>
      </w:r>
    </w:p>
    <w:p w:rsidR="00B102D9" w:rsidRPr="00CB261E" w:rsidRDefault="00B102D9" w:rsidP="00B102D9">
      <w:pPr>
        <w:rPr>
          <w:b/>
          <w:bCs/>
        </w:rPr>
      </w:pPr>
      <w:r w:rsidRPr="00CB261E">
        <w:rPr>
          <w:b/>
          <w:bCs/>
        </w:rPr>
        <w:t>4) What are the general rules of measuring credit capacity?</w:t>
      </w:r>
    </w:p>
    <w:p w:rsidR="00032AFB" w:rsidRDefault="00032AFB" w:rsidP="00B102D9">
      <w:r w:rsidRPr="00032AFB">
        <w:rPr>
          <w:color w:val="FF0000"/>
          <w:u w:val="single"/>
        </w:rPr>
        <w:t>Answer</w:t>
      </w:r>
      <w:r>
        <w:t xml:space="preserve"> </w:t>
      </w:r>
    </w:p>
    <w:p w:rsidR="00764F1A" w:rsidRDefault="00CB261E" w:rsidP="00B102D9">
      <w:r>
        <w:tab/>
        <w:t>First is t</w:t>
      </w:r>
      <w:r w:rsidR="00764F1A">
        <w:t>he de</w:t>
      </w:r>
      <w:r>
        <w:t>bt payment to monthly income. You can calculate by add all of your monthly expenses not including your mortgage and divide that by your monthly income. The debt payment to monthly income should not exceed 20%.</w:t>
      </w:r>
    </w:p>
    <w:p w:rsidR="00B102D9" w:rsidRDefault="00CB261E" w:rsidP="00CB261E">
      <w:r>
        <w:tab/>
        <w:t>Second is debt to equity ratio which is your liabilities divided by net worth. The debt to equity ratio should not be higher than 0.5.</w:t>
      </w:r>
    </w:p>
    <w:p w:rsidR="00B102D9" w:rsidRDefault="00B102D9" w:rsidP="00B102D9">
      <w:pPr>
        <w:rPr>
          <w:b/>
          <w:bCs/>
        </w:rPr>
      </w:pPr>
      <w:r w:rsidRPr="00CB261E">
        <w:rPr>
          <w:b/>
          <w:bCs/>
        </w:rPr>
        <w:t>5) A few years ago, Michael Tucker purchased a home for $100,000. Today, the home is worth $150,000. His remaining mortgage balance is $50,000. Assuming that Michael can borrow up to 80 percent of the market value, what is the maximum amount he can borrow?</w:t>
      </w:r>
    </w:p>
    <w:p w:rsidR="00032AFB" w:rsidRPr="00032AFB" w:rsidRDefault="00032AFB" w:rsidP="00B102D9">
      <w:r w:rsidRPr="00032AFB">
        <w:rPr>
          <w:color w:val="FF0000"/>
          <w:u w:val="single"/>
        </w:rPr>
        <w:t>Answer</w:t>
      </w:r>
      <w:r>
        <w:t xml:space="preserve"> </w:t>
      </w:r>
      <w:r w:rsidRPr="00032AFB">
        <w:t>Michael Tucker can borrow 80% x 150,000 = $ 120,000</w:t>
      </w:r>
    </w:p>
    <w:p w:rsidR="00032AFB" w:rsidRPr="00032AFB" w:rsidRDefault="00032AFB" w:rsidP="00B102D9">
      <w:r w:rsidRPr="00032AFB">
        <w:t xml:space="preserve">Michael Tucker still has mortgage balance is $ 50,000 </w:t>
      </w:r>
    </w:p>
    <w:p w:rsidR="00032AFB" w:rsidRPr="00032AFB" w:rsidRDefault="00032AFB" w:rsidP="00B102D9">
      <w:r w:rsidRPr="00032AFB">
        <w:t>So Michael Tucker can borrow money only 120,000 – 50,000 = $ 70,000 for the maximum amount.</w:t>
      </w:r>
    </w:p>
    <w:sectPr w:rsidR="00032AFB" w:rsidRPr="00032AFB" w:rsidSect="004E7D08">
      <w:head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7ACA" w:rsidRDefault="00AB7ACA" w:rsidP="00AD347C">
      <w:pPr>
        <w:spacing w:after="0" w:line="240" w:lineRule="auto"/>
      </w:pPr>
      <w:r>
        <w:separator/>
      </w:r>
    </w:p>
  </w:endnote>
  <w:endnote w:type="continuationSeparator" w:id="0">
    <w:p w:rsidR="00AB7ACA" w:rsidRDefault="00AB7ACA" w:rsidP="00AD34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7ACA" w:rsidRDefault="00AB7ACA" w:rsidP="00AD347C">
      <w:pPr>
        <w:spacing w:after="0" w:line="240" w:lineRule="auto"/>
      </w:pPr>
      <w:r>
        <w:separator/>
      </w:r>
    </w:p>
  </w:footnote>
  <w:footnote w:type="continuationSeparator" w:id="0">
    <w:p w:rsidR="00AB7ACA" w:rsidRDefault="00AB7ACA" w:rsidP="00AD34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47C" w:rsidRDefault="00F54C23">
    <w:pPr>
      <w:pStyle w:val="Header"/>
    </w:pPr>
    <w:r>
      <w:tab/>
    </w:r>
    <w:r>
      <w:tab/>
    </w:r>
    <w:r w:rsidR="00AD347C">
      <w:t>Arnakorn Sangadej 5604640085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D35E93"/>
    <w:multiLevelType w:val="hybridMultilevel"/>
    <w:tmpl w:val="67D037FC"/>
    <w:lvl w:ilvl="0" w:tplc="11C05878">
      <w:start w:val="2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5847D1"/>
    <w:multiLevelType w:val="hybridMultilevel"/>
    <w:tmpl w:val="F5CC40AA"/>
    <w:lvl w:ilvl="0" w:tplc="6F7436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20"/>
  <w:characterSpacingControl w:val="doNotCompress"/>
  <w:footnotePr>
    <w:footnote w:id="-1"/>
    <w:footnote w:id="0"/>
  </w:footnotePr>
  <w:endnotePr>
    <w:endnote w:id="-1"/>
    <w:endnote w:id="0"/>
  </w:endnotePr>
  <w:compat>
    <w:applyBreakingRules/>
  </w:compat>
  <w:rsids>
    <w:rsidRoot w:val="00B102D9"/>
    <w:rsid w:val="00032AFB"/>
    <w:rsid w:val="002B39C4"/>
    <w:rsid w:val="003133A2"/>
    <w:rsid w:val="004E7D08"/>
    <w:rsid w:val="006A5D3E"/>
    <w:rsid w:val="00764F1A"/>
    <w:rsid w:val="0078524B"/>
    <w:rsid w:val="00AB7ACA"/>
    <w:rsid w:val="00AD347C"/>
    <w:rsid w:val="00B102D9"/>
    <w:rsid w:val="00B275C3"/>
    <w:rsid w:val="00CA761D"/>
    <w:rsid w:val="00CB261E"/>
    <w:rsid w:val="00EB5418"/>
    <w:rsid w:val="00F40544"/>
    <w:rsid w:val="00F54C23"/>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7D08"/>
  </w:style>
  <w:style w:type="paragraph" w:styleId="Heading2">
    <w:name w:val="heading 2"/>
    <w:basedOn w:val="Normal"/>
    <w:link w:val="Heading2Char"/>
    <w:uiPriority w:val="9"/>
    <w:qFormat/>
    <w:rsid w:val="003133A2"/>
    <w:pPr>
      <w:spacing w:before="100" w:beforeAutospacing="1" w:after="100" w:afterAutospacing="1" w:line="240" w:lineRule="auto"/>
      <w:outlineLvl w:val="1"/>
    </w:pPr>
    <w:rPr>
      <w:rFonts w:ascii="Angsana New" w:eastAsia="Times New Roman" w:hAnsi="Angsana New" w:cs="Angsana New"/>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2D9"/>
    <w:pPr>
      <w:ind w:left="720"/>
      <w:contextualSpacing/>
    </w:pPr>
  </w:style>
  <w:style w:type="character" w:customStyle="1" w:styleId="Heading2Char">
    <w:name w:val="Heading 2 Char"/>
    <w:basedOn w:val="DefaultParagraphFont"/>
    <w:link w:val="Heading2"/>
    <w:uiPriority w:val="9"/>
    <w:rsid w:val="003133A2"/>
    <w:rPr>
      <w:rFonts w:ascii="Angsana New" w:eastAsia="Times New Roman" w:hAnsi="Angsana New" w:cs="Angsana New"/>
      <w:b/>
      <w:bCs/>
      <w:sz w:val="36"/>
      <w:szCs w:val="36"/>
    </w:rPr>
  </w:style>
  <w:style w:type="paragraph" w:styleId="NormalWeb">
    <w:name w:val="Normal (Web)"/>
    <w:basedOn w:val="Normal"/>
    <w:uiPriority w:val="99"/>
    <w:semiHidden/>
    <w:unhideWhenUsed/>
    <w:rsid w:val="003133A2"/>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3133A2"/>
  </w:style>
  <w:style w:type="character" w:styleId="Hyperlink">
    <w:name w:val="Hyperlink"/>
    <w:basedOn w:val="DefaultParagraphFont"/>
    <w:uiPriority w:val="99"/>
    <w:semiHidden/>
    <w:unhideWhenUsed/>
    <w:rsid w:val="003133A2"/>
    <w:rPr>
      <w:color w:val="0000FF"/>
      <w:u w:val="single"/>
    </w:rPr>
  </w:style>
  <w:style w:type="paragraph" w:styleId="Header">
    <w:name w:val="header"/>
    <w:basedOn w:val="Normal"/>
    <w:link w:val="HeaderChar"/>
    <w:uiPriority w:val="99"/>
    <w:semiHidden/>
    <w:unhideWhenUsed/>
    <w:rsid w:val="00AD347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D347C"/>
  </w:style>
  <w:style w:type="paragraph" w:styleId="Footer">
    <w:name w:val="footer"/>
    <w:basedOn w:val="Normal"/>
    <w:link w:val="FooterChar"/>
    <w:uiPriority w:val="99"/>
    <w:semiHidden/>
    <w:unhideWhenUsed/>
    <w:rsid w:val="00AD347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D347C"/>
  </w:style>
  <w:style w:type="character" w:styleId="Strong">
    <w:name w:val="Strong"/>
    <w:basedOn w:val="DefaultParagraphFont"/>
    <w:uiPriority w:val="22"/>
    <w:qFormat/>
    <w:rsid w:val="00F54C23"/>
    <w:rPr>
      <w:b/>
      <w:bCs/>
    </w:rPr>
  </w:style>
</w:styles>
</file>

<file path=word/webSettings.xml><?xml version="1.0" encoding="utf-8"?>
<w:webSettings xmlns:r="http://schemas.openxmlformats.org/officeDocument/2006/relationships" xmlns:w="http://schemas.openxmlformats.org/wordprocessingml/2006/main">
  <w:divs>
    <w:div w:id="202057085">
      <w:bodyDiv w:val="1"/>
      <w:marLeft w:val="0"/>
      <w:marRight w:val="0"/>
      <w:marTop w:val="0"/>
      <w:marBottom w:val="0"/>
      <w:divBdr>
        <w:top w:val="none" w:sz="0" w:space="0" w:color="auto"/>
        <w:left w:val="none" w:sz="0" w:space="0" w:color="auto"/>
        <w:bottom w:val="none" w:sz="0" w:space="0" w:color="auto"/>
        <w:right w:val="none" w:sz="0" w:space="0" w:color="auto"/>
      </w:divBdr>
    </w:div>
    <w:div w:id="526913502">
      <w:bodyDiv w:val="1"/>
      <w:marLeft w:val="0"/>
      <w:marRight w:val="0"/>
      <w:marTop w:val="0"/>
      <w:marBottom w:val="0"/>
      <w:divBdr>
        <w:top w:val="none" w:sz="0" w:space="0" w:color="auto"/>
        <w:left w:val="none" w:sz="0" w:space="0" w:color="auto"/>
        <w:bottom w:val="none" w:sz="0" w:space="0" w:color="auto"/>
        <w:right w:val="none" w:sz="0" w:space="0" w:color="auto"/>
      </w:divBdr>
    </w:div>
    <w:div w:id="1497843785">
      <w:bodyDiv w:val="1"/>
      <w:marLeft w:val="0"/>
      <w:marRight w:val="0"/>
      <w:marTop w:val="0"/>
      <w:marBottom w:val="0"/>
      <w:divBdr>
        <w:top w:val="none" w:sz="0" w:space="0" w:color="auto"/>
        <w:left w:val="none" w:sz="0" w:space="0" w:color="auto"/>
        <w:bottom w:val="none" w:sz="0" w:space="0" w:color="auto"/>
        <w:right w:val="none" w:sz="0" w:space="0" w:color="auto"/>
      </w:divBdr>
      <w:divsChild>
        <w:div w:id="345446410">
          <w:marLeft w:val="1300"/>
          <w:marRight w:val="1300"/>
          <w:marTop w:val="182"/>
          <w:marBottom w:val="260"/>
          <w:divBdr>
            <w:top w:val="single" w:sz="6" w:space="5" w:color="DDDDDD"/>
            <w:left w:val="single" w:sz="6" w:space="5" w:color="DDDDDD"/>
            <w:bottom w:val="single" w:sz="6" w:space="5" w:color="DDDDDD"/>
            <w:right w:val="single" w:sz="6" w:space="5" w:color="DDDDDD"/>
          </w:divBdr>
          <w:divsChild>
            <w:div w:id="72216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738799">
      <w:bodyDiv w:val="1"/>
      <w:marLeft w:val="0"/>
      <w:marRight w:val="0"/>
      <w:marTop w:val="0"/>
      <w:marBottom w:val="0"/>
      <w:divBdr>
        <w:top w:val="none" w:sz="0" w:space="0" w:color="auto"/>
        <w:left w:val="none" w:sz="0" w:space="0" w:color="auto"/>
        <w:bottom w:val="none" w:sz="0" w:space="0" w:color="auto"/>
        <w:right w:val="none" w:sz="0" w:space="0" w:color="auto"/>
      </w:divBdr>
    </w:div>
    <w:div w:id="186725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ebt.org/credit/cards/interest/" TargetMode="External"/><Relationship Id="rId3" Type="http://schemas.openxmlformats.org/officeDocument/2006/relationships/settings" Target="settings.xml"/><Relationship Id="rId7" Type="http://schemas.openxmlformats.org/officeDocument/2006/relationships/hyperlink" Target="https://www.debt.org/credit/revolv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ebt.org/credit/improving-your-score/"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Windows7</cp:lastModifiedBy>
  <cp:revision>9</cp:revision>
  <dcterms:created xsi:type="dcterms:W3CDTF">2016-04-01T14:09:00Z</dcterms:created>
  <dcterms:modified xsi:type="dcterms:W3CDTF">2016-04-01T16:34:00Z</dcterms:modified>
</cp:coreProperties>
</file>