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40A" w:rsidRPr="00E469A3" w:rsidRDefault="00DA440A" w:rsidP="00E469A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69A3">
        <w:rPr>
          <w:rFonts w:ascii="Times New Roman" w:hAnsi="Times New Roman" w:cs="Times New Roman"/>
          <w:b/>
          <w:bCs/>
          <w:sz w:val="24"/>
          <w:szCs w:val="24"/>
        </w:rPr>
        <w:t>EE 474</w:t>
      </w:r>
    </w:p>
    <w:p w:rsidR="00DA440A" w:rsidRPr="00E469A3" w:rsidRDefault="00DA440A" w:rsidP="00E469A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69A3">
        <w:rPr>
          <w:rFonts w:ascii="Times New Roman" w:hAnsi="Times New Roman" w:cs="Times New Roman"/>
          <w:b/>
          <w:bCs/>
          <w:sz w:val="24"/>
          <w:szCs w:val="24"/>
        </w:rPr>
        <w:t>Semester 1/2012</w:t>
      </w:r>
    </w:p>
    <w:p w:rsidR="00884BDA" w:rsidRPr="00E469A3" w:rsidRDefault="00DA440A" w:rsidP="00E469A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69A3">
        <w:rPr>
          <w:rFonts w:ascii="Times New Roman" w:hAnsi="Times New Roman" w:cs="Times New Roman"/>
          <w:b/>
          <w:bCs/>
          <w:sz w:val="24"/>
          <w:szCs w:val="24"/>
        </w:rPr>
        <w:t>Instruction for Referee Report</w:t>
      </w:r>
    </w:p>
    <w:p w:rsidR="00DA440A" w:rsidRDefault="00DA440A">
      <w:pPr>
        <w:rPr>
          <w:rFonts w:ascii="Times New Roman" w:hAnsi="Times New Roman" w:cs="Times New Roman"/>
          <w:sz w:val="24"/>
          <w:szCs w:val="24"/>
        </w:rPr>
      </w:pPr>
    </w:p>
    <w:p w:rsidR="00E469A3" w:rsidRDefault="000E01BD" w:rsidP="00E469A3">
      <w:pPr>
        <w:pStyle w:val="ListParagraph"/>
        <w:spacing w:before="120" w:line="36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referee report is </w:t>
      </w:r>
      <w:r w:rsidR="00E00188">
        <w:rPr>
          <w:rFonts w:ascii="Times New Roman" w:hAnsi="Times New Roman" w:cs="Times New Roman"/>
          <w:sz w:val="24"/>
          <w:szCs w:val="24"/>
        </w:rPr>
        <w:t xml:space="preserve">generally </w:t>
      </w:r>
      <w:r>
        <w:rPr>
          <w:rFonts w:ascii="Times New Roman" w:hAnsi="Times New Roman" w:cs="Times New Roman"/>
          <w:sz w:val="24"/>
          <w:szCs w:val="24"/>
        </w:rPr>
        <w:t xml:space="preserve">a review of a manuscript submitted </w:t>
      </w:r>
      <w:r w:rsidR="00E00188">
        <w:rPr>
          <w:rFonts w:ascii="Times New Roman" w:hAnsi="Times New Roman" w:cs="Times New Roman"/>
          <w:sz w:val="24"/>
          <w:szCs w:val="24"/>
        </w:rPr>
        <w:t>for publication</w:t>
      </w:r>
      <w:r>
        <w:rPr>
          <w:rFonts w:ascii="Times New Roman" w:hAnsi="Times New Roman" w:cs="Times New Roman"/>
          <w:sz w:val="24"/>
          <w:szCs w:val="24"/>
        </w:rPr>
        <w:t>.  For the purpose of this class, y</w:t>
      </w:r>
      <w:r w:rsidR="00E469A3">
        <w:rPr>
          <w:rFonts w:ascii="Times New Roman" w:hAnsi="Times New Roman" w:cs="Times New Roman"/>
          <w:sz w:val="24"/>
          <w:szCs w:val="24"/>
        </w:rPr>
        <w:t xml:space="preserve">ou are asked to review one of the </w:t>
      </w:r>
      <w:r w:rsidR="00DA46A5">
        <w:rPr>
          <w:rFonts w:ascii="Times New Roman" w:hAnsi="Times New Roman" w:cs="Times New Roman"/>
          <w:sz w:val="24"/>
          <w:szCs w:val="24"/>
        </w:rPr>
        <w:t>journal article</w:t>
      </w:r>
      <w:r w:rsidR="00E00188">
        <w:rPr>
          <w:rFonts w:ascii="Times New Roman" w:hAnsi="Times New Roman" w:cs="Times New Roman"/>
          <w:sz w:val="24"/>
          <w:szCs w:val="24"/>
        </w:rPr>
        <w:t>s</w:t>
      </w:r>
      <w:r w:rsidR="00E469A3">
        <w:rPr>
          <w:rFonts w:ascii="Times New Roman" w:hAnsi="Times New Roman" w:cs="Times New Roman"/>
          <w:sz w:val="24"/>
          <w:szCs w:val="24"/>
        </w:rPr>
        <w:t xml:space="preserve"> on the suggested list.  </w:t>
      </w:r>
      <w:r w:rsidR="00DA46A5">
        <w:rPr>
          <w:rFonts w:ascii="Times New Roman" w:hAnsi="Times New Roman" w:cs="Times New Roman"/>
          <w:sz w:val="24"/>
          <w:szCs w:val="24"/>
        </w:rPr>
        <w:t xml:space="preserve">The </w:t>
      </w:r>
      <w:r w:rsidR="00E469A3">
        <w:rPr>
          <w:rFonts w:ascii="Times New Roman" w:hAnsi="Times New Roman" w:cs="Times New Roman"/>
          <w:sz w:val="24"/>
          <w:szCs w:val="24"/>
        </w:rPr>
        <w:t>review should contain the following items:</w:t>
      </w:r>
    </w:p>
    <w:p w:rsidR="000E01BD" w:rsidRDefault="00E469A3" w:rsidP="00E469A3">
      <w:pPr>
        <w:pStyle w:val="ListParagraph"/>
        <w:numPr>
          <w:ilvl w:val="0"/>
          <w:numId w:val="2"/>
        </w:num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E00188">
        <w:rPr>
          <w:rFonts w:ascii="Times New Roman" w:hAnsi="Times New Roman" w:cs="Times New Roman"/>
          <w:i/>
          <w:iCs/>
          <w:sz w:val="24"/>
          <w:szCs w:val="24"/>
        </w:rPr>
        <w:t xml:space="preserve">A summary of the </w:t>
      </w:r>
      <w:r w:rsidR="00DA46A5">
        <w:rPr>
          <w:rFonts w:ascii="Times New Roman" w:hAnsi="Times New Roman" w:cs="Times New Roman"/>
          <w:i/>
          <w:iCs/>
          <w:sz w:val="24"/>
          <w:szCs w:val="24"/>
        </w:rPr>
        <w:t>article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E00188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includes the objective, conceptual </w:t>
      </w:r>
      <w:r w:rsidR="00E0018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or theoretical</w:t>
      </w:r>
      <w:r w:rsidR="00E0018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framework, data and methodology, findings, </w:t>
      </w:r>
      <w:r w:rsidR="00DA46A5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 xml:space="preserve">conclusion of the </w:t>
      </w:r>
      <w:r w:rsidR="00E00188">
        <w:rPr>
          <w:rFonts w:ascii="Times New Roman" w:hAnsi="Times New Roman" w:cs="Times New Roman"/>
          <w:sz w:val="24"/>
          <w:szCs w:val="24"/>
        </w:rPr>
        <w:t>article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E01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440A" w:rsidRPr="00DA440A" w:rsidRDefault="00E00188" w:rsidP="00E469A3">
      <w:pPr>
        <w:pStyle w:val="ListParagraph"/>
        <w:numPr>
          <w:ilvl w:val="0"/>
          <w:numId w:val="2"/>
        </w:num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E00188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DA440A" w:rsidRPr="00E00188">
        <w:rPr>
          <w:rFonts w:ascii="Times New Roman" w:hAnsi="Times New Roman" w:cs="Times New Roman"/>
          <w:i/>
          <w:iCs/>
          <w:sz w:val="24"/>
          <w:szCs w:val="24"/>
        </w:rPr>
        <w:t xml:space="preserve"> critique</w:t>
      </w:r>
      <w:r w:rsidR="00E469A3" w:rsidRPr="00E00188">
        <w:rPr>
          <w:rFonts w:ascii="Times New Roman" w:hAnsi="Times New Roman" w:cs="Times New Roman"/>
          <w:i/>
          <w:iCs/>
          <w:sz w:val="24"/>
          <w:szCs w:val="24"/>
        </w:rPr>
        <w:t xml:space="preserve"> of the </w:t>
      </w:r>
      <w:r>
        <w:rPr>
          <w:rFonts w:ascii="Times New Roman" w:hAnsi="Times New Roman" w:cs="Times New Roman"/>
          <w:i/>
          <w:iCs/>
          <w:sz w:val="24"/>
          <w:szCs w:val="24"/>
        </w:rPr>
        <w:t>article</w:t>
      </w:r>
      <w:r w:rsidR="00E469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This critique should</w:t>
      </w:r>
      <w:r w:rsidR="00E469A3">
        <w:rPr>
          <w:rFonts w:ascii="Times New Roman" w:hAnsi="Times New Roman" w:cs="Times New Roman"/>
          <w:sz w:val="24"/>
          <w:szCs w:val="24"/>
        </w:rPr>
        <w:t xml:space="preserve"> address the contribution of </w:t>
      </w:r>
      <w:r w:rsidR="00DA46A5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article</w:t>
      </w:r>
      <w:r w:rsidR="00E469A3">
        <w:rPr>
          <w:rFonts w:ascii="Times New Roman" w:hAnsi="Times New Roman" w:cs="Times New Roman"/>
          <w:sz w:val="24"/>
          <w:szCs w:val="24"/>
        </w:rPr>
        <w:t xml:space="preserve"> to the literature in the field.  Discuss the strength and weaknesses (or limitation</w:t>
      </w:r>
      <w:r w:rsidR="00DA46A5">
        <w:rPr>
          <w:rFonts w:ascii="Times New Roman" w:hAnsi="Times New Roman" w:cs="Times New Roman"/>
          <w:sz w:val="24"/>
          <w:szCs w:val="24"/>
        </w:rPr>
        <w:t>s</w:t>
      </w:r>
      <w:r w:rsidR="00E469A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of the article</w:t>
      </w:r>
      <w:r w:rsidR="00E469A3">
        <w:rPr>
          <w:rFonts w:ascii="Times New Roman" w:hAnsi="Times New Roman" w:cs="Times New Roman"/>
          <w:sz w:val="24"/>
          <w:szCs w:val="24"/>
        </w:rPr>
        <w:t xml:space="preserve">.  You may compare and contrast this </w:t>
      </w:r>
      <w:r>
        <w:rPr>
          <w:rFonts w:ascii="Times New Roman" w:hAnsi="Times New Roman" w:cs="Times New Roman"/>
          <w:sz w:val="24"/>
          <w:szCs w:val="24"/>
        </w:rPr>
        <w:t>article</w:t>
      </w:r>
      <w:r w:rsidR="00E469A3">
        <w:rPr>
          <w:rFonts w:ascii="Times New Roman" w:hAnsi="Times New Roman" w:cs="Times New Roman"/>
          <w:sz w:val="24"/>
          <w:szCs w:val="24"/>
        </w:rPr>
        <w:t xml:space="preserve"> to other related </w:t>
      </w:r>
      <w:r>
        <w:rPr>
          <w:rFonts w:ascii="Times New Roman" w:hAnsi="Times New Roman" w:cs="Times New Roman"/>
          <w:sz w:val="24"/>
          <w:szCs w:val="24"/>
        </w:rPr>
        <w:t>articles</w:t>
      </w:r>
      <w:r w:rsidR="00E469A3">
        <w:rPr>
          <w:rFonts w:ascii="Times New Roman" w:hAnsi="Times New Roman" w:cs="Times New Roman"/>
          <w:sz w:val="24"/>
          <w:szCs w:val="24"/>
        </w:rPr>
        <w:t>.</w:t>
      </w:r>
    </w:p>
    <w:p w:rsidR="00000000" w:rsidRDefault="00DA46A5" w:rsidP="00E469A3">
      <w:pPr>
        <w:spacing w:before="120" w:line="36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length of this referee</w:t>
      </w:r>
      <w:r w:rsidR="00C50077" w:rsidRPr="00DA440A">
        <w:rPr>
          <w:rFonts w:ascii="Times New Roman" w:hAnsi="Times New Roman" w:cs="Times New Roman"/>
          <w:sz w:val="24"/>
          <w:szCs w:val="24"/>
        </w:rPr>
        <w:t xml:space="preserve"> report should not exceed 5 pages </w:t>
      </w:r>
      <w:r>
        <w:rPr>
          <w:rFonts w:ascii="Times New Roman" w:hAnsi="Times New Roman" w:cs="Times New Roman"/>
          <w:sz w:val="24"/>
          <w:szCs w:val="24"/>
        </w:rPr>
        <w:t>(double-space, 12 font), and it is due on Friday November 30, 2012, in class.</w:t>
      </w:r>
      <w:r w:rsidR="00C50077" w:rsidRPr="00DA44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46A5" w:rsidRDefault="00DA46A5" w:rsidP="00DA46A5">
      <w:p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</w:p>
    <w:p w:rsidR="00DA46A5" w:rsidRDefault="00DA46A5" w:rsidP="00DA46A5">
      <w:p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DA46A5">
        <w:rPr>
          <w:rFonts w:ascii="Times New Roman" w:hAnsi="Times New Roman" w:cs="Times New Roman"/>
          <w:sz w:val="24"/>
          <w:szCs w:val="24"/>
          <w:u w:val="single"/>
        </w:rPr>
        <w:t>Suggested Articles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A46A5" w:rsidRPr="00C50077" w:rsidRDefault="00DA46A5" w:rsidP="00C50077">
      <w:pPr>
        <w:spacing w:before="120" w:line="360" w:lineRule="auto"/>
        <w:ind w:left="720" w:hanging="720"/>
        <w:rPr>
          <w:rFonts w:ascii="Times New Roman" w:hAnsi="Times New Roman" w:cs="Times New Roman"/>
          <w:sz w:val="24"/>
          <w:szCs w:val="24"/>
          <w:lang w:bidi="th-TH"/>
        </w:rPr>
      </w:pP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Bate,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R., Jin, G. Z., &amp; </w:t>
      </w:r>
      <w:proofErr w:type="spell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Mathur</w:t>
      </w:r>
      <w:proofErr w:type="spell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, A. (2011). Does price reveal poor-quality drugs? </w:t>
      </w: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Evidence from 17 countries.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</w:t>
      </w:r>
      <w:r w:rsidRPr="00C50077">
        <w:rPr>
          <w:rFonts w:ascii="Times New Roman" w:hAnsi="Times New Roman" w:cs="Times New Roman"/>
          <w:i/>
          <w:iCs/>
          <w:sz w:val="24"/>
          <w:szCs w:val="24"/>
          <w:lang w:bidi="th-TH"/>
        </w:rPr>
        <w:t>Journal of Health Economics, 30</w:t>
      </w:r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(6), 1150-1163. </w:t>
      </w:r>
      <w:proofErr w:type="spellStart"/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doi</w:t>
      </w:r>
      <w:proofErr w:type="spellEnd"/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>: 10.1016/j.jhealeco.2011.08.006</w:t>
      </w:r>
    </w:p>
    <w:p w:rsidR="0010406C" w:rsidRPr="00C50077" w:rsidRDefault="0010406C" w:rsidP="00C50077">
      <w:pPr>
        <w:spacing w:before="120" w:line="360" w:lineRule="auto"/>
        <w:ind w:left="720" w:hanging="720"/>
        <w:rPr>
          <w:rFonts w:ascii="Times New Roman" w:hAnsi="Times New Roman" w:cs="Times New Roman"/>
          <w:sz w:val="24"/>
          <w:szCs w:val="24"/>
          <w:lang w:bidi="th-TH"/>
        </w:rPr>
      </w:pPr>
      <w:proofErr w:type="spell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Bayindir</w:t>
      </w:r>
      <w:proofErr w:type="spell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, E. E. (2012). </w:t>
      </w: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Hospital ownership type and treatment choices.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</w:t>
      </w:r>
      <w:r w:rsidRPr="00C50077">
        <w:rPr>
          <w:rFonts w:ascii="Times New Roman" w:hAnsi="Times New Roman" w:cs="Times New Roman"/>
          <w:i/>
          <w:iCs/>
          <w:sz w:val="24"/>
          <w:szCs w:val="24"/>
          <w:lang w:bidi="th-TH"/>
        </w:rPr>
        <w:t>Journal of Health Economics, 31</w:t>
      </w:r>
      <w:r w:rsidRPr="00C50077">
        <w:rPr>
          <w:rFonts w:ascii="Times New Roman" w:hAnsi="Times New Roman" w:cs="Times New Roman"/>
          <w:sz w:val="24"/>
          <w:szCs w:val="24"/>
          <w:lang w:bidi="th-TH"/>
        </w:rPr>
        <w:t>(2), 359-370.</w:t>
      </w:r>
    </w:p>
    <w:p w:rsidR="0010406C" w:rsidRPr="00C50077" w:rsidRDefault="0010406C" w:rsidP="00C50077">
      <w:pPr>
        <w:spacing w:before="120" w:line="360" w:lineRule="auto"/>
        <w:ind w:left="720" w:hanging="720"/>
        <w:rPr>
          <w:rFonts w:ascii="Times New Roman" w:hAnsi="Times New Roman" w:cs="Times New Roman"/>
          <w:sz w:val="24"/>
          <w:szCs w:val="24"/>
          <w:lang w:bidi="th-TH"/>
        </w:rPr>
      </w:pPr>
      <w:proofErr w:type="spellStart"/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Bleichrodt</w:t>
      </w:r>
      <w:proofErr w:type="spell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, H., Rohde, K. I. M., &amp; Van </w:t>
      </w:r>
      <w:proofErr w:type="spell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Ourti</w:t>
      </w:r>
      <w:proofErr w:type="spellEnd"/>
      <w:r w:rsidRPr="00C50077">
        <w:rPr>
          <w:rFonts w:ascii="Times New Roman" w:hAnsi="Times New Roman" w:cs="Times New Roman"/>
          <w:sz w:val="24"/>
          <w:szCs w:val="24"/>
          <w:lang w:bidi="th-TH"/>
        </w:rPr>
        <w:t>, T. (2012).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</w:t>
      </w: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An experimental test of the concentration index.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</w:t>
      </w:r>
      <w:r w:rsidRPr="00C50077">
        <w:rPr>
          <w:rFonts w:ascii="Times New Roman" w:hAnsi="Times New Roman" w:cs="Times New Roman"/>
          <w:i/>
          <w:iCs/>
          <w:sz w:val="24"/>
          <w:szCs w:val="24"/>
          <w:lang w:bidi="th-TH"/>
        </w:rPr>
        <w:t>Journal of Health Economics, 31</w:t>
      </w:r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(1), 86-98. </w:t>
      </w:r>
      <w:proofErr w:type="spellStart"/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doi</w:t>
      </w:r>
      <w:proofErr w:type="spellEnd"/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>: 10.1016/j.jhealeco.2011.12.003</w:t>
      </w:r>
    </w:p>
    <w:p w:rsidR="0010406C" w:rsidRPr="00C50077" w:rsidRDefault="0010406C" w:rsidP="00C50077">
      <w:pPr>
        <w:spacing w:before="120" w:line="360" w:lineRule="auto"/>
        <w:ind w:left="720" w:hanging="720"/>
        <w:rPr>
          <w:rFonts w:ascii="Times New Roman" w:hAnsi="Times New Roman" w:cs="Times New Roman"/>
          <w:sz w:val="24"/>
          <w:szCs w:val="24"/>
          <w:lang w:bidi="th-TH"/>
        </w:rPr>
      </w:pP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Chen, Y., &amp; Jin, G. Z. (2012).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Does health insurance coverage lead to better health and educational outcomes? </w:t>
      </w: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Evidence from rural China.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</w:t>
      </w:r>
      <w:r w:rsidRPr="00C50077">
        <w:rPr>
          <w:rFonts w:ascii="Times New Roman" w:hAnsi="Times New Roman" w:cs="Times New Roman"/>
          <w:i/>
          <w:iCs/>
          <w:sz w:val="24"/>
          <w:szCs w:val="24"/>
          <w:lang w:bidi="th-TH"/>
        </w:rPr>
        <w:t>Journal of Health Economics, 31</w:t>
      </w:r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(1), 1-14. </w:t>
      </w:r>
      <w:proofErr w:type="spellStart"/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doi</w:t>
      </w:r>
      <w:proofErr w:type="spellEnd"/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>: 10.1016/j.jhealeco.2011.11.001</w:t>
      </w:r>
    </w:p>
    <w:p w:rsidR="0010406C" w:rsidRPr="00C50077" w:rsidRDefault="0010406C" w:rsidP="00C50077">
      <w:pPr>
        <w:spacing w:before="120" w:line="360" w:lineRule="auto"/>
        <w:ind w:left="720" w:hanging="720"/>
        <w:rPr>
          <w:rFonts w:ascii="Times New Roman" w:hAnsi="Times New Roman" w:cs="Times New Roman"/>
          <w:sz w:val="24"/>
          <w:szCs w:val="24"/>
          <w:lang w:bidi="th-TH"/>
        </w:rPr>
      </w:pP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Duarte, F. (2012).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</w:t>
      </w: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Price elasticity of expenditure across health care services.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</w:t>
      </w:r>
      <w:r w:rsidRPr="00C50077">
        <w:rPr>
          <w:rFonts w:ascii="Times New Roman" w:hAnsi="Times New Roman" w:cs="Times New Roman"/>
          <w:i/>
          <w:iCs/>
          <w:sz w:val="24"/>
          <w:szCs w:val="24"/>
          <w:lang w:bidi="th-TH"/>
        </w:rPr>
        <w:t>Journal of Health Economics, 31</w:t>
      </w:r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(6), 824-841. </w:t>
      </w:r>
      <w:proofErr w:type="spellStart"/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doi</w:t>
      </w:r>
      <w:proofErr w:type="spellEnd"/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>: 10.1016/j.jhealeco.2012.07.002</w:t>
      </w:r>
    </w:p>
    <w:p w:rsidR="0010406C" w:rsidRPr="00C50077" w:rsidRDefault="0010406C" w:rsidP="00C50077">
      <w:pPr>
        <w:spacing w:before="120" w:line="360" w:lineRule="auto"/>
        <w:ind w:left="720" w:hanging="720"/>
        <w:rPr>
          <w:rFonts w:ascii="Times New Roman" w:hAnsi="Times New Roman" w:cs="Times New Roman"/>
          <w:sz w:val="24"/>
          <w:szCs w:val="24"/>
          <w:lang w:bidi="th-TH"/>
        </w:rPr>
      </w:pPr>
      <w:r w:rsidRPr="00C50077">
        <w:rPr>
          <w:rFonts w:ascii="Times New Roman" w:hAnsi="Times New Roman" w:cs="Times New Roman"/>
          <w:sz w:val="24"/>
          <w:szCs w:val="24"/>
          <w:lang w:bidi="th-TH"/>
        </w:rPr>
        <w:lastRenderedPageBreak/>
        <w:t xml:space="preserve">Hollingsworth, B. (2008). </w:t>
      </w: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The measurement of efficiency and productivity of health care delivery.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</w:t>
      </w:r>
      <w:r w:rsidRPr="00C50077">
        <w:rPr>
          <w:rFonts w:ascii="Times New Roman" w:hAnsi="Times New Roman" w:cs="Times New Roman"/>
          <w:i/>
          <w:iCs/>
          <w:sz w:val="24"/>
          <w:szCs w:val="24"/>
          <w:lang w:bidi="th-TH"/>
        </w:rPr>
        <w:t>Health Economics, 17</w:t>
      </w:r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(10), 1107-1128. </w:t>
      </w:r>
      <w:proofErr w:type="spellStart"/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doi</w:t>
      </w:r>
      <w:proofErr w:type="spellEnd"/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>: 10.1002/hec.1391</w:t>
      </w:r>
    </w:p>
    <w:p w:rsidR="0010406C" w:rsidRPr="00C50077" w:rsidRDefault="0010406C" w:rsidP="00C50077">
      <w:pPr>
        <w:spacing w:before="120" w:line="360" w:lineRule="auto"/>
        <w:ind w:left="720" w:hanging="720"/>
        <w:rPr>
          <w:rFonts w:ascii="Times New Roman" w:hAnsi="Times New Roman" w:cs="Times New Roman"/>
          <w:sz w:val="24"/>
          <w:szCs w:val="24"/>
          <w:lang w:bidi="th-TH"/>
        </w:rPr>
      </w:pP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Kruse, I., </w:t>
      </w:r>
      <w:proofErr w:type="spell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Pradhan</w:t>
      </w:r>
      <w:proofErr w:type="spellEnd"/>
      <w:r w:rsidRPr="00C50077">
        <w:rPr>
          <w:rFonts w:ascii="Times New Roman" w:hAnsi="Times New Roman" w:cs="Times New Roman"/>
          <w:sz w:val="24"/>
          <w:szCs w:val="24"/>
          <w:lang w:bidi="th-TH"/>
        </w:rPr>
        <w:t>, M., &amp; Sparrow, R. (2012).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Marginal benefit incidence of public health spending: Evidence from Indonesian sub-national data. </w:t>
      </w:r>
      <w:r w:rsidRPr="00C50077">
        <w:rPr>
          <w:rFonts w:ascii="Times New Roman" w:hAnsi="Times New Roman" w:cs="Times New Roman"/>
          <w:i/>
          <w:iCs/>
          <w:sz w:val="24"/>
          <w:szCs w:val="24"/>
          <w:lang w:bidi="th-TH"/>
        </w:rPr>
        <w:t>Journal of Health Economics, 31</w:t>
      </w:r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(1), 147-157. </w:t>
      </w:r>
      <w:proofErr w:type="spellStart"/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doi</w:t>
      </w:r>
      <w:proofErr w:type="spellEnd"/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>: 10.1016/j.jhealeco.2011.09.003</w:t>
      </w:r>
    </w:p>
    <w:p w:rsidR="0010406C" w:rsidRPr="00C50077" w:rsidRDefault="0010406C" w:rsidP="00C50077">
      <w:pPr>
        <w:spacing w:before="120" w:line="360" w:lineRule="auto"/>
        <w:ind w:left="720" w:hanging="720"/>
        <w:rPr>
          <w:rFonts w:ascii="Times New Roman" w:hAnsi="Times New Roman" w:cs="Times New Roman"/>
          <w:sz w:val="24"/>
          <w:szCs w:val="24"/>
          <w:lang w:bidi="th-TH"/>
        </w:rPr>
      </w:pPr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Levy, M., &amp; </w:t>
      </w:r>
      <w:proofErr w:type="spell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Nir</w:t>
      </w:r>
      <w:proofErr w:type="spell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, A. R. (2012). </w:t>
      </w: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The utility of health and wealth.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</w:t>
      </w:r>
      <w:r w:rsidRPr="00C50077">
        <w:rPr>
          <w:rFonts w:ascii="Times New Roman" w:hAnsi="Times New Roman" w:cs="Times New Roman"/>
          <w:i/>
          <w:iCs/>
          <w:sz w:val="24"/>
          <w:szCs w:val="24"/>
          <w:lang w:bidi="th-TH"/>
        </w:rPr>
        <w:t>Journal of Health Economics, 31</w:t>
      </w:r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(2), 379-392. </w:t>
      </w:r>
      <w:proofErr w:type="spellStart"/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doi</w:t>
      </w:r>
      <w:proofErr w:type="spellEnd"/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>: 10.1016/j.jhealeco.2012.02.003</w:t>
      </w:r>
    </w:p>
    <w:p w:rsidR="0010406C" w:rsidRPr="00C50077" w:rsidRDefault="0010406C" w:rsidP="00C50077">
      <w:pPr>
        <w:spacing w:before="12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Liu, X., </w:t>
      </w:r>
      <w:proofErr w:type="spell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Nestic</w:t>
      </w:r>
      <w:proofErr w:type="spell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, D., &amp; </w:t>
      </w:r>
      <w:proofErr w:type="spell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Vukina</w:t>
      </w:r>
      <w:proofErr w:type="spellEnd"/>
      <w:r w:rsidRPr="00C50077">
        <w:rPr>
          <w:rFonts w:ascii="Times New Roman" w:hAnsi="Times New Roman" w:cs="Times New Roman"/>
          <w:sz w:val="24"/>
          <w:szCs w:val="24"/>
          <w:lang w:bidi="th-TH"/>
        </w:rPr>
        <w:t>, T. (2012).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Estimating adverse selection and moral hazard effects with hospital invoice data in a government-controlled healthcare system. </w:t>
      </w:r>
      <w:r w:rsidRPr="00C50077">
        <w:rPr>
          <w:rFonts w:ascii="Times New Roman" w:hAnsi="Times New Roman" w:cs="Times New Roman"/>
          <w:i/>
          <w:iCs/>
          <w:sz w:val="24"/>
          <w:szCs w:val="24"/>
          <w:lang w:bidi="th-TH"/>
        </w:rPr>
        <w:t>Health Economics, 21</w:t>
      </w:r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(8), 883-901. </w:t>
      </w:r>
      <w:proofErr w:type="spellStart"/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doi</w:t>
      </w:r>
      <w:proofErr w:type="spellEnd"/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>: 10.1002/hec.1756</w:t>
      </w:r>
    </w:p>
    <w:p w:rsidR="00DA440A" w:rsidRPr="00C50077" w:rsidRDefault="00C50077" w:rsidP="00C50077">
      <w:pPr>
        <w:spacing w:before="120" w:line="360" w:lineRule="auto"/>
        <w:ind w:left="720" w:hanging="720"/>
        <w:rPr>
          <w:rFonts w:ascii="Times New Roman" w:hAnsi="Times New Roman" w:cs="Times New Roman"/>
          <w:sz w:val="24"/>
          <w:szCs w:val="24"/>
          <w:lang w:bidi="th-TH"/>
        </w:rPr>
      </w:pP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Liu, Y.-M., Yang, Y.-H.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</w:t>
      </w: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K., &amp; Hsieh, C.-R.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</w:t>
      </w: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(2012). Regulation and competition in the Taiwanese pharmaceutical market under national health insurance.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</w:t>
      </w:r>
      <w:r w:rsidRPr="00C50077">
        <w:rPr>
          <w:rFonts w:ascii="Times New Roman" w:hAnsi="Times New Roman" w:cs="Times New Roman"/>
          <w:i/>
          <w:iCs/>
          <w:sz w:val="24"/>
          <w:szCs w:val="24"/>
          <w:lang w:bidi="th-TH"/>
        </w:rPr>
        <w:t>Journal of Health Economics, 31</w:t>
      </w:r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(3), 471-483. </w:t>
      </w:r>
      <w:proofErr w:type="spellStart"/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doi</w:t>
      </w:r>
      <w:proofErr w:type="spellEnd"/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>: 10.1016/j.jhealeco.2012.03.003</w:t>
      </w:r>
    </w:p>
    <w:p w:rsidR="00C50077" w:rsidRPr="00C50077" w:rsidRDefault="00C50077" w:rsidP="00C50077">
      <w:pPr>
        <w:spacing w:before="120" w:line="360" w:lineRule="auto"/>
        <w:ind w:left="720" w:hanging="720"/>
        <w:rPr>
          <w:rFonts w:ascii="Times New Roman" w:hAnsi="Times New Roman" w:cs="Times New Roman"/>
          <w:sz w:val="24"/>
          <w:szCs w:val="24"/>
          <w:lang w:bidi="th-TH"/>
        </w:rPr>
      </w:pPr>
      <w:proofErr w:type="spellStart"/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Lordan</w:t>
      </w:r>
      <w:proofErr w:type="spellEnd"/>
      <w:r w:rsidRPr="00C50077">
        <w:rPr>
          <w:rFonts w:ascii="Times New Roman" w:hAnsi="Times New Roman" w:cs="Times New Roman"/>
          <w:sz w:val="24"/>
          <w:szCs w:val="24"/>
          <w:lang w:bidi="th-TH"/>
        </w:rPr>
        <w:t>, G., Soto, E. J., Brown, R. P. C., &amp; Correa-</w:t>
      </w:r>
      <w:proofErr w:type="spell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Valez</w:t>
      </w:r>
      <w:proofErr w:type="spellEnd"/>
      <w:r w:rsidRPr="00C50077">
        <w:rPr>
          <w:rFonts w:ascii="Times New Roman" w:hAnsi="Times New Roman" w:cs="Times New Roman"/>
          <w:sz w:val="24"/>
          <w:szCs w:val="24"/>
          <w:lang w:bidi="th-TH"/>
        </w:rPr>
        <w:t>, I. (2012).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</w:t>
      </w: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Socioeconomic status and health outcomes in a developing country.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</w:t>
      </w:r>
      <w:r w:rsidRPr="00C50077">
        <w:rPr>
          <w:rFonts w:ascii="Times New Roman" w:hAnsi="Times New Roman" w:cs="Times New Roman"/>
          <w:i/>
          <w:iCs/>
          <w:sz w:val="24"/>
          <w:szCs w:val="24"/>
          <w:lang w:bidi="th-TH"/>
        </w:rPr>
        <w:t>Health Economics, 21</w:t>
      </w:r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(2), 178-186. </w:t>
      </w:r>
      <w:proofErr w:type="spellStart"/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doi</w:t>
      </w:r>
      <w:proofErr w:type="spellEnd"/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>: 10.1002/hec.1703</w:t>
      </w:r>
    </w:p>
    <w:p w:rsidR="00C50077" w:rsidRPr="00C50077" w:rsidRDefault="00C50077" w:rsidP="00C50077">
      <w:pPr>
        <w:spacing w:before="12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Wagstaff</w:t>
      </w:r>
      <w:proofErr w:type="spell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, A., &amp; </w:t>
      </w:r>
      <w:proofErr w:type="spell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Lindelow</w:t>
      </w:r>
      <w:proofErr w:type="spellEnd"/>
      <w:r w:rsidRPr="00C50077">
        <w:rPr>
          <w:rFonts w:ascii="Times New Roman" w:hAnsi="Times New Roman" w:cs="Times New Roman"/>
          <w:sz w:val="24"/>
          <w:szCs w:val="24"/>
          <w:lang w:bidi="th-TH"/>
        </w:rPr>
        <w:t>, M. (2008).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Can insurance increase financial risk</w:t>
      </w:r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?: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The curious case of health insurance in China. </w:t>
      </w:r>
      <w:proofErr w:type="gramStart"/>
      <w:r w:rsidRPr="00C50077">
        <w:rPr>
          <w:rFonts w:ascii="Times New Roman" w:hAnsi="Times New Roman" w:cs="Times New Roman"/>
          <w:i/>
          <w:iCs/>
          <w:sz w:val="24"/>
          <w:szCs w:val="24"/>
          <w:lang w:bidi="th-TH"/>
        </w:rPr>
        <w:t>Journal of Health Economics, 27</w:t>
      </w:r>
      <w:r w:rsidRPr="00C50077">
        <w:rPr>
          <w:rFonts w:ascii="Times New Roman" w:hAnsi="Times New Roman" w:cs="Times New Roman"/>
          <w:sz w:val="24"/>
          <w:szCs w:val="24"/>
          <w:lang w:bidi="th-TH"/>
        </w:rPr>
        <w:t>(4), 990-1005.</w:t>
      </w:r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 xml:space="preserve"> </w:t>
      </w:r>
      <w:proofErr w:type="spellStart"/>
      <w:proofErr w:type="gramStart"/>
      <w:r w:rsidRPr="00C50077">
        <w:rPr>
          <w:rFonts w:ascii="Times New Roman" w:hAnsi="Times New Roman" w:cs="Times New Roman"/>
          <w:sz w:val="24"/>
          <w:szCs w:val="24"/>
          <w:lang w:bidi="th-TH"/>
        </w:rPr>
        <w:t>doi</w:t>
      </w:r>
      <w:proofErr w:type="spellEnd"/>
      <w:proofErr w:type="gramEnd"/>
      <w:r w:rsidRPr="00C50077">
        <w:rPr>
          <w:rFonts w:ascii="Times New Roman" w:hAnsi="Times New Roman" w:cs="Times New Roman"/>
          <w:sz w:val="24"/>
          <w:szCs w:val="24"/>
          <w:lang w:bidi="th-TH"/>
        </w:rPr>
        <w:t>: 10.1016/j.jhealeco.2008.02.002</w:t>
      </w:r>
    </w:p>
    <w:sectPr w:rsidR="00C50077" w:rsidRPr="00C50077" w:rsidSect="00A671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6205A"/>
    <w:multiLevelType w:val="hybridMultilevel"/>
    <w:tmpl w:val="E2BAB5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A46627"/>
    <w:multiLevelType w:val="hybridMultilevel"/>
    <w:tmpl w:val="C6229D22"/>
    <w:lvl w:ilvl="0" w:tplc="8C622012">
      <w:start w:val="1"/>
      <w:numFmt w:val="bullet"/>
      <w:lvlText w:val="0"/>
      <w:lvlJc w:val="left"/>
      <w:pPr>
        <w:tabs>
          <w:tab w:val="num" w:pos="720"/>
        </w:tabs>
        <w:ind w:left="720" w:hanging="360"/>
      </w:pPr>
      <w:rPr>
        <w:rFonts w:ascii="Rage Italic" w:hAnsi="Rage Italic" w:hint="default"/>
      </w:rPr>
    </w:lvl>
    <w:lvl w:ilvl="1" w:tplc="AEBE41D0">
      <w:start w:val="1507"/>
      <w:numFmt w:val="bullet"/>
      <w:lvlText w:val="0"/>
      <w:lvlJc w:val="left"/>
      <w:pPr>
        <w:tabs>
          <w:tab w:val="num" w:pos="1440"/>
        </w:tabs>
        <w:ind w:left="1440" w:hanging="360"/>
      </w:pPr>
      <w:rPr>
        <w:rFonts w:ascii="Rage Italic" w:hAnsi="Rage Italic" w:hint="default"/>
      </w:rPr>
    </w:lvl>
    <w:lvl w:ilvl="2" w:tplc="5C884054" w:tentative="1">
      <w:start w:val="1"/>
      <w:numFmt w:val="bullet"/>
      <w:lvlText w:val="0"/>
      <w:lvlJc w:val="left"/>
      <w:pPr>
        <w:tabs>
          <w:tab w:val="num" w:pos="2160"/>
        </w:tabs>
        <w:ind w:left="2160" w:hanging="360"/>
      </w:pPr>
      <w:rPr>
        <w:rFonts w:ascii="Rage Italic" w:hAnsi="Rage Italic" w:hint="default"/>
      </w:rPr>
    </w:lvl>
    <w:lvl w:ilvl="3" w:tplc="35BAA854" w:tentative="1">
      <w:start w:val="1"/>
      <w:numFmt w:val="bullet"/>
      <w:lvlText w:val="0"/>
      <w:lvlJc w:val="left"/>
      <w:pPr>
        <w:tabs>
          <w:tab w:val="num" w:pos="2880"/>
        </w:tabs>
        <w:ind w:left="2880" w:hanging="360"/>
      </w:pPr>
      <w:rPr>
        <w:rFonts w:ascii="Rage Italic" w:hAnsi="Rage Italic" w:hint="default"/>
      </w:rPr>
    </w:lvl>
    <w:lvl w:ilvl="4" w:tplc="44E4606C" w:tentative="1">
      <w:start w:val="1"/>
      <w:numFmt w:val="bullet"/>
      <w:lvlText w:val="0"/>
      <w:lvlJc w:val="left"/>
      <w:pPr>
        <w:tabs>
          <w:tab w:val="num" w:pos="3600"/>
        </w:tabs>
        <w:ind w:left="3600" w:hanging="360"/>
      </w:pPr>
      <w:rPr>
        <w:rFonts w:ascii="Rage Italic" w:hAnsi="Rage Italic" w:hint="default"/>
      </w:rPr>
    </w:lvl>
    <w:lvl w:ilvl="5" w:tplc="A6102E82" w:tentative="1">
      <w:start w:val="1"/>
      <w:numFmt w:val="bullet"/>
      <w:lvlText w:val="0"/>
      <w:lvlJc w:val="left"/>
      <w:pPr>
        <w:tabs>
          <w:tab w:val="num" w:pos="4320"/>
        </w:tabs>
        <w:ind w:left="4320" w:hanging="360"/>
      </w:pPr>
      <w:rPr>
        <w:rFonts w:ascii="Rage Italic" w:hAnsi="Rage Italic" w:hint="default"/>
      </w:rPr>
    </w:lvl>
    <w:lvl w:ilvl="6" w:tplc="AC1E96C2" w:tentative="1">
      <w:start w:val="1"/>
      <w:numFmt w:val="bullet"/>
      <w:lvlText w:val="0"/>
      <w:lvlJc w:val="left"/>
      <w:pPr>
        <w:tabs>
          <w:tab w:val="num" w:pos="5040"/>
        </w:tabs>
        <w:ind w:left="5040" w:hanging="360"/>
      </w:pPr>
      <w:rPr>
        <w:rFonts w:ascii="Rage Italic" w:hAnsi="Rage Italic" w:hint="default"/>
      </w:rPr>
    </w:lvl>
    <w:lvl w:ilvl="7" w:tplc="17E40466" w:tentative="1">
      <w:start w:val="1"/>
      <w:numFmt w:val="bullet"/>
      <w:lvlText w:val="0"/>
      <w:lvlJc w:val="left"/>
      <w:pPr>
        <w:tabs>
          <w:tab w:val="num" w:pos="5760"/>
        </w:tabs>
        <w:ind w:left="5760" w:hanging="360"/>
      </w:pPr>
      <w:rPr>
        <w:rFonts w:ascii="Rage Italic" w:hAnsi="Rage Italic" w:hint="default"/>
      </w:rPr>
    </w:lvl>
    <w:lvl w:ilvl="8" w:tplc="28BAF026" w:tentative="1">
      <w:start w:val="1"/>
      <w:numFmt w:val="bullet"/>
      <w:lvlText w:val="0"/>
      <w:lvlJc w:val="left"/>
      <w:pPr>
        <w:tabs>
          <w:tab w:val="num" w:pos="6480"/>
        </w:tabs>
        <w:ind w:left="6480" w:hanging="360"/>
      </w:pPr>
      <w:rPr>
        <w:rFonts w:ascii="Rage Italic" w:hAnsi="Rage Italic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744DEC"/>
    <w:rsid w:val="000E01BD"/>
    <w:rsid w:val="000E35F0"/>
    <w:rsid w:val="0010406C"/>
    <w:rsid w:val="005F3CF0"/>
    <w:rsid w:val="006C7919"/>
    <w:rsid w:val="00744DEC"/>
    <w:rsid w:val="00A671A5"/>
    <w:rsid w:val="00C50077"/>
    <w:rsid w:val="00DA440A"/>
    <w:rsid w:val="00DA46A5"/>
    <w:rsid w:val="00E00188"/>
    <w:rsid w:val="00E469A3"/>
    <w:rsid w:val="00E91436"/>
    <w:rsid w:val="00F86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44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6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2430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146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3751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69668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Phatta Kirdruang</cp:lastModifiedBy>
  <cp:revision>3</cp:revision>
  <dcterms:created xsi:type="dcterms:W3CDTF">2012-11-02T14:00:00Z</dcterms:created>
  <dcterms:modified xsi:type="dcterms:W3CDTF">2012-11-02T15:10:00Z</dcterms:modified>
</cp:coreProperties>
</file>