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60" w:rsidRPr="00AC0DBF" w:rsidRDefault="00DB2760" w:rsidP="00AC0DBF">
      <w:pPr>
        <w:tabs>
          <w:tab w:val="left" w:pos="1125"/>
        </w:tabs>
        <w:rPr>
          <w:b/>
          <w:bCs/>
          <w:sz w:val="32"/>
          <w:szCs w:val="32"/>
          <w:lang w:val="en-US"/>
        </w:rPr>
      </w:pPr>
      <w:r w:rsidRPr="00AC0DBF">
        <w:rPr>
          <w:b/>
          <w:bCs/>
          <w:sz w:val="32"/>
          <w:szCs w:val="32"/>
          <w:lang w:val="en-US"/>
        </w:rPr>
        <w:t>Graph 1</w:t>
      </w:r>
      <w:r w:rsidR="00AC0DBF" w:rsidRPr="00AC0DBF">
        <w:rPr>
          <w:b/>
          <w:bCs/>
          <w:sz w:val="32"/>
          <w:szCs w:val="32"/>
          <w:lang w:val="en-US"/>
        </w:rPr>
        <w:tab/>
      </w:r>
    </w:p>
    <w:p w:rsidR="005C7F6A" w:rsidRDefault="00524CB5" w:rsidP="00DB2760">
      <w:pPr>
        <w:jc w:val="center"/>
        <w:rPr>
          <w:lang w:val="en-US"/>
        </w:rPr>
      </w:pPr>
      <w:r w:rsidRPr="00524CB5">
        <w:rPr>
          <w:lang w:val="en-US"/>
        </w:rPr>
        <w:drawing>
          <wp:inline distT="0" distB="0" distL="0" distR="0">
            <wp:extent cx="5295900" cy="3448050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B2760" w:rsidRPr="00D03A04" w:rsidRDefault="00524CB5" w:rsidP="00AC0DBF">
      <w:pPr>
        <w:rPr>
          <w:sz w:val="28"/>
          <w:lang w:val="en-US"/>
        </w:rPr>
      </w:pPr>
      <w:r w:rsidRPr="00D03A04">
        <w:rPr>
          <w:sz w:val="28"/>
          <w:lang w:val="en-US"/>
        </w:rPr>
        <w:t>The graph represents the relation of GNI</w:t>
      </w:r>
      <w:r w:rsidR="00AC0DBF" w:rsidRPr="00D03A04">
        <w:rPr>
          <w:sz w:val="28"/>
          <w:lang w:val="en-US"/>
        </w:rPr>
        <w:t xml:space="preserve"> per capita, PPP (current international $) and Income share held by higher 10% for all countries across the globe. </w:t>
      </w:r>
      <w:r w:rsidRPr="00D03A04">
        <w:rPr>
          <w:sz w:val="28"/>
          <w:lang w:val="en-US"/>
        </w:rPr>
        <w:t xml:space="preserve"> </w:t>
      </w:r>
      <w:r w:rsidR="00124F21" w:rsidRPr="00D03A04">
        <w:rPr>
          <w:sz w:val="28"/>
          <w:lang w:val="en-US"/>
        </w:rPr>
        <w:t>In countries whose GNI is relatively high, the amount of income share held by the highest 10%</w:t>
      </w:r>
      <w:r w:rsidR="00AC0DBF" w:rsidRPr="00D03A04">
        <w:rPr>
          <w:sz w:val="28"/>
          <w:lang w:val="en-US"/>
        </w:rPr>
        <w:t xml:space="preserve"> is low and vice versa.</w:t>
      </w:r>
      <w:r w:rsidR="003721F2">
        <w:rPr>
          <w:sz w:val="28"/>
          <w:lang w:val="en-US"/>
        </w:rPr>
        <w:t xml:space="preserve"> Underdeveloped to developing countries that have lower GNI per capita generally have a higher amount of income share held by the highest 10%of income-earning population. In summary</w:t>
      </w:r>
      <w:r w:rsidR="00AC0DBF" w:rsidRPr="00D03A04">
        <w:rPr>
          <w:sz w:val="28"/>
          <w:lang w:val="en-US"/>
        </w:rPr>
        <w:t>, the factors are negatively correlated</w:t>
      </w:r>
      <w:r w:rsidR="003721F2">
        <w:rPr>
          <w:sz w:val="28"/>
          <w:lang w:val="en-US"/>
        </w:rPr>
        <w:t xml:space="preserve"> and the data is clustered between GNI per capita of 0 and 20000</w:t>
      </w:r>
      <w:r w:rsidR="00AC0DBF" w:rsidRPr="00D03A04">
        <w:rPr>
          <w:sz w:val="28"/>
          <w:lang w:val="en-US"/>
        </w:rPr>
        <w:t>.</w:t>
      </w:r>
    </w:p>
    <w:p w:rsidR="00DB2760" w:rsidRPr="00D03A04" w:rsidRDefault="00DB2760" w:rsidP="00DB2760">
      <w:pPr>
        <w:rPr>
          <w:sz w:val="28"/>
          <w:lang w:val="en-US"/>
        </w:rPr>
      </w:pPr>
    </w:p>
    <w:p w:rsidR="00DB2760" w:rsidRDefault="00DB2760" w:rsidP="00DB2760">
      <w:pPr>
        <w:rPr>
          <w:lang w:val="en-US"/>
        </w:rPr>
      </w:pPr>
    </w:p>
    <w:p w:rsidR="00DB2760" w:rsidRDefault="00DB2760" w:rsidP="00DB2760">
      <w:pPr>
        <w:rPr>
          <w:lang w:val="en-US"/>
        </w:rPr>
      </w:pPr>
    </w:p>
    <w:p w:rsidR="00F7127F" w:rsidRDefault="00F7127F" w:rsidP="00DB2760">
      <w:pPr>
        <w:rPr>
          <w:lang w:val="en-US"/>
        </w:rPr>
      </w:pPr>
    </w:p>
    <w:p w:rsidR="00DE7A63" w:rsidRDefault="00DE7A63" w:rsidP="00DB2760">
      <w:pPr>
        <w:rPr>
          <w:lang w:val="en-US"/>
        </w:rPr>
      </w:pPr>
    </w:p>
    <w:p w:rsidR="00DB2760" w:rsidRPr="00AC0DBF" w:rsidRDefault="00DB2760" w:rsidP="00DB2760">
      <w:pPr>
        <w:rPr>
          <w:b/>
          <w:bCs/>
          <w:sz w:val="32"/>
          <w:szCs w:val="32"/>
          <w:lang w:val="en-US"/>
        </w:rPr>
      </w:pPr>
      <w:r w:rsidRPr="00AC0DBF">
        <w:rPr>
          <w:b/>
          <w:bCs/>
          <w:sz w:val="32"/>
          <w:szCs w:val="32"/>
          <w:lang w:val="en-US"/>
        </w:rPr>
        <w:lastRenderedPageBreak/>
        <w:t xml:space="preserve">Graph 2 </w:t>
      </w:r>
    </w:p>
    <w:p w:rsidR="00DB2760" w:rsidRDefault="000A05E2" w:rsidP="00DB2760">
      <w:pPr>
        <w:jc w:val="center"/>
        <w:rPr>
          <w:lang w:val="en-US"/>
        </w:rPr>
      </w:pPr>
      <w:r w:rsidRPr="000A05E2">
        <w:rPr>
          <w:lang w:val="en-US"/>
        </w:rPr>
        <w:drawing>
          <wp:inline distT="0" distB="0" distL="0" distR="0">
            <wp:extent cx="4572000" cy="2743200"/>
            <wp:effectExtent l="19050" t="0" r="1905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B2760" w:rsidRPr="00D03A04" w:rsidRDefault="00D03A04" w:rsidP="00DB2760">
      <w:pPr>
        <w:rPr>
          <w:sz w:val="28"/>
          <w:lang w:val="en-US"/>
        </w:rPr>
      </w:pPr>
      <w:r>
        <w:rPr>
          <w:sz w:val="28"/>
          <w:lang w:val="en-US"/>
        </w:rPr>
        <w:t>The graph above compares the unemployment rate (%total labor force) (national estimate) between Thailand, China and United States</w:t>
      </w:r>
      <w:r w:rsidR="00480A68">
        <w:rPr>
          <w:sz w:val="28"/>
          <w:lang w:val="en-US"/>
        </w:rPr>
        <w:t xml:space="preserve"> from 1989 to 2014 (25 years)</w:t>
      </w:r>
      <w:r>
        <w:rPr>
          <w:sz w:val="28"/>
          <w:lang w:val="en-US"/>
        </w:rPr>
        <w:t xml:space="preserve">. </w:t>
      </w:r>
      <w:r w:rsidR="00480A68">
        <w:rPr>
          <w:sz w:val="28"/>
          <w:lang w:val="en-US"/>
        </w:rPr>
        <w:t>First, Thailand’s unemployment rate is the lowest among the three countries. It peaked in 1998 and has had a slightly downward trend afterward. China’s unemployme</w:t>
      </w:r>
      <w:r w:rsidR="00DE7A63">
        <w:rPr>
          <w:sz w:val="28"/>
          <w:lang w:val="en-US"/>
        </w:rPr>
        <w:t>nt rate has</w:t>
      </w:r>
      <w:r w:rsidR="007075F7">
        <w:rPr>
          <w:sz w:val="28"/>
          <w:lang w:val="en-US"/>
        </w:rPr>
        <w:t xml:space="preserve"> been the least volatile; the increase has been very subtle throughout the 25 years. Lastly, the rate in United States is </w:t>
      </w:r>
      <w:r w:rsidR="00DE7A63">
        <w:rPr>
          <w:sz w:val="28"/>
          <w:lang w:val="en-US"/>
        </w:rPr>
        <w:t xml:space="preserve">considerably volatile. It peaked at 2010 and has gone down steadily ever since. </w:t>
      </w:r>
    </w:p>
    <w:sectPr w:rsidR="00DB2760" w:rsidRPr="00D03A04" w:rsidSect="005C7F6A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1FE" w:rsidRDefault="006321FE" w:rsidP="00DB2760">
      <w:pPr>
        <w:spacing w:after="0" w:line="240" w:lineRule="auto"/>
      </w:pPr>
      <w:r>
        <w:separator/>
      </w:r>
    </w:p>
  </w:endnote>
  <w:endnote w:type="continuationSeparator" w:id="0">
    <w:p w:rsidR="006321FE" w:rsidRDefault="006321FE" w:rsidP="00DB2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1FE" w:rsidRDefault="006321FE" w:rsidP="00DB2760">
      <w:pPr>
        <w:spacing w:after="0" w:line="240" w:lineRule="auto"/>
      </w:pPr>
      <w:r>
        <w:separator/>
      </w:r>
    </w:p>
  </w:footnote>
  <w:footnote w:type="continuationSeparator" w:id="0">
    <w:p w:rsidR="006321FE" w:rsidRDefault="006321FE" w:rsidP="00DB2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760" w:rsidRPr="00DB2760" w:rsidRDefault="00DB2760" w:rsidP="00DB2760">
    <w:pPr>
      <w:pStyle w:val="Header"/>
      <w:jc w:val="right"/>
      <w:rPr>
        <w:b/>
        <w:bCs/>
        <w:lang w:val="en-US"/>
      </w:rPr>
    </w:pPr>
    <w:r w:rsidRPr="00DB2760">
      <w:rPr>
        <w:b/>
        <w:bCs/>
        <w:lang w:val="en-US"/>
      </w:rPr>
      <w:t>EE461 Development Microeconomics</w:t>
    </w:r>
  </w:p>
  <w:p w:rsidR="00DB2760" w:rsidRPr="00DB2760" w:rsidRDefault="00DB2760" w:rsidP="00DB2760">
    <w:pPr>
      <w:pStyle w:val="Header"/>
      <w:jc w:val="right"/>
      <w:rPr>
        <w:b/>
        <w:bCs/>
        <w:lang w:val="en-US"/>
      </w:rPr>
    </w:pPr>
    <w:r w:rsidRPr="00DB2760">
      <w:rPr>
        <w:b/>
        <w:bCs/>
        <w:lang w:val="en-US"/>
      </w:rPr>
      <w:t>Assignment 1</w:t>
    </w:r>
  </w:p>
  <w:p w:rsidR="00DB2760" w:rsidRDefault="00DB2760" w:rsidP="00DB2760">
    <w:pPr>
      <w:pStyle w:val="Header"/>
      <w:jc w:val="right"/>
      <w:rPr>
        <w:lang w:val="en-US"/>
      </w:rPr>
    </w:pPr>
    <w:r>
      <w:rPr>
        <w:lang w:val="en-US"/>
      </w:rPr>
      <w:t xml:space="preserve">Pratipa Kanokkantapong </w:t>
    </w:r>
  </w:p>
  <w:p w:rsidR="00DB2760" w:rsidRPr="00DB2760" w:rsidRDefault="00DB2760" w:rsidP="00DB2760">
    <w:pPr>
      <w:pStyle w:val="Header"/>
      <w:jc w:val="right"/>
      <w:rPr>
        <w:lang w:val="en-US"/>
      </w:rPr>
    </w:pPr>
    <w:r>
      <w:rPr>
        <w:lang w:val="en-US"/>
      </w:rPr>
      <w:t>5904641213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DB2760"/>
    <w:rsid w:val="000A05E2"/>
    <w:rsid w:val="00124F21"/>
    <w:rsid w:val="00283963"/>
    <w:rsid w:val="0029177F"/>
    <w:rsid w:val="002F3B60"/>
    <w:rsid w:val="003721F2"/>
    <w:rsid w:val="00480A68"/>
    <w:rsid w:val="00524CB5"/>
    <w:rsid w:val="005C7F6A"/>
    <w:rsid w:val="006321FE"/>
    <w:rsid w:val="007075F7"/>
    <w:rsid w:val="00917020"/>
    <w:rsid w:val="009C2697"/>
    <w:rsid w:val="00AC0DBF"/>
    <w:rsid w:val="00B425F7"/>
    <w:rsid w:val="00D03A04"/>
    <w:rsid w:val="00D53656"/>
    <w:rsid w:val="00DB2760"/>
    <w:rsid w:val="00DE7A63"/>
    <w:rsid w:val="00F2725B"/>
    <w:rsid w:val="00F32AF5"/>
    <w:rsid w:val="00F336A2"/>
    <w:rsid w:val="00F71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F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76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760"/>
    <w:rPr>
      <w:rFonts w:ascii="Tahoma" w:hAnsi="Tahoma" w:cs="Angsana New"/>
      <w:sz w:val="16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DB2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B2760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DB2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2760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havasak\Desktop\461\graph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havasak\AppData\Local\Temp\Data_Extract_From_World_Development_Indicator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"/>
  <c:chart>
    <c:title>
      <c:tx>
        <c:rich>
          <a:bodyPr/>
          <a:lstStyle/>
          <a:p>
            <a:pPr>
              <a:defRPr/>
            </a:pPr>
            <a:r>
              <a:rPr lang="en-US" sz="1600" b="1">
                <a:latin typeface="+mn-lt"/>
              </a:rPr>
              <a:t>Income share held by highest 10% and </a:t>
            </a:r>
            <a:r>
              <a:rPr lang="en-US" sz="1600" b="1" i="0" u="none" strike="noStrike" baseline="0">
                <a:latin typeface="+mn-lt"/>
              </a:rPr>
              <a:t> GNI per capita, PPP (current international $) </a:t>
            </a:r>
            <a:endParaRPr lang="en-US" sz="1600" b="1">
              <a:latin typeface="+mn-lt"/>
            </a:endParaRPr>
          </a:p>
        </c:rich>
      </c:tx>
    </c:title>
    <c:plotArea>
      <c:layout/>
      <c:scatterChart>
        <c:scatterStyle val="lineMarker"/>
        <c:ser>
          <c:idx val="0"/>
          <c:order val="0"/>
          <c:tx>
            <c:strRef>
              <c:f>Data!$C$1</c:f>
              <c:strCache>
                <c:ptCount val="1"/>
                <c:pt idx="0">
                  <c:v>Income share held by highest 10%</c:v>
                </c:pt>
              </c:strCache>
            </c:strRef>
          </c:tx>
          <c:spPr>
            <a:ln w="28575">
              <a:noFill/>
            </a:ln>
          </c:spPr>
          <c:xVal>
            <c:numRef>
              <c:f>Data!$B$2:$B$223</c:f>
              <c:numCache>
                <c:formatCode>General</c:formatCode>
                <c:ptCount val="222"/>
                <c:pt idx="0">
                  <c:v>16110</c:v>
                </c:pt>
                <c:pt idx="1">
                  <c:v>6590</c:v>
                </c:pt>
                <c:pt idx="2">
                  <c:v>40900</c:v>
                </c:pt>
                <c:pt idx="3">
                  <c:v>14260</c:v>
                </c:pt>
                <c:pt idx="4">
                  <c:v>38050</c:v>
                </c:pt>
                <c:pt idx="5">
                  <c:v>4910</c:v>
                </c:pt>
                <c:pt idx="6">
                  <c:v>11570</c:v>
                </c:pt>
                <c:pt idx="7">
                  <c:v>12920</c:v>
                </c:pt>
                <c:pt idx="8">
                  <c:v>13880</c:v>
                </c:pt>
                <c:pt idx="9">
                  <c:v>1340</c:v>
                </c:pt>
                <c:pt idx="10">
                  <c:v>15120</c:v>
                </c:pt>
                <c:pt idx="11">
                  <c:v>9760</c:v>
                </c:pt>
                <c:pt idx="12">
                  <c:v>11740</c:v>
                </c:pt>
                <c:pt idx="13">
                  <c:v>18850</c:v>
                </c:pt>
                <c:pt idx="14">
                  <c:v>33440</c:v>
                </c:pt>
                <c:pt idx="15">
                  <c:v>25600</c:v>
                </c:pt>
                <c:pt idx="16">
                  <c:v>40730</c:v>
                </c:pt>
                <c:pt idx="17">
                  <c:v>9720</c:v>
                </c:pt>
                <c:pt idx="18">
                  <c:v>8710</c:v>
                </c:pt>
                <c:pt idx="19">
                  <c:v>5810</c:v>
                </c:pt>
                <c:pt idx="20">
                  <c:v>19870</c:v>
                </c:pt>
                <c:pt idx="21">
                  <c:v>6790</c:v>
                </c:pt>
                <c:pt idx="22">
                  <c:v>38310</c:v>
                </c:pt>
                <c:pt idx="23">
                  <c:v>35350</c:v>
                </c:pt>
                <c:pt idx="24">
                  <c:v>3610</c:v>
                </c:pt>
                <c:pt idx="25">
                  <c:v>19620</c:v>
                </c:pt>
                <c:pt idx="26">
                  <c:v>33590</c:v>
                </c:pt>
                <c:pt idx="27">
                  <c:v>16610</c:v>
                </c:pt>
                <c:pt idx="28">
                  <c:v>34690</c:v>
                </c:pt>
                <c:pt idx="29">
                  <c:v>34490</c:v>
                </c:pt>
                <c:pt idx="30">
                  <c:v>16370</c:v>
                </c:pt>
                <c:pt idx="31">
                  <c:v>7590</c:v>
                </c:pt>
                <c:pt idx="32">
                  <c:v>2640</c:v>
                </c:pt>
                <c:pt idx="33">
                  <c:v>18070</c:v>
                </c:pt>
                <c:pt idx="34">
                  <c:v>18480</c:v>
                </c:pt>
                <c:pt idx="35">
                  <c:v>55870</c:v>
                </c:pt>
                <c:pt idx="36">
                  <c:v>10840</c:v>
                </c:pt>
                <c:pt idx="37">
                  <c:v>9930</c:v>
                </c:pt>
                <c:pt idx="38">
                  <c:v>1730</c:v>
                </c:pt>
                <c:pt idx="39">
                  <c:v>24360</c:v>
                </c:pt>
                <c:pt idx="40">
                  <c:v>3730</c:v>
                </c:pt>
                <c:pt idx="41">
                  <c:v>13050</c:v>
                </c:pt>
                <c:pt idx="42">
                  <c:v>7710</c:v>
                </c:pt>
                <c:pt idx="43">
                  <c:v>44080</c:v>
                </c:pt>
                <c:pt idx="44">
                  <c:v>3670</c:v>
                </c:pt>
                <c:pt idx="45">
                  <c:v>4450</c:v>
                </c:pt>
                <c:pt idx="46">
                  <c:v>55700</c:v>
                </c:pt>
                <c:pt idx="47">
                  <c:v>13560</c:v>
                </c:pt>
                <c:pt idx="48">
                  <c:v>2720</c:v>
                </c:pt>
                <c:pt idx="49">
                  <c:v>8240</c:v>
                </c:pt>
                <c:pt idx="50">
                  <c:v>8450</c:v>
                </c:pt>
                <c:pt idx="51">
                  <c:v>25500</c:v>
                </c:pt>
                <c:pt idx="52">
                  <c:v>16240</c:v>
                </c:pt>
                <c:pt idx="53">
                  <c:v>18760</c:v>
                </c:pt>
                <c:pt idx="54">
                  <c:v>22900</c:v>
                </c:pt>
                <c:pt idx="55">
                  <c:v>27100</c:v>
                </c:pt>
                <c:pt idx="56">
                  <c:v>31790</c:v>
                </c:pt>
                <c:pt idx="57">
                  <c:v>7600</c:v>
                </c:pt>
                <c:pt idx="58">
                  <c:v>2990</c:v>
                </c:pt>
                <c:pt idx="59">
                  <c:v>40670</c:v>
                </c:pt>
                <c:pt idx="60">
                  <c:v>52630</c:v>
                </c:pt>
                <c:pt idx="61">
                  <c:v>1930</c:v>
                </c:pt>
                <c:pt idx="62">
                  <c:v>11770</c:v>
                </c:pt>
                <c:pt idx="63">
                  <c:v>4830</c:v>
                </c:pt>
                <c:pt idx="64">
                  <c:v>15300</c:v>
                </c:pt>
                <c:pt idx="65">
                  <c:v>1410</c:v>
                </c:pt>
                <c:pt idx="66">
                  <c:v>7090</c:v>
                </c:pt>
                <c:pt idx="67">
                  <c:v>34480</c:v>
                </c:pt>
                <c:pt idx="68">
                  <c:v>14890</c:v>
                </c:pt>
                <c:pt idx="69">
                  <c:v>4340</c:v>
                </c:pt>
              </c:numCache>
            </c:numRef>
          </c:xVal>
          <c:yVal>
            <c:numRef>
              <c:f>Data!$C$2:$C$223</c:f>
              <c:numCache>
                <c:formatCode>General</c:formatCode>
                <c:ptCount val="222"/>
                <c:pt idx="0">
                  <c:v>31.1</c:v>
                </c:pt>
                <c:pt idx="1">
                  <c:v>22.9</c:v>
                </c:pt>
                <c:pt idx="2">
                  <c:v>24.7</c:v>
                </c:pt>
                <c:pt idx="3">
                  <c:v>22.6</c:v>
                </c:pt>
                <c:pt idx="4">
                  <c:v>22.7</c:v>
                </c:pt>
                <c:pt idx="5">
                  <c:v>36.9</c:v>
                </c:pt>
                <c:pt idx="6">
                  <c:v>49.6</c:v>
                </c:pt>
                <c:pt idx="7">
                  <c:v>42.2</c:v>
                </c:pt>
                <c:pt idx="8">
                  <c:v>25.7</c:v>
                </c:pt>
                <c:pt idx="9">
                  <c:v>32</c:v>
                </c:pt>
                <c:pt idx="10">
                  <c:v>39.700000000000003</c:v>
                </c:pt>
                <c:pt idx="11">
                  <c:v>43.1</c:v>
                </c:pt>
                <c:pt idx="12">
                  <c:v>39.4</c:v>
                </c:pt>
                <c:pt idx="13">
                  <c:v>24.2</c:v>
                </c:pt>
                <c:pt idx="14">
                  <c:v>26.2</c:v>
                </c:pt>
                <c:pt idx="15">
                  <c:v>22.3</c:v>
                </c:pt>
                <c:pt idx="16">
                  <c:v>21.8</c:v>
                </c:pt>
                <c:pt idx="17">
                  <c:v>38.4</c:v>
                </c:pt>
                <c:pt idx="18">
                  <c:v>37.1</c:v>
                </c:pt>
                <c:pt idx="19">
                  <c:v>36</c:v>
                </c:pt>
                <c:pt idx="20">
                  <c:v>24.4</c:v>
                </c:pt>
                <c:pt idx="21">
                  <c:v>40</c:v>
                </c:pt>
                <c:pt idx="22">
                  <c:v>22.6</c:v>
                </c:pt>
                <c:pt idx="23">
                  <c:v>26.1</c:v>
                </c:pt>
                <c:pt idx="24">
                  <c:v>38.4</c:v>
                </c:pt>
                <c:pt idx="25">
                  <c:v>21.5</c:v>
                </c:pt>
                <c:pt idx="26">
                  <c:v>24</c:v>
                </c:pt>
                <c:pt idx="27">
                  <c:v>31.3</c:v>
                </c:pt>
                <c:pt idx="28">
                  <c:v>25.5</c:v>
                </c:pt>
                <c:pt idx="29">
                  <c:v>25.4</c:v>
                </c:pt>
                <c:pt idx="30">
                  <c:v>23.1</c:v>
                </c:pt>
                <c:pt idx="31">
                  <c:v>25</c:v>
                </c:pt>
                <c:pt idx="32">
                  <c:v>24.6</c:v>
                </c:pt>
                <c:pt idx="33">
                  <c:v>26.8</c:v>
                </c:pt>
                <c:pt idx="34">
                  <c:v>27.6</c:v>
                </c:pt>
                <c:pt idx="35">
                  <c:v>24.1</c:v>
                </c:pt>
                <c:pt idx="36">
                  <c:v>30.7</c:v>
                </c:pt>
                <c:pt idx="37">
                  <c:v>29.9</c:v>
                </c:pt>
                <c:pt idx="38">
                  <c:v>25.7</c:v>
                </c:pt>
                <c:pt idx="39">
                  <c:v>23.7</c:v>
                </c:pt>
                <c:pt idx="40">
                  <c:v>25</c:v>
                </c:pt>
                <c:pt idx="41">
                  <c:v>24.9</c:v>
                </c:pt>
                <c:pt idx="42">
                  <c:v>51.8</c:v>
                </c:pt>
                <c:pt idx="43">
                  <c:v>22.4</c:v>
                </c:pt>
                <c:pt idx="44">
                  <c:v>34.200000000000003</c:v>
                </c:pt>
                <c:pt idx="45">
                  <c:v>32.700000000000003</c:v>
                </c:pt>
                <c:pt idx="46">
                  <c:v>21.3</c:v>
                </c:pt>
                <c:pt idx="47">
                  <c:v>40.200000000000003</c:v>
                </c:pt>
                <c:pt idx="48">
                  <c:v>31</c:v>
                </c:pt>
                <c:pt idx="49">
                  <c:v>38.1</c:v>
                </c:pt>
                <c:pt idx="50">
                  <c:v>35.5</c:v>
                </c:pt>
                <c:pt idx="51">
                  <c:v>27.4</c:v>
                </c:pt>
                <c:pt idx="52">
                  <c:v>25.7</c:v>
                </c:pt>
                <c:pt idx="53">
                  <c:v>31.1</c:v>
                </c:pt>
                <c:pt idx="54">
                  <c:v>21.8</c:v>
                </c:pt>
                <c:pt idx="55">
                  <c:v>20.6</c:v>
                </c:pt>
                <c:pt idx="56">
                  <c:v>25.9</c:v>
                </c:pt>
                <c:pt idx="57">
                  <c:v>29.9</c:v>
                </c:pt>
                <c:pt idx="58">
                  <c:v>26.7</c:v>
                </c:pt>
                <c:pt idx="59">
                  <c:v>21.4</c:v>
                </c:pt>
                <c:pt idx="60">
                  <c:v>25.6</c:v>
                </c:pt>
                <c:pt idx="61">
                  <c:v>24.1</c:v>
                </c:pt>
                <c:pt idx="62">
                  <c:v>30.6</c:v>
                </c:pt>
                <c:pt idx="63">
                  <c:v>28.9</c:v>
                </c:pt>
                <c:pt idx="64">
                  <c:v>29.2</c:v>
                </c:pt>
                <c:pt idx="65">
                  <c:v>36.4</c:v>
                </c:pt>
                <c:pt idx="66">
                  <c:v>21.2</c:v>
                </c:pt>
                <c:pt idx="67">
                  <c:v>26.5</c:v>
                </c:pt>
                <c:pt idx="68">
                  <c:v>34.700000000000003</c:v>
                </c:pt>
                <c:pt idx="69">
                  <c:v>27.4</c:v>
                </c:pt>
              </c:numCache>
            </c:numRef>
          </c:yVal>
        </c:ser>
        <c:axId val="95609600"/>
        <c:axId val="155013504"/>
      </c:scatterChart>
      <c:valAx>
        <c:axId val="9560960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 GNI per capita, PPP (current international $) </a:t>
                </a:r>
              </a:p>
            </c:rich>
          </c:tx>
        </c:title>
        <c:numFmt formatCode="General" sourceLinked="1"/>
        <c:majorTickMark val="none"/>
        <c:tickLblPos val="nextTo"/>
        <c:crossAx val="155013504"/>
        <c:crosses val="autoZero"/>
        <c:crossBetween val="midCat"/>
      </c:valAx>
      <c:valAx>
        <c:axId val="155013504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Income share held by highest 10%</a:t>
                </a:r>
              </a:p>
              <a:p>
                <a:pPr>
                  <a:defRPr/>
                </a:pPr>
                <a:endParaRPr lang="en-US"/>
              </a:p>
            </c:rich>
          </c:tx>
        </c:title>
        <c:numFmt formatCode="General" sourceLinked="1"/>
        <c:majorTickMark val="none"/>
        <c:tickLblPos val="nextTo"/>
        <c:crossAx val="95609600"/>
        <c:crosses val="autoZero"/>
        <c:crossBetween val="midCat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/>
            </a:pPr>
            <a:r>
              <a:rPr lang="en-US" sz="1800" b="1" i="0" u="none" strike="noStrike" baseline="0"/>
              <a:t>Unemployment, total (% of total labor force) (national estimate)</a:t>
            </a:r>
            <a:endParaRPr lang="en-US"/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Data!$A$2</c:f>
              <c:strCache>
                <c:ptCount val="1"/>
                <c:pt idx="0">
                  <c:v>Thailand</c:v>
                </c:pt>
              </c:strCache>
            </c:strRef>
          </c:tx>
          <c:cat>
            <c:numRef>
              <c:f>Data!$B$1:$AA$1</c:f>
              <c:numCache>
                <c:formatCode>General</c:formatCode>
                <c:ptCount val="26"/>
                <c:pt idx="0">
                  <c:v>1989</c:v>
                </c:pt>
                <c:pt idx="1">
                  <c:v>1990</c:v>
                </c:pt>
                <c:pt idx="2">
                  <c:v>1991</c:v>
                </c:pt>
                <c:pt idx="3">
                  <c:v>1992</c:v>
                </c:pt>
                <c:pt idx="4">
                  <c:v>1993</c:v>
                </c:pt>
                <c:pt idx="5">
                  <c:v>1994</c:v>
                </c:pt>
                <c:pt idx="6">
                  <c:v>1995</c:v>
                </c:pt>
                <c:pt idx="7">
                  <c:v>1996</c:v>
                </c:pt>
                <c:pt idx="8">
                  <c:v>1997</c:v>
                </c:pt>
                <c:pt idx="9">
                  <c:v>1998</c:v>
                </c:pt>
                <c:pt idx="10">
                  <c:v>1999</c:v>
                </c:pt>
                <c:pt idx="11">
                  <c:v>2000</c:v>
                </c:pt>
                <c:pt idx="12">
                  <c:v>2001</c:v>
                </c:pt>
                <c:pt idx="13">
                  <c:v>2002</c:v>
                </c:pt>
                <c:pt idx="14">
                  <c:v>2003</c:v>
                </c:pt>
                <c:pt idx="15">
                  <c:v>2004</c:v>
                </c:pt>
                <c:pt idx="16">
                  <c:v>2005</c:v>
                </c:pt>
                <c:pt idx="17">
                  <c:v>2006</c:v>
                </c:pt>
                <c:pt idx="18">
                  <c:v>2007</c:v>
                </c:pt>
                <c:pt idx="19">
                  <c:v>2008</c:v>
                </c:pt>
                <c:pt idx="20">
                  <c:v>2009</c:v>
                </c:pt>
                <c:pt idx="21">
                  <c:v>2010</c:v>
                </c:pt>
                <c:pt idx="22">
                  <c:v>2011</c:v>
                </c:pt>
                <c:pt idx="23">
                  <c:v>2012</c:v>
                </c:pt>
                <c:pt idx="24">
                  <c:v>2013</c:v>
                </c:pt>
                <c:pt idx="25">
                  <c:v>2014</c:v>
                </c:pt>
              </c:numCache>
            </c:numRef>
          </c:cat>
          <c:val>
            <c:numRef>
              <c:f>Data!$B$2:$AA$2</c:f>
              <c:numCache>
                <c:formatCode>General</c:formatCode>
                <c:ptCount val="26"/>
                <c:pt idx="0">
                  <c:v>1.3899999856948897</c:v>
                </c:pt>
                <c:pt idx="1">
                  <c:v>2.2100000381469704</c:v>
                </c:pt>
                <c:pt idx="2">
                  <c:v>2.6300001144409197</c:v>
                </c:pt>
                <c:pt idx="3">
                  <c:v>1.3500000238418604</c:v>
                </c:pt>
                <c:pt idx="4">
                  <c:v>1.4900000095367403</c:v>
                </c:pt>
                <c:pt idx="5">
                  <c:v>1.3465931415557901</c:v>
                </c:pt>
                <c:pt idx="6">
                  <c:v>1.1000000238418604</c:v>
                </c:pt>
                <c:pt idx="7">
                  <c:v>1.07089412212372</c:v>
                </c:pt>
                <c:pt idx="8">
                  <c:v>0.87286210060119607</c:v>
                </c:pt>
                <c:pt idx="9">
                  <c:v>3.4043555259704599</c:v>
                </c:pt>
                <c:pt idx="10">
                  <c:v>2.9681355953216602</c:v>
                </c:pt>
                <c:pt idx="11">
                  <c:v>2.3888421058654794</c:v>
                </c:pt>
                <c:pt idx="12">
                  <c:v>2.5999999046325701</c:v>
                </c:pt>
                <c:pt idx="13">
                  <c:v>1.8200000524520898</c:v>
                </c:pt>
                <c:pt idx="14">
                  <c:v>1.53999996185303</c:v>
                </c:pt>
                <c:pt idx="15">
                  <c:v>1.5099999904632597</c:v>
                </c:pt>
                <c:pt idx="16">
                  <c:v>1.3500000238418604</c:v>
                </c:pt>
                <c:pt idx="17">
                  <c:v>1.2200000286102302</c:v>
                </c:pt>
                <c:pt idx="18">
                  <c:v>1.1799999475479097</c:v>
                </c:pt>
                <c:pt idx="19">
                  <c:v>1.1799999475479097</c:v>
                </c:pt>
                <c:pt idx="20">
                  <c:v>1.4900000095367403</c:v>
                </c:pt>
                <c:pt idx="21">
                  <c:v>0.62150001525878906</c:v>
                </c:pt>
                <c:pt idx="22">
                  <c:v>0.66000002622604415</c:v>
                </c:pt>
                <c:pt idx="23">
                  <c:v>0.57999998331069913</c:v>
                </c:pt>
                <c:pt idx="24">
                  <c:v>0.48919999599456804</c:v>
                </c:pt>
                <c:pt idx="25">
                  <c:v>0.57560002803802512</c:v>
                </c:pt>
              </c:numCache>
            </c:numRef>
          </c:val>
        </c:ser>
        <c:ser>
          <c:idx val="1"/>
          <c:order val="1"/>
          <c:tx>
            <c:strRef>
              <c:f>Data!$A$3</c:f>
              <c:strCache>
                <c:ptCount val="1"/>
                <c:pt idx="0">
                  <c:v>China</c:v>
                </c:pt>
              </c:strCache>
            </c:strRef>
          </c:tx>
          <c:cat>
            <c:numRef>
              <c:f>Data!$B$1:$AA$1</c:f>
              <c:numCache>
                <c:formatCode>General</c:formatCode>
                <c:ptCount val="26"/>
                <c:pt idx="0">
                  <c:v>1989</c:v>
                </c:pt>
                <c:pt idx="1">
                  <c:v>1990</c:v>
                </c:pt>
                <c:pt idx="2">
                  <c:v>1991</c:v>
                </c:pt>
                <c:pt idx="3">
                  <c:v>1992</c:v>
                </c:pt>
                <c:pt idx="4">
                  <c:v>1993</c:v>
                </c:pt>
                <c:pt idx="5">
                  <c:v>1994</c:v>
                </c:pt>
                <c:pt idx="6">
                  <c:v>1995</c:v>
                </c:pt>
                <c:pt idx="7">
                  <c:v>1996</c:v>
                </c:pt>
                <c:pt idx="8">
                  <c:v>1997</c:v>
                </c:pt>
                <c:pt idx="9">
                  <c:v>1998</c:v>
                </c:pt>
                <c:pt idx="10">
                  <c:v>1999</c:v>
                </c:pt>
                <c:pt idx="11">
                  <c:v>2000</c:v>
                </c:pt>
                <c:pt idx="12">
                  <c:v>2001</c:v>
                </c:pt>
                <c:pt idx="13">
                  <c:v>2002</c:v>
                </c:pt>
                <c:pt idx="14">
                  <c:v>2003</c:v>
                </c:pt>
                <c:pt idx="15">
                  <c:v>2004</c:v>
                </c:pt>
                <c:pt idx="16">
                  <c:v>2005</c:v>
                </c:pt>
                <c:pt idx="17">
                  <c:v>2006</c:v>
                </c:pt>
                <c:pt idx="18">
                  <c:v>2007</c:v>
                </c:pt>
                <c:pt idx="19">
                  <c:v>2008</c:v>
                </c:pt>
                <c:pt idx="20">
                  <c:v>2009</c:v>
                </c:pt>
                <c:pt idx="21">
                  <c:v>2010</c:v>
                </c:pt>
                <c:pt idx="22">
                  <c:v>2011</c:v>
                </c:pt>
                <c:pt idx="23">
                  <c:v>2012</c:v>
                </c:pt>
                <c:pt idx="24">
                  <c:v>2013</c:v>
                </c:pt>
                <c:pt idx="25">
                  <c:v>2014</c:v>
                </c:pt>
              </c:numCache>
            </c:numRef>
          </c:cat>
          <c:val>
            <c:numRef>
              <c:f>Data!$B$3:$AA$3</c:f>
              <c:numCache>
                <c:formatCode>General</c:formatCode>
                <c:ptCount val="26"/>
                <c:pt idx="0">
                  <c:v>2.5999999046325701</c:v>
                </c:pt>
                <c:pt idx="1">
                  <c:v>2.5</c:v>
                </c:pt>
                <c:pt idx="2">
                  <c:v>2.2999999523162802</c:v>
                </c:pt>
                <c:pt idx="3">
                  <c:v>2.2999999523162802</c:v>
                </c:pt>
                <c:pt idx="4">
                  <c:v>2.5999999046325701</c:v>
                </c:pt>
                <c:pt idx="5">
                  <c:v>2.7999999523162802</c:v>
                </c:pt>
                <c:pt idx="6">
                  <c:v>2.9000000953674299</c:v>
                </c:pt>
                <c:pt idx="7">
                  <c:v>3</c:v>
                </c:pt>
                <c:pt idx="8">
                  <c:v>3.0999999046325701</c:v>
                </c:pt>
                <c:pt idx="9">
                  <c:v>3.0999999046325701</c:v>
                </c:pt>
                <c:pt idx="10">
                  <c:v>3.0999999046325701</c:v>
                </c:pt>
                <c:pt idx="11">
                  <c:v>3.0999999046325701</c:v>
                </c:pt>
                <c:pt idx="12">
                  <c:v>3.5999999046325701</c:v>
                </c:pt>
                <c:pt idx="13">
                  <c:v>4</c:v>
                </c:pt>
                <c:pt idx="14">
                  <c:v>4.3000001907348606</c:v>
                </c:pt>
                <c:pt idx="15">
                  <c:v>4.1999998092651394</c:v>
                </c:pt>
                <c:pt idx="16">
                  <c:v>4.1999998092651394</c:v>
                </c:pt>
                <c:pt idx="17">
                  <c:v>4.099999904632571</c:v>
                </c:pt>
                <c:pt idx="18">
                  <c:v>4</c:v>
                </c:pt>
                <c:pt idx="19">
                  <c:v>4.1999998092651394</c:v>
                </c:pt>
                <c:pt idx="20">
                  <c:v>4.3000001907348606</c:v>
                </c:pt>
                <c:pt idx="21">
                  <c:v>4.099999904632571</c:v>
                </c:pt>
                <c:pt idx="22">
                  <c:v>4.099999904632571</c:v>
                </c:pt>
                <c:pt idx="23">
                  <c:v>4.099999904632571</c:v>
                </c:pt>
                <c:pt idx="24">
                  <c:v>4.0500001907348606</c:v>
                </c:pt>
                <c:pt idx="25">
                  <c:v>4.099999904632571</c:v>
                </c:pt>
              </c:numCache>
            </c:numRef>
          </c:val>
        </c:ser>
        <c:ser>
          <c:idx val="2"/>
          <c:order val="2"/>
          <c:tx>
            <c:strRef>
              <c:f>Data!$A$4</c:f>
              <c:strCache>
                <c:ptCount val="1"/>
                <c:pt idx="0">
                  <c:v>United States</c:v>
                </c:pt>
              </c:strCache>
            </c:strRef>
          </c:tx>
          <c:cat>
            <c:numRef>
              <c:f>Data!$B$1:$AA$1</c:f>
              <c:numCache>
                <c:formatCode>General</c:formatCode>
                <c:ptCount val="26"/>
                <c:pt idx="0">
                  <c:v>1989</c:v>
                </c:pt>
                <c:pt idx="1">
                  <c:v>1990</c:v>
                </c:pt>
                <c:pt idx="2">
                  <c:v>1991</c:v>
                </c:pt>
                <c:pt idx="3">
                  <c:v>1992</c:v>
                </c:pt>
                <c:pt idx="4">
                  <c:v>1993</c:v>
                </c:pt>
                <c:pt idx="5">
                  <c:v>1994</c:v>
                </c:pt>
                <c:pt idx="6">
                  <c:v>1995</c:v>
                </c:pt>
                <c:pt idx="7">
                  <c:v>1996</c:v>
                </c:pt>
                <c:pt idx="8">
                  <c:v>1997</c:v>
                </c:pt>
                <c:pt idx="9">
                  <c:v>1998</c:v>
                </c:pt>
                <c:pt idx="10">
                  <c:v>1999</c:v>
                </c:pt>
                <c:pt idx="11">
                  <c:v>2000</c:v>
                </c:pt>
                <c:pt idx="12">
                  <c:v>2001</c:v>
                </c:pt>
                <c:pt idx="13">
                  <c:v>2002</c:v>
                </c:pt>
                <c:pt idx="14">
                  <c:v>2003</c:v>
                </c:pt>
                <c:pt idx="15">
                  <c:v>2004</c:v>
                </c:pt>
                <c:pt idx="16">
                  <c:v>2005</c:v>
                </c:pt>
                <c:pt idx="17">
                  <c:v>2006</c:v>
                </c:pt>
                <c:pt idx="18">
                  <c:v>2007</c:v>
                </c:pt>
                <c:pt idx="19">
                  <c:v>2008</c:v>
                </c:pt>
                <c:pt idx="20">
                  <c:v>2009</c:v>
                </c:pt>
                <c:pt idx="21">
                  <c:v>2010</c:v>
                </c:pt>
                <c:pt idx="22">
                  <c:v>2011</c:v>
                </c:pt>
                <c:pt idx="23">
                  <c:v>2012</c:v>
                </c:pt>
                <c:pt idx="24">
                  <c:v>2013</c:v>
                </c:pt>
                <c:pt idx="25">
                  <c:v>2014</c:v>
                </c:pt>
              </c:numCache>
            </c:numRef>
          </c:cat>
          <c:val>
            <c:numRef>
              <c:f>Data!$B$4:$AA$4</c:f>
              <c:numCache>
                <c:formatCode>General</c:formatCode>
                <c:ptCount val="26"/>
                <c:pt idx="0">
                  <c:v>5.3000001907348606</c:v>
                </c:pt>
                <c:pt idx="1">
                  <c:v>5.599999904632571</c:v>
                </c:pt>
                <c:pt idx="2">
                  <c:v>6.8000001907348606</c:v>
                </c:pt>
                <c:pt idx="3">
                  <c:v>7.5</c:v>
                </c:pt>
                <c:pt idx="4">
                  <c:v>6.9000000953674308</c:v>
                </c:pt>
                <c:pt idx="5">
                  <c:v>6.1187000274658194</c:v>
                </c:pt>
                <c:pt idx="6">
                  <c:v>5.6504001617431596</c:v>
                </c:pt>
                <c:pt idx="7">
                  <c:v>5.4510998725891104</c:v>
                </c:pt>
                <c:pt idx="8">
                  <c:v>5.0002999305725107</c:v>
                </c:pt>
                <c:pt idx="9">
                  <c:v>4.510499954223631</c:v>
                </c:pt>
                <c:pt idx="10">
                  <c:v>4.2188000679016096</c:v>
                </c:pt>
                <c:pt idx="11">
                  <c:v>3.9920001029968297</c:v>
                </c:pt>
                <c:pt idx="12">
                  <c:v>4.7312998771667498</c:v>
                </c:pt>
                <c:pt idx="13">
                  <c:v>5.7831997871398908</c:v>
                </c:pt>
                <c:pt idx="14">
                  <c:v>5.9886999130249015</c:v>
                </c:pt>
                <c:pt idx="15">
                  <c:v>5.5286002159118706</c:v>
                </c:pt>
                <c:pt idx="16">
                  <c:v>5.0834999084472701</c:v>
                </c:pt>
                <c:pt idx="17">
                  <c:v>4.6230001449584988</c:v>
                </c:pt>
                <c:pt idx="18">
                  <c:v>4.6220998764038086</c:v>
                </c:pt>
                <c:pt idx="19">
                  <c:v>5.784200191497801</c:v>
                </c:pt>
                <c:pt idx="20">
                  <c:v>9.2541999816894496</c:v>
                </c:pt>
                <c:pt idx="21">
                  <c:v>9.633399963378908</c:v>
                </c:pt>
                <c:pt idx="22">
                  <c:v>8.9491996765136701</c:v>
                </c:pt>
                <c:pt idx="23">
                  <c:v>8.069399833679201</c:v>
                </c:pt>
                <c:pt idx="24">
                  <c:v>7.3748998641967791</c:v>
                </c:pt>
                <c:pt idx="25">
                  <c:v>6.1675000190734881</c:v>
                </c:pt>
              </c:numCache>
            </c:numRef>
          </c:val>
        </c:ser>
        <c:marker val="1"/>
        <c:axId val="34287616"/>
        <c:axId val="34289152"/>
      </c:lineChart>
      <c:catAx>
        <c:axId val="34287616"/>
        <c:scaling>
          <c:orientation val="minMax"/>
        </c:scaling>
        <c:axPos val="b"/>
        <c:numFmt formatCode="General" sourceLinked="1"/>
        <c:majorTickMark val="none"/>
        <c:tickLblPos val="nextTo"/>
        <c:crossAx val="34289152"/>
        <c:crosses val="autoZero"/>
        <c:auto val="1"/>
        <c:lblAlgn val="ctr"/>
        <c:lblOffset val="100"/>
      </c:catAx>
      <c:valAx>
        <c:axId val="3428915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525">
            <a:noFill/>
          </a:ln>
        </c:spPr>
        <c:crossAx val="34287616"/>
        <c:crosses val="autoZero"/>
        <c:crossBetween val="between"/>
      </c:valAx>
    </c:plotArea>
    <c:legend>
      <c:legendPos val="b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chavasak@hotmail.com</dc:creator>
  <cp:lastModifiedBy>chavasak@hotmail.com</cp:lastModifiedBy>
  <cp:revision>3</cp:revision>
  <dcterms:created xsi:type="dcterms:W3CDTF">2019-01-29T06:07:00Z</dcterms:created>
  <dcterms:modified xsi:type="dcterms:W3CDTF">2019-01-29T08:36:00Z</dcterms:modified>
</cp:coreProperties>
</file>