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72BF7" w14:textId="1BAE8AE2" w:rsidR="006F3AB8" w:rsidRDefault="006F3AB8" w:rsidP="006F3AB8">
      <w:pPr>
        <w:jc w:val="right"/>
        <w:rPr>
          <w:sz w:val="22"/>
          <w:szCs w:val="22"/>
        </w:rPr>
      </w:pPr>
      <w:bookmarkStart w:id="0" w:name="_GoBack"/>
      <w:bookmarkEnd w:id="0"/>
      <w:r>
        <w:rPr>
          <w:sz w:val="22"/>
          <w:szCs w:val="22"/>
        </w:rPr>
        <w:t>Jordyn Vandeleur</w:t>
      </w:r>
    </w:p>
    <w:p w14:paraId="1212C603" w14:textId="6B276F72" w:rsidR="006F3AB8" w:rsidRPr="00EA77AE" w:rsidRDefault="006F3AB8" w:rsidP="006F3AB8">
      <w:pPr>
        <w:pStyle w:val="Title"/>
        <w:rPr>
          <w:sz w:val="28"/>
          <w:szCs w:val="28"/>
        </w:rPr>
      </w:pPr>
      <w:r w:rsidRPr="00EA77AE">
        <w:rPr>
          <w:sz w:val="28"/>
          <w:szCs w:val="28"/>
        </w:rPr>
        <w:t>Who Are the Poor? Looking at Poverty and Inequality in the US and Thailand</w:t>
      </w:r>
    </w:p>
    <w:p w14:paraId="3428A0AF" w14:textId="77777777" w:rsidR="009D1BE7" w:rsidRPr="00A519EF" w:rsidRDefault="009D1BE7" w:rsidP="009D1BE7">
      <w:pPr>
        <w:jc w:val="center"/>
        <w:rPr>
          <w:i/>
          <w:sz w:val="22"/>
          <w:szCs w:val="22"/>
        </w:rPr>
      </w:pPr>
      <w:r w:rsidRPr="00A519EF">
        <w:rPr>
          <w:i/>
          <w:sz w:val="22"/>
          <w:szCs w:val="22"/>
        </w:rPr>
        <w:t>“An imbalance between rich and poor is the oldest and most fatal ailment of all republics.”</w:t>
      </w:r>
    </w:p>
    <w:p w14:paraId="15A92E8C" w14:textId="77777777" w:rsidR="006B1612" w:rsidRPr="00A519EF" w:rsidRDefault="009D1BE7" w:rsidP="009D1BE7">
      <w:pPr>
        <w:jc w:val="center"/>
        <w:rPr>
          <w:sz w:val="22"/>
          <w:szCs w:val="22"/>
        </w:rPr>
      </w:pPr>
      <w:r w:rsidRPr="00A519EF">
        <w:rPr>
          <w:sz w:val="22"/>
          <w:szCs w:val="22"/>
        </w:rPr>
        <w:t>-- Plutarch</w:t>
      </w:r>
    </w:p>
    <w:p w14:paraId="166B6397" w14:textId="4DEA1F19" w:rsidR="009D1BE7" w:rsidRDefault="009D1BE7" w:rsidP="009D1BE7">
      <w:r>
        <w:tab/>
      </w:r>
      <w:r w:rsidR="00A519EF">
        <w:t>It has been over 2000 years since the philosopher Plutarch uttered these words</w:t>
      </w:r>
      <w:r>
        <w:t xml:space="preserve"> and </w:t>
      </w:r>
      <w:r w:rsidR="00A519EF">
        <w:t>still vast,</w:t>
      </w:r>
      <w:r>
        <w:t xml:space="preserve"> </w:t>
      </w:r>
      <w:r w:rsidR="00A519EF">
        <w:t>often extreme inequalities</w:t>
      </w:r>
      <w:r>
        <w:t xml:space="preserve"> plague the world. Given the development and technological advancements that have taken place in the modern world the general standard of living has increased dramatically. Yet, not all parts of the world have </w:t>
      </w:r>
      <w:r w:rsidR="00A46C1F">
        <w:t>benefited from</w:t>
      </w:r>
      <w:r>
        <w:t xml:space="preserve"> these advancements equally. Since 1979 the US has seen inequality rising and the income gap widening. Recent years have seen frustrations regarding this inequality rising, possibly captured best by the Occupy Movement’s slogan, “We are the 99%.” Inequality is by no means unique to the western world or </w:t>
      </w:r>
      <w:r w:rsidR="00A46C1F">
        <w:t xml:space="preserve">only in the </w:t>
      </w:r>
      <w:r>
        <w:t>richest nations. Thailand has seen immense growth in recent years including an amazing drop in poverty from 21% in 2000 to 12.6% in 2012</w:t>
      </w:r>
      <w:r w:rsidR="0012487A">
        <w:rPr>
          <w:rStyle w:val="FootnoteReference"/>
        </w:rPr>
        <w:footnoteReference w:id="1"/>
      </w:r>
      <w:r>
        <w:t>, however the benefi</w:t>
      </w:r>
      <w:r w:rsidR="00BF7483">
        <w:t>ciaries of this growth have</w:t>
      </w:r>
      <w:r>
        <w:t xml:space="preserve"> disproportionately</w:t>
      </w:r>
      <w:r w:rsidR="00BF7483">
        <w:t xml:space="preserve"> been</w:t>
      </w:r>
      <w:r>
        <w:t xml:space="preserve"> those centered in urban areas (particularly Bangkok). </w:t>
      </w:r>
      <w:r w:rsidR="00BF7483">
        <w:t xml:space="preserve">Regardless of </w:t>
      </w:r>
      <w:r w:rsidR="00A46C1F">
        <w:t>the stage of their development nation</w:t>
      </w:r>
      <w:r w:rsidR="00BF7483">
        <w:t>s have a responsibility to all of their citizens and part of this is working towards inclusive growth, reducing inequality, and</w:t>
      </w:r>
      <w:r w:rsidR="00A46C1F">
        <w:t xml:space="preserve"> identifying the agents that</w:t>
      </w:r>
      <w:r w:rsidR="00BF7483">
        <w:t xml:space="preserve"> perpetuate it.</w:t>
      </w:r>
    </w:p>
    <w:p w14:paraId="30D84A35" w14:textId="38345DA7" w:rsidR="00D76B6F" w:rsidRDefault="00BF7483" w:rsidP="009D1BE7">
      <w:r>
        <w:tab/>
        <w:t xml:space="preserve">Measuring inequality is no easy task. Common practices include comparing shares of wealth of subsequent quintiles of the population, calculating Gini </w:t>
      </w:r>
      <w:r w:rsidR="006E75A1">
        <w:t>coefficients</w:t>
      </w:r>
      <w:r>
        <w:t xml:space="preserve">, and examining Lorenz curves. </w:t>
      </w:r>
      <w:r w:rsidR="00035C70">
        <w:t xml:space="preserve">Each of these paints only a partial picture, temporarily putting aside the issues with the measurements one can roughly compare the relative income inequalities between countries. </w:t>
      </w:r>
      <w:r w:rsidR="00D76B6F">
        <w:t>Examining</w:t>
      </w:r>
      <w:r w:rsidR="00035C70">
        <w:t xml:space="preserve"> Gini coefficients (where lower coefficients indicate lower inequality) </w:t>
      </w:r>
      <w:r w:rsidR="00D76B6F">
        <w:t>the US and Thailand have very similar levels of inequality 40.8 for the US and 39.4 for Thailand</w:t>
      </w:r>
      <w:r w:rsidR="0012487A">
        <w:rPr>
          <w:rStyle w:val="FootnoteReference"/>
        </w:rPr>
        <w:footnoteReference w:id="2"/>
      </w:r>
      <w:r w:rsidR="00D76B6F">
        <w:t xml:space="preserve">. Despite being a country founded on </w:t>
      </w:r>
      <w:r w:rsidR="006F3AB8">
        <w:t>an</w:t>
      </w:r>
      <w:r w:rsidR="00D76B6F">
        <w:t xml:space="preserve"> ideal of equality the US has a surprisingly high Gini coefficient, especially when compared to other highly developed nations.</w:t>
      </w:r>
    </w:p>
    <w:p w14:paraId="74A3AF7D" w14:textId="77777777" w:rsidR="00865625" w:rsidRDefault="00D76B6F" w:rsidP="00D76B6F">
      <w:pPr>
        <w:ind w:firstLine="720"/>
      </w:pPr>
      <w:r>
        <w:t>Taking a closer look at each country and examining those at the bottom end</w:t>
      </w:r>
      <w:r w:rsidR="0012487A">
        <w:t xml:space="preserve"> of this inequality one may begin to uncover some of the driving factors behind this inequality. A cursory glance at the poverty in the US reveals that 13.5% of the population lives under the poverty line (family of four living under $24,036 annual income level or $12,082 for an individual)</w:t>
      </w:r>
      <w:r w:rsidR="0012487A">
        <w:rPr>
          <w:rStyle w:val="FootnoteReference"/>
        </w:rPr>
        <w:footnoteReference w:id="3"/>
      </w:r>
      <w:r w:rsidR="0012487A">
        <w:t>.</w:t>
      </w:r>
      <w:r w:rsidR="00A519EF">
        <w:t xml:space="preserve"> Breaking down these figures one, unsurprisingly, finds huge differences along racial and ethnic lines. The poverty rate jumps to 26% when looking at just African Americans who have the highest poverty rate, Hispanics are close with a rate of 24%, both Asian Americans and white Americans are below the national average with 12% and 10% of the populations respectively in poverty. The US was built as a land for immigrants, people seeking safety from religious persecution, as well as those simply looking for a better life. However, this melting pot has clearly not bestowed opportunity on all equally. </w:t>
      </w:r>
    </w:p>
    <w:p w14:paraId="46903F41" w14:textId="69AEC135" w:rsidR="000112A3" w:rsidRDefault="00A519EF" w:rsidP="00D76B6F">
      <w:pPr>
        <w:ind w:firstLine="720"/>
      </w:pPr>
      <w:r>
        <w:t>These numbers are also reflected in the unemployment rates.</w:t>
      </w:r>
      <w:r w:rsidR="00AD1A12">
        <w:t xml:space="preserve"> While the overall unemployment rate has steadily declined since peaking in October, 2009 at a rate of 10% to reach 5.2% in 2015, some are still experiencing very high levels of unemployment. In </w:t>
      </w:r>
      <w:r w:rsidR="00AD1A12">
        <w:lastRenderedPageBreak/>
        <w:t>looking at the unemployment rate (age 16 and up) the rate for African Americans, 9.5%, is over twice that of whites, 4.5%, while Hispanics fell between wit</w:t>
      </w:r>
      <w:r w:rsidR="006E75A1">
        <w:t>h a rate of 6.5%, still above the national average</w:t>
      </w:r>
      <w:r w:rsidR="006E75A1">
        <w:rPr>
          <w:rStyle w:val="FootnoteReference"/>
        </w:rPr>
        <w:footnoteReference w:id="4"/>
      </w:r>
      <w:r w:rsidR="006E75A1">
        <w:t>.</w:t>
      </w:r>
      <w:r w:rsidR="00AD1A12">
        <w:t xml:space="preserve"> </w:t>
      </w:r>
      <w:r w:rsidR="00C4481F">
        <w:t>While the US has certainly made progress in racial inequality since the days when slavery existed there is no doubt that racism still exists and there is plenty of empirical work to back this up. Some recent studies done by econo</w:t>
      </w:r>
      <w:r w:rsidR="00ED5C68">
        <w:t>mists and social scientists have</w:t>
      </w:r>
      <w:r w:rsidR="00C4481F">
        <w:t xml:space="preserve"> focused on racial bias in the hiring process.</w:t>
      </w:r>
      <w:r w:rsidR="00ED5C68">
        <w:t xml:space="preserve"> One study mailed out statistically identical resumes with the only variation being that some had stereotypical </w:t>
      </w:r>
      <w:r w:rsidR="00A46C1F">
        <w:t>“</w:t>
      </w:r>
      <w:r w:rsidR="00ED5C68">
        <w:t>white</w:t>
      </w:r>
      <w:r w:rsidR="00A46C1F">
        <w:t>”</w:t>
      </w:r>
      <w:r w:rsidR="00ED5C68">
        <w:t xml:space="preserve"> names while others had stereotypical black names, this study found those with “white” names were 50% more likely to receive a call for an interview</w:t>
      </w:r>
      <w:r w:rsidR="00ED5C68">
        <w:rPr>
          <w:rStyle w:val="FootnoteReference"/>
        </w:rPr>
        <w:footnoteReference w:id="5"/>
      </w:r>
      <w:r w:rsidR="00ED5C68">
        <w:t>. Another study sent people out to apply for low wage jobs with identical resumes and interview training and found even with a criminal record a white applicant was more likely to get job offers than African American applicants without criminal records</w:t>
      </w:r>
      <w:r w:rsidR="00ED5C68">
        <w:rPr>
          <w:rStyle w:val="FootnoteReference"/>
        </w:rPr>
        <w:footnoteReference w:id="6"/>
      </w:r>
      <w:r w:rsidR="00ED5C68">
        <w:t>.</w:t>
      </w:r>
      <w:r w:rsidR="000112A3">
        <w:t xml:space="preserve"> These studies not only prove racism is still very much alive but also reveal a system that reinforces income inequality by making it more difficult for those who are already disadvantaged to find unemployment and work their way out of poverty.</w:t>
      </w:r>
      <w:r w:rsidR="00E30599">
        <w:t xml:space="preserve"> Unfortunately, in light of the recent election it does not appear racism is about to go anywhere soon, in fact minority groups may face even more challenges in the coming years.</w:t>
      </w:r>
    </w:p>
    <w:p w14:paraId="26B587A4" w14:textId="32960B1E" w:rsidR="00EA77AE" w:rsidRDefault="00333817" w:rsidP="00D76B6F">
      <w:pPr>
        <w:ind w:firstLine="720"/>
      </w:pPr>
      <w:r>
        <w:t>Moving across the Pac</w:t>
      </w:r>
      <w:r w:rsidR="00EC2B32">
        <w:t>ific to look at who the poor</w:t>
      </w:r>
      <w:r>
        <w:t xml:space="preserve"> in Thailand</w:t>
      </w:r>
      <w:r w:rsidR="00EC2B32">
        <w:t xml:space="preserve"> are</w:t>
      </w:r>
      <w:r>
        <w:t xml:space="preserve">, one must keep in mind poverty itself is a relative term. While US poverty rates are reported in relation to the US poverty line most data on Thailand uses the </w:t>
      </w:r>
      <w:r w:rsidR="006043B2">
        <w:t>international poverty line $2 a day</w:t>
      </w:r>
      <w:r>
        <w:t xml:space="preserve">, thus the comparisons will not focus on the raw data regarding poverty but rather which groups are most adversely affected and why that differs, or is the same between the two countries. With that in mind, Thailand’s poverty rate </w:t>
      </w:r>
      <w:r w:rsidR="00767974">
        <w:t>was recorded as 11% in 2014,</w:t>
      </w:r>
      <w:r>
        <w:t xml:space="preserve"> which can be considered a success as a huge reduction in poverty over the past few decades even while experiencing major recessions and financial crises (Asian Financial Crises and Global Financial Crisis).</w:t>
      </w:r>
      <w:r w:rsidR="00767974">
        <w:t xml:space="preserve"> However economists, both in Thailand as well as at the World Bank,</w:t>
      </w:r>
      <w:r w:rsidR="006F3AB8">
        <w:t xml:space="preserve"> see two main areas of concern: one is that in the past economic growth has been the primary factor in reducing poverty however recent years have seen this growth slow down, and secondly they</w:t>
      </w:r>
      <w:r w:rsidR="00767974">
        <w:t xml:space="preserve"> have taken note of the dramatic inequality between urban and rural Thailand. </w:t>
      </w:r>
    </w:p>
    <w:p w14:paraId="26D7695F" w14:textId="7106D94B" w:rsidR="00BF7483" w:rsidRDefault="00767974" w:rsidP="00D76B6F">
      <w:pPr>
        <w:ind w:firstLine="720"/>
      </w:pPr>
      <w:r>
        <w:t>A staggering 80% of those living in poverty live in r</w:t>
      </w:r>
      <w:r w:rsidR="006F3AB8">
        <w:t>ural areas</w:t>
      </w:r>
      <w:r w:rsidR="00EC2B32">
        <w:rPr>
          <w:rStyle w:val="FootnoteReference"/>
        </w:rPr>
        <w:footnoteReference w:id="7"/>
      </w:r>
      <w:r w:rsidR="006F3AB8">
        <w:t>. As these people primarily work in agriculture they are extremely vulnerable to volatile commodity prices as well as droughts, floods, or any other severe weather conditions.</w:t>
      </w:r>
      <w:r w:rsidR="00EA77AE">
        <w:t xml:space="preserve"> This income insecurity that comes from being susceptible to all of these risks makes it more difficult to save and therefore more difficult to invest in their futures. Because of the lack of opportunities for upward mobility within the agricultural sector those currently in poverty find it far more difficult to move out of it than those in urban centers. </w:t>
      </w:r>
      <w:r w:rsidR="00E30599">
        <w:t xml:space="preserve">Taking an even closer look it is clear the income inequality is not only an issue of urban versus rural but among large and small rural landholders. Large farms have lower transaction costs, access to credit, and increased </w:t>
      </w:r>
      <w:r w:rsidR="00E30599">
        <w:lastRenderedPageBreak/>
        <w:t xml:space="preserve">technology allowing them to better weather the bad times (weather or sudden change in prices) while </w:t>
      </w:r>
      <w:r w:rsidR="000F797B">
        <w:t>individuals</w:t>
      </w:r>
      <w:r w:rsidR="00E30599">
        <w:t xml:space="preserve"> with small land holdings find it much harder.</w:t>
      </w:r>
    </w:p>
    <w:p w14:paraId="38E962AA" w14:textId="778B81F1" w:rsidR="000F797B" w:rsidRDefault="000F797B" w:rsidP="00D76B6F">
      <w:pPr>
        <w:ind w:firstLine="720"/>
      </w:pPr>
      <w:r>
        <w:t>Whereas in the US demographic data abounds Thailand’s most recent census classifies the population in three main groups: ethnically Thai (75%), Thai Chinese (14%), and Malay (3%)</w:t>
      </w:r>
      <w:r w:rsidR="00F06625">
        <w:rPr>
          <w:rStyle w:val="FootnoteReference"/>
        </w:rPr>
        <w:footnoteReference w:id="8"/>
      </w:r>
      <w:r>
        <w:t xml:space="preserve">. While there are many articles discussing the issue of racism in Thailand poverty and unemployment data doesn’t show the same clear </w:t>
      </w:r>
      <w:r w:rsidR="00F06625">
        <w:t>relationship with minority groups. When looking at maps showing relative poverty and income levels as well as concentrations of minority groups there does seem to be a great deal of overlap between the two.</w:t>
      </w:r>
    </w:p>
    <w:p w14:paraId="16207C46" w14:textId="1BE8B13B" w:rsidR="00F06625" w:rsidRDefault="00F06625" w:rsidP="00D76B6F">
      <w:pPr>
        <w:ind w:firstLine="720"/>
      </w:pPr>
      <w:r>
        <w:t xml:space="preserve">Education is often viewed as one of the great equalizers, a route to opportunity, and out of poverty. However depending on implementation, it </w:t>
      </w:r>
      <w:r w:rsidR="009735FA">
        <w:t>can be either an agent in increasing or</w:t>
      </w:r>
      <w:r>
        <w:t xml:space="preserve"> decreasing equality. In </w:t>
      </w:r>
      <w:r w:rsidR="009735FA">
        <w:t xml:space="preserve">order to encourage equality as well as inclusive growth both the US and Thailand must examine their education systems. In 2013 in Thailand a minimum wage guarantee law for degree holders went into place stating that those holding a bachelors degree would earn at least 15,000 baht per month. In terms of incentivizing education, this is a great measure. However, without equal access to education a law like this can help increase inequality. </w:t>
      </w:r>
      <w:r w:rsidR="00B36291">
        <w:t>Poor families find it far more difficult to afford education, even without considering tuition costs the costs of transportation, books, uniforms, and simply the opportunity cost of time spend in school can be too much for a poor family. In 2009 data on univers</w:t>
      </w:r>
      <w:r w:rsidR="006B07D1">
        <w:t>ity enrollment</w:t>
      </w:r>
      <w:r w:rsidR="00B36291">
        <w:t xml:space="preserve"> by income quartile found that </w:t>
      </w:r>
      <w:r w:rsidR="006B07D1">
        <w:t>the bottom quartile comprised only 1</w:t>
      </w:r>
      <w:r w:rsidR="00A46C1F">
        <w:t>0% of the student body while</w:t>
      </w:r>
      <w:r w:rsidR="006B07D1">
        <w:t xml:space="preserve"> 50% of students belonged to the top quartile</w:t>
      </w:r>
      <w:r w:rsidR="006B07D1">
        <w:rPr>
          <w:rStyle w:val="FootnoteReference"/>
        </w:rPr>
        <w:footnoteReference w:id="9"/>
      </w:r>
      <w:r w:rsidR="006B07D1">
        <w:t>. Low enrollment rates among the lowest income levels will lead to a cycle of increased inequality unless issues of access are addressed. The US faces a similar problem of university access as increasing numbers of jobs at least expect if not require candidates have a bachelors degree.</w:t>
      </w:r>
      <w:r w:rsidR="006043B2">
        <w:t xml:space="preserve"> </w:t>
      </w:r>
      <w:r w:rsidR="00A46C1F">
        <w:t>While there is a great deal of variation in tuition costs between institutions looking at three main categories gives a broad idea of the costs students face:</w:t>
      </w:r>
      <w:r w:rsidR="006043B2">
        <w:t xml:space="preserve"> the average annual tuition for an in-state student at a public four-year university is $9,650, out-of-state is $24,930, and private is $33,480</w:t>
      </w:r>
      <w:r w:rsidR="00E75792">
        <w:rPr>
          <w:rStyle w:val="FootnoteReference"/>
        </w:rPr>
        <w:footnoteReference w:id="10"/>
      </w:r>
      <w:r w:rsidR="006043B2">
        <w:t>. On top of these already large sums students must factor in room and board, books and supplies, and transportation fees that can easily add up to $14,000 for an average student</w:t>
      </w:r>
      <w:r w:rsidR="00A46C1F">
        <w:t xml:space="preserve"> each year</w:t>
      </w:r>
      <w:r w:rsidR="006043B2">
        <w:t xml:space="preserve">. </w:t>
      </w:r>
      <w:r w:rsidR="00A46C1F">
        <w:t>The</w:t>
      </w:r>
      <w:r w:rsidR="00E75792">
        <w:t>s</w:t>
      </w:r>
      <w:r w:rsidR="00A46C1F">
        <w:t>e</w:t>
      </w:r>
      <w:r w:rsidR="00E75792">
        <w:t xml:space="preserve"> astonishingly large numbers have led to increasing amounts of debt, in 2015 the average college graduate with student-loans (this is approximately 70% of </w:t>
      </w:r>
      <w:r w:rsidR="00A46C1F">
        <w:t xml:space="preserve">total </w:t>
      </w:r>
      <w:r w:rsidR="00E75792">
        <w:t>graduates) had $35,000 in debt</w:t>
      </w:r>
      <w:r w:rsidR="00E75792">
        <w:rPr>
          <w:rStyle w:val="FootnoteReference"/>
        </w:rPr>
        <w:footnoteReference w:id="11"/>
      </w:r>
      <w:r w:rsidR="00E75792">
        <w:t>. These huge sums make higher education unavailable to many and c</w:t>
      </w:r>
      <w:r w:rsidR="00A46C1F">
        <w:t>reate huge debt burdens for those</w:t>
      </w:r>
      <w:r w:rsidR="00E75792">
        <w:t xml:space="preserve"> not in the highest income brackets or without financial support from their parents </w:t>
      </w:r>
      <w:r w:rsidR="00EB6F7F">
        <w:t>making education as a route out of poverty impossible for many. The education sector, and higher education in particular, is an area where both Thailand and the US can work to increase access for all, closing income gaps and reducing income inequality.</w:t>
      </w:r>
    </w:p>
    <w:p w14:paraId="6F3DC7AF" w14:textId="5D6D457C" w:rsidR="00EB6F7F" w:rsidRPr="009D1BE7" w:rsidRDefault="00EB6F7F" w:rsidP="00D76B6F">
      <w:pPr>
        <w:ind w:firstLine="720"/>
      </w:pPr>
      <w:r>
        <w:lastRenderedPageBreak/>
        <w:t>Poverty differs greatly in the US and Thailand, but it is clear that in both countries it adversely affects certain groups those in rural areas for Thailand and along race lines in the US. To reduce poverty and create more inclusive growth both countries must address these inequalities and work to implement programs targeting these vulnerable populations. Unless these nations take action to decrease inequality the current systems agricultural dynamics, racial biases, and educational access issues will only reinforce the inequality keeping the adversely affected populations in cycles of poverty.</w:t>
      </w:r>
    </w:p>
    <w:sectPr w:rsidR="00EB6F7F" w:rsidRPr="009D1BE7" w:rsidSect="005426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BA858A" w14:textId="77777777" w:rsidR="006F47B3" w:rsidRDefault="006F47B3" w:rsidP="0012487A">
      <w:r>
        <w:separator/>
      </w:r>
    </w:p>
  </w:endnote>
  <w:endnote w:type="continuationSeparator" w:id="0">
    <w:p w14:paraId="0D0B3CCB" w14:textId="77777777" w:rsidR="006F47B3" w:rsidRDefault="006F47B3" w:rsidP="00124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C57C7D" w14:textId="77777777" w:rsidR="006F47B3" w:rsidRDefault="006F47B3" w:rsidP="0012487A">
      <w:r>
        <w:separator/>
      </w:r>
    </w:p>
  </w:footnote>
  <w:footnote w:type="continuationSeparator" w:id="0">
    <w:p w14:paraId="2941CF2A" w14:textId="77777777" w:rsidR="006F47B3" w:rsidRDefault="006F47B3" w:rsidP="0012487A">
      <w:r>
        <w:continuationSeparator/>
      </w:r>
    </w:p>
  </w:footnote>
  <w:footnote w:id="1">
    <w:p w14:paraId="0B683AE3" w14:textId="12188A32" w:rsidR="00E75792" w:rsidRPr="0012487A" w:rsidRDefault="00E75792">
      <w:pPr>
        <w:pStyle w:val="FootnoteText"/>
        <w:rPr>
          <w:sz w:val="18"/>
          <w:szCs w:val="18"/>
        </w:rPr>
      </w:pPr>
      <w:r>
        <w:rPr>
          <w:rStyle w:val="FootnoteReference"/>
        </w:rPr>
        <w:footnoteRef/>
      </w:r>
      <w:r>
        <w:t xml:space="preserve"> </w:t>
      </w:r>
      <w:proofErr w:type="gramStart"/>
      <w:r w:rsidR="00EC2B32" w:rsidRPr="00EC2B32">
        <w:rPr>
          <w:sz w:val="18"/>
          <w:szCs w:val="18"/>
        </w:rPr>
        <w:t>"About Thailand."</w:t>
      </w:r>
      <w:proofErr w:type="gramEnd"/>
      <w:r w:rsidR="00EC2B32" w:rsidRPr="00EC2B32">
        <w:rPr>
          <w:sz w:val="18"/>
          <w:szCs w:val="18"/>
        </w:rPr>
        <w:t xml:space="preserve"> </w:t>
      </w:r>
      <w:proofErr w:type="gramStart"/>
      <w:r w:rsidR="00EC2B32" w:rsidRPr="00EC2B32">
        <w:rPr>
          <w:i/>
          <w:iCs/>
          <w:sz w:val="18"/>
          <w:szCs w:val="18"/>
        </w:rPr>
        <w:t>UNDP in Thailand</w:t>
      </w:r>
      <w:r w:rsidR="00EC2B32" w:rsidRPr="00EC2B32">
        <w:rPr>
          <w:sz w:val="18"/>
          <w:szCs w:val="18"/>
        </w:rPr>
        <w:t>.</w:t>
      </w:r>
      <w:proofErr w:type="gramEnd"/>
      <w:r w:rsidR="00EC2B32" w:rsidRPr="00EC2B32">
        <w:rPr>
          <w:sz w:val="18"/>
          <w:szCs w:val="18"/>
        </w:rPr>
        <w:t xml:space="preserve"> </w:t>
      </w:r>
      <w:proofErr w:type="gramStart"/>
      <w:r w:rsidR="00EC2B32" w:rsidRPr="00EC2B32">
        <w:rPr>
          <w:sz w:val="18"/>
          <w:szCs w:val="18"/>
        </w:rPr>
        <w:t>UNDP, 2014.</w:t>
      </w:r>
      <w:proofErr w:type="gramEnd"/>
      <w:r w:rsidR="00EC2B32" w:rsidRPr="00EC2B32">
        <w:rPr>
          <w:sz w:val="18"/>
          <w:szCs w:val="18"/>
        </w:rPr>
        <w:t xml:space="preserve"> Web. 17 Nov. 2016.</w:t>
      </w:r>
    </w:p>
  </w:footnote>
  <w:footnote w:id="2">
    <w:p w14:paraId="38A7DFAC" w14:textId="77777777" w:rsidR="00E75792" w:rsidRDefault="00E75792">
      <w:pPr>
        <w:pStyle w:val="FootnoteText"/>
      </w:pPr>
      <w:r>
        <w:rPr>
          <w:rStyle w:val="FootnoteReference"/>
        </w:rPr>
        <w:footnoteRef/>
      </w:r>
      <w:r>
        <w:t xml:space="preserve"> </w:t>
      </w:r>
      <w:proofErr w:type="gramStart"/>
      <w:r w:rsidRPr="0012487A">
        <w:rPr>
          <w:sz w:val="18"/>
          <w:szCs w:val="18"/>
        </w:rPr>
        <w:t>World Bank (2013).</w:t>
      </w:r>
      <w:proofErr w:type="gramEnd"/>
      <w:r w:rsidRPr="0012487A">
        <w:rPr>
          <w:sz w:val="18"/>
          <w:szCs w:val="18"/>
        </w:rPr>
        <w:t xml:space="preserve"> "World Development Indicators 2013." Washington, D.C.: World Bank. </w:t>
      </w:r>
      <w:r>
        <w:rPr>
          <w:sz w:val="18"/>
          <w:szCs w:val="18"/>
        </w:rPr>
        <w:t>November, 2016</w:t>
      </w:r>
      <w:r w:rsidRPr="0012487A">
        <w:rPr>
          <w:sz w:val="18"/>
          <w:szCs w:val="18"/>
        </w:rPr>
        <w:t>.</w:t>
      </w:r>
    </w:p>
  </w:footnote>
  <w:footnote w:id="3">
    <w:p w14:paraId="1B3C8EB8" w14:textId="77777777" w:rsidR="00E75792" w:rsidRPr="0012487A" w:rsidRDefault="00E75792">
      <w:pPr>
        <w:pStyle w:val="FootnoteText"/>
        <w:rPr>
          <w:sz w:val="18"/>
          <w:szCs w:val="18"/>
        </w:rPr>
      </w:pPr>
      <w:r>
        <w:rPr>
          <w:rStyle w:val="FootnoteReference"/>
        </w:rPr>
        <w:footnoteRef/>
      </w:r>
      <w:r>
        <w:t xml:space="preserve"> </w:t>
      </w:r>
      <w:r>
        <w:rPr>
          <w:sz w:val="18"/>
          <w:szCs w:val="18"/>
        </w:rPr>
        <w:t>2014 US Census</w:t>
      </w:r>
    </w:p>
  </w:footnote>
  <w:footnote w:id="4">
    <w:p w14:paraId="7D3BFC63" w14:textId="77777777" w:rsidR="00E75792" w:rsidRDefault="00E75792">
      <w:pPr>
        <w:pStyle w:val="FootnoteText"/>
      </w:pPr>
      <w:r>
        <w:rPr>
          <w:rStyle w:val="FootnoteReference"/>
        </w:rPr>
        <w:footnoteRef/>
      </w:r>
      <w:r>
        <w:t xml:space="preserve"> </w:t>
      </w:r>
      <w:r w:rsidRPr="006E75A1">
        <w:rPr>
          <w:sz w:val="18"/>
          <w:szCs w:val="18"/>
        </w:rPr>
        <w:t>US Bureau of Labor Statistics 2015</w:t>
      </w:r>
    </w:p>
  </w:footnote>
  <w:footnote w:id="5">
    <w:p w14:paraId="014E501D" w14:textId="77777777" w:rsidR="00E75792" w:rsidRDefault="00E75792">
      <w:pPr>
        <w:pStyle w:val="FootnoteText"/>
      </w:pPr>
      <w:r>
        <w:rPr>
          <w:rStyle w:val="FootnoteReference"/>
        </w:rPr>
        <w:footnoteRef/>
      </w:r>
      <w:r>
        <w:t xml:space="preserve"> </w:t>
      </w:r>
      <w:r w:rsidRPr="00ED5C68">
        <w:rPr>
          <w:sz w:val="18"/>
          <w:szCs w:val="18"/>
        </w:rPr>
        <w:t xml:space="preserve">Bertrand, Marianne and Sendhil Mullainathan. 2004. "Are Emily and Greg More Employable Than Lakisha and Jamal? A Field Experiment on Labor Market Discrimination." </w:t>
      </w:r>
      <w:r w:rsidRPr="00ED5C68">
        <w:rPr>
          <w:i/>
          <w:iCs/>
          <w:sz w:val="18"/>
          <w:szCs w:val="18"/>
        </w:rPr>
        <w:t>American Economic Review</w:t>
      </w:r>
      <w:r w:rsidRPr="00ED5C68">
        <w:rPr>
          <w:sz w:val="18"/>
          <w:szCs w:val="18"/>
        </w:rPr>
        <w:t>, 94(4): 991-1013.</w:t>
      </w:r>
    </w:p>
  </w:footnote>
  <w:footnote w:id="6">
    <w:p w14:paraId="7FAA6FBA" w14:textId="38186A75" w:rsidR="00E75792" w:rsidRDefault="00E75792">
      <w:pPr>
        <w:pStyle w:val="FootnoteText"/>
      </w:pPr>
      <w:r>
        <w:rPr>
          <w:rStyle w:val="FootnoteReference"/>
        </w:rPr>
        <w:footnoteRef/>
      </w:r>
      <w:r>
        <w:t xml:space="preserve"> </w:t>
      </w:r>
      <w:r w:rsidRPr="000112A3">
        <w:rPr>
          <w:sz w:val="18"/>
          <w:szCs w:val="18"/>
        </w:rPr>
        <w:t xml:space="preserve">Pager, D., B. Bonikowski, and B. Western. "Discrimination in a Low-Wage Labor Market: A Field Experiment." </w:t>
      </w:r>
      <w:r w:rsidRPr="000112A3">
        <w:rPr>
          <w:i/>
          <w:iCs/>
          <w:sz w:val="18"/>
          <w:szCs w:val="18"/>
        </w:rPr>
        <w:t>American Sociological Review</w:t>
      </w:r>
      <w:r w:rsidRPr="000112A3">
        <w:rPr>
          <w:sz w:val="18"/>
          <w:szCs w:val="18"/>
        </w:rPr>
        <w:t xml:space="preserve"> 74.5 (2009): 777-99. Web.</w:t>
      </w:r>
    </w:p>
  </w:footnote>
  <w:footnote w:id="7">
    <w:p w14:paraId="2ECB07F6" w14:textId="26DE3766" w:rsidR="00EC2B32" w:rsidRDefault="00EC2B32">
      <w:pPr>
        <w:pStyle w:val="FootnoteText"/>
      </w:pPr>
      <w:r>
        <w:rPr>
          <w:rStyle w:val="FootnoteReference"/>
        </w:rPr>
        <w:footnoteRef/>
      </w:r>
      <w:r>
        <w:t xml:space="preserve"> </w:t>
      </w:r>
      <w:proofErr w:type="gramStart"/>
      <w:r w:rsidRPr="00EC2B32">
        <w:rPr>
          <w:sz w:val="18"/>
          <w:szCs w:val="18"/>
        </w:rPr>
        <w:t>"Thailand Overview."</w:t>
      </w:r>
      <w:proofErr w:type="gramEnd"/>
      <w:r w:rsidRPr="00EC2B32">
        <w:rPr>
          <w:sz w:val="18"/>
          <w:szCs w:val="18"/>
        </w:rPr>
        <w:t xml:space="preserve"> </w:t>
      </w:r>
      <w:proofErr w:type="gramStart"/>
      <w:r w:rsidRPr="00EC2B32">
        <w:rPr>
          <w:i/>
          <w:iCs/>
          <w:sz w:val="18"/>
          <w:szCs w:val="18"/>
        </w:rPr>
        <w:t>The World Bank</w:t>
      </w:r>
      <w:r w:rsidRPr="00EC2B32">
        <w:rPr>
          <w:sz w:val="18"/>
          <w:szCs w:val="18"/>
        </w:rPr>
        <w:t>.</w:t>
      </w:r>
      <w:proofErr w:type="gramEnd"/>
      <w:r w:rsidRPr="00EC2B32">
        <w:rPr>
          <w:sz w:val="18"/>
          <w:szCs w:val="18"/>
        </w:rPr>
        <w:t xml:space="preserve"> The World Bank, Sept. 2016. Web. 17 Nov. 2016</w:t>
      </w:r>
      <w:r w:rsidRPr="00EC2B32">
        <w:t>.</w:t>
      </w:r>
    </w:p>
  </w:footnote>
  <w:footnote w:id="8">
    <w:p w14:paraId="3E04ED44" w14:textId="7F05A1E3" w:rsidR="00E75792" w:rsidRPr="00F06625" w:rsidRDefault="00E75792">
      <w:pPr>
        <w:pStyle w:val="FootnoteText"/>
        <w:rPr>
          <w:sz w:val="18"/>
          <w:szCs w:val="18"/>
        </w:rPr>
      </w:pPr>
      <w:r>
        <w:rPr>
          <w:rStyle w:val="FootnoteReference"/>
        </w:rPr>
        <w:footnoteRef/>
      </w:r>
      <w:r>
        <w:t xml:space="preserve"> </w:t>
      </w:r>
      <w:r>
        <w:rPr>
          <w:sz w:val="18"/>
          <w:szCs w:val="18"/>
        </w:rPr>
        <w:t>2010 Thailand Population and Housing Census</w:t>
      </w:r>
    </w:p>
  </w:footnote>
  <w:footnote w:id="9">
    <w:p w14:paraId="7C73DEC7" w14:textId="1DCA3129" w:rsidR="00E75792" w:rsidRPr="00E75792" w:rsidRDefault="00E75792">
      <w:pPr>
        <w:pStyle w:val="FootnoteText"/>
        <w:rPr>
          <w:sz w:val="18"/>
          <w:szCs w:val="18"/>
        </w:rPr>
      </w:pPr>
      <w:r>
        <w:rPr>
          <w:rStyle w:val="FootnoteReference"/>
        </w:rPr>
        <w:footnoteRef/>
      </w:r>
      <w:r>
        <w:t xml:space="preserve"> </w:t>
      </w:r>
      <w:proofErr w:type="spellStart"/>
      <w:r w:rsidRPr="006B07D1">
        <w:rPr>
          <w:sz w:val="18"/>
          <w:szCs w:val="18"/>
        </w:rPr>
        <w:t>Lathapipat</w:t>
      </w:r>
      <w:proofErr w:type="spellEnd"/>
      <w:r w:rsidRPr="006B07D1">
        <w:rPr>
          <w:sz w:val="18"/>
          <w:szCs w:val="18"/>
        </w:rPr>
        <w:t xml:space="preserve">, </w:t>
      </w:r>
      <w:proofErr w:type="spellStart"/>
      <w:r w:rsidRPr="006B07D1">
        <w:rPr>
          <w:sz w:val="18"/>
          <w:szCs w:val="18"/>
        </w:rPr>
        <w:t>Dilaka</w:t>
      </w:r>
      <w:proofErr w:type="spellEnd"/>
      <w:r w:rsidRPr="006B07D1">
        <w:rPr>
          <w:sz w:val="18"/>
          <w:szCs w:val="18"/>
        </w:rPr>
        <w:t xml:space="preserve"> (2011), “The Inequality of Access to Education in Thailand, 1986–2009”, paper presented at the conference ANU-DBU Economics of Education Policy: Access and Equity at </w:t>
      </w:r>
      <w:proofErr w:type="spellStart"/>
      <w:r w:rsidRPr="006B07D1">
        <w:rPr>
          <w:sz w:val="18"/>
          <w:szCs w:val="18"/>
        </w:rPr>
        <w:t>Dhurakij</w:t>
      </w:r>
      <w:proofErr w:type="spellEnd"/>
      <w:r w:rsidRPr="006B07D1">
        <w:rPr>
          <w:sz w:val="18"/>
          <w:szCs w:val="18"/>
        </w:rPr>
        <w:t xml:space="preserve"> Pundit University, Bangkok, Thailand, 14–16 June 2011.</w:t>
      </w:r>
    </w:p>
  </w:footnote>
  <w:footnote w:id="10">
    <w:p w14:paraId="68275AF3" w14:textId="70CCB9C0" w:rsidR="00E75792" w:rsidRDefault="00E75792">
      <w:pPr>
        <w:pStyle w:val="FootnoteText"/>
      </w:pPr>
      <w:r>
        <w:rPr>
          <w:rStyle w:val="FootnoteReference"/>
        </w:rPr>
        <w:footnoteRef/>
      </w:r>
      <w:r>
        <w:t xml:space="preserve"> </w:t>
      </w:r>
      <w:r w:rsidRPr="00E75792">
        <w:rPr>
          <w:sz w:val="18"/>
          <w:szCs w:val="18"/>
        </w:rPr>
        <w:t>College Board, Annual Survey of Colleges</w:t>
      </w:r>
      <w:r>
        <w:rPr>
          <w:sz w:val="18"/>
          <w:szCs w:val="18"/>
        </w:rPr>
        <w:t xml:space="preserve"> 2016-17</w:t>
      </w:r>
    </w:p>
  </w:footnote>
  <w:footnote w:id="11">
    <w:p w14:paraId="19FFF380" w14:textId="49E0C16F" w:rsidR="00E75792" w:rsidRDefault="00E75792">
      <w:pPr>
        <w:pStyle w:val="FootnoteText"/>
      </w:pPr>
      <w:r>
        <w:rPr>
          <w:rStyle w:val="FootnoteReference"/>
        </w:rPr>
        <w:footnoteRef/>
      </w:r>
      <w:r>
        <w:t xml:space="preserve"> </w:t>
      </w:r>
      <w:proofErr w:type="spellStart"/>
      <w:r w:rsidRPr="00E75792">
        <w:rPr>
          <w:sz w:val="18"/>
          <w:szCs w:val="18"/>
        </w:rPr>
        <w:t>Sparshott</w:t>
      </w:r>
      <w:proofErr w:type="spellEnd"/>
      <w:r w:rsidRPr="00E75792">
        <w:rPr>
          <w:sz w:val="18"/>
          <w:szCs w:val="18"/>
        </w:rPr>
        <w:t xml:space="preserve">, Jeffrey. "Congratulations, Class of 2015. You're the Most Indebted Ever (For Now)." </w:t>
      </w:r>
      <w:r w:rsidRPr="00E75792">
        <w:rPr>
          <w:i/>
          <w:iCs/>
          <w:sz w:val="18"/>
          <w:szCs w:val="18"/>
        </w:rPr>
        <w:t>WSJ</w:t>
      </w:r>
      <w:r w:rsidRPr="00E75792">
        <w:rPr>
          <w:sz w:val="18"/>
          <w:szCs w:val="18"/>
        </w:rPr>
        <w:t>. Wall Street Journal, 08 May 2015. Web. 17 Nov. 2016.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BE7"/>
    <w:rsid w:val="000112A3"/>
    <w:rsid w:val="00035C70"/>
    <w:rsid w:val="000F797B"/>
    <w:rsid w:val="00120CF1"/>
    <w:rsid w:val="0012487A"/>
    <w:rsid w:val="001E2E66"/>
    <w:rsid w:val="00333817"/>
    <w:rsid w:val="0054265A"/>
    <w:rsid w:val="006043B2"/>
    <w:rsid w:val="006B07D1"/>
    <w:rsid w:val="006B1612"/>
    <w:rsid w:val="006D0820"/>
    <w:rsid w:val="006E75A1"/>
    <w:rsid w:val="006F3AB8"/>
    <w:rsid w:val="006F47B3"/>
    <w:rsid w:val="00767974"/>
    <w:rsid w:val="00865625"/>
    <w:rsid w:val="009735FA"/>
    <w:rsid w:val="009D1BE7"/>
    <w:rsid w:val="00A46C1F"/>
    <w:rsid w:val="00A519EF"/>
    <w:rsid w:val="00AD1A12"/>
    <w:rsid w:val="00B36291"/>
    <w:rsid w:val="00BF7483"/>
    <w:rsid w:val="00C33852"/>
    <w:rsid w:val="00C4481F"/>
    <w:rsid w:val="00D76B6F"/>
    <w:rsid w:val="00E30599"/>
    <w:rsid w:val="00E75792"/>
    <w:rsid w:val="00EA77AE"/>
    <w:rsid w:val="00EB6F7F"/>
    <w:rsid w:val="00EC2B32"/>
    <w:rsid w:val="00ED5C68"/>
    <w:rsid w:val="00F0662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77EB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BE7"/>
    <w:pPr>
      <w:ind w:left="720"/>
      <w:contextualSpacing/>
    </w:pPr>
  </w:style>
  <w:style w:type="paragraph" w:styleId="FootnoteText">
    <w:name w:val="footnote text"/>
    <w:basedOn w:val="Normal"/>
    <w:link w:val="FootnoteTextChar"/>
    <w:uiPriority w:val="99"/>
    <w:unhideWhenUsed/>
    <w:rsid w:val="0012487A"/>
  </w:style>
  <w:style w:type="character" w:customStyle="1" w:styleId="FootnoteTextChar">
    <w:name w:val="Footnote Text Char"/>
    <w:basedOn w:val="DefaultParagraphFont"/>
    <w:link w:val="FootnoteText"/>
    <w:uiPriority w:val="99"/>
    <w:rsid w:val="0012487A"/>
  </w:style>
  <w:style w:type="character" w:styleId="FootnoteReference">
    <w:name w:val="footnote reference"/>
    <w:basedOn w:val="DefaultParagraphFont"/>
    <w:uiPriority w:val="99"/>
    <w:unhideWhenUsed/>
    <w:rsid w:val="0012487A"/>
    <w:rPr>
      <w:vertAlign w:val="superscript"/>
    </w:rPr>
  </w:style>
  <w:style w:type="character" w:styleId="Hyperlink">
    <w:name w:val="Hyperlink"/>
    <w:basedOn w:val="DefaultParagraphFont"/>
    <w:uiPriority w:val="99"/>
    <w:unhideWhenUsed/>
    <w:rsid w:val="0012487A"/>
    <w:rPr>
      <w:color w:val="0000FF" w:themeColor="hyperlink"/>
      <w:u w:val="single"/>
    </w:rPr>
  </w:style>
  <w:style w:type="paragraph" w:styleId="NormalWeb">
    <w:name w:val="Normal (Web)"/>
    <w:basedOn w:val="Normal"/>
    <w:uiPriority w:val="99"/>
    <w:semiHidden/>
    <w:unhideWhenUsed/>
    <w:rsid w:val="00ED5C68"/>
    <w:rPr>
      <w:rFonts w:ascii="Times New Roman" w:hAnsi="Times New Roman" w:cs="Times New Roman"/>
    </w:rPr>
  </w:style>
  <w:style w:type="paragraph" w:styleId="Title">
    <w:name w:val="Title"/>
    <w:basedOn w:val="Normal"/>
    <w:next w:val="Normal"/>
    <w:link w:val="TitleChar"/>
    <w:uiPriority w:val="10"/>
    <w:qFormat/>
    <w:rsid w:val="006F3AB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3AB8"/>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BE7"/>
    <w:pPr>
      <w:ind w:left="720"/>
      <w:contextualSpacing/>
    </w:pPr>
  </w:style>
  <w:style w:type="paragraph" w:styleId="FootnoteText">
    <w:name w:val="footnote text"/>
    <w:basedOn w:val="Normal"/>
    <w:link w:val="FootnoteTextChar"/>
    <w:uiPriority w:val="99"/>
    <w:unhideWhenUsed/>
    <w:rsid w:val="0012487A"/>
  </w:style>
  <w:style w:type="character" w:customStyle="1" w:styleId="FootnoteTextChar">
    <w:name w:val="Footnote Text Char"/>
    <w:basedOn w:val="DefaultParagraphFont"/>
    <w:link w:val="FootnoteText"/>
    <w:uiPriority w:val="99"/>
    <w:rsid w:val="0012487A"/>
  </w:style>
  <w:style w:type="character" w:styleId="FootnoteReference">
    <w:name w:val="footnote reference"/>
    <w:basedOn w:val="DefaultParagraphFont"/>
    <w:uiPriority w:val="99"/>
    <w:unhideWhenUsed/>
    <w:rsid w:val="0012487A"/>
    <w:rPr>
      <w:vertAlign w:val="superscript"/>
    </w:rPr>
  </w:style>
  <w:style w:type="character" w:styleId="Hyperlink">
    <w:name w:val="Hyperlink"/>
    <w:basedOn w:val="DefaultParagraphFont"/>
    <w:uiPriority w:val="99"/>
    <w:unhideWhenUsed/>
    <w:rsid w:val="0012487A"/>
    <w:rPr>
      <w:color w:val="0000FF" w:themeColor="hyperlink"/>
      <w:u w:val="single"/>
    </w:rPr>
  </w:style>
  <w:style w:type="paragraph" w:styleId="NormalWeb">
    <w:name w:val="Normal (Web)"/>
    <w:basedOn w:val="Normal"/>
    <w:uiPriority w:val="99"/>
    <w:semiHidden/>
    <w:unhideWhenUsed/>
    <w:rsid w:val="00ED5C68"/>
    <w:rPr>
      <w:rFonts w:ascii="Times New Roman" w:hAnsi="Times New Roman" w:cs="Times New Roman"/>
    </w:rPr>
  </w:style>
  <w:style w:type="paragraph" w:styleId="Title">
    <w:name w:val="Title"/>
    <w:basedOn w:val="Normal"/>
    <w:next w:val="Normal"/>
    <w:link w:val="TitleChar"/>
    <w:uiPriority w:val="10"/>
    <w:qFormat/>
    <w:rsid w:val="006F3AB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3AB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697257">
      <w:bodyDiv w:val="1"/>
      <w:marLeft w:val="0"/>
      <w:marRight w:val="0"/>
      <w:marTop w:val="0"/>
      <w:marBottom w:val="0"/>
      <w:divBdr>
        <w:top w:val="none" w:sz="0" w:space="0" w:color="auto"/>
        <w:left w:val="none" w:sz="0" w:space="0" w:color="auto"/>
        <w:bottom w:val="none" w:sz="0" w:space="0" w:color="auto"/>
        <w:right w:val="none" w:sz="0" w:space="0" w:color="auto"/>
      </w:divBdr>
      <w:divsChild>
        <w:div w:id="671571875">
          <w:marLeft w:val="0"/>
          <w:marRight w:val="0"/>
          <w:marTop w:val="0"/>
          <w:marBottom w:val="0"/>
          <w:divBdr>
            <w:top w:val="none" w:sz="0" w:space="0" w:color="auto"/>
            <w:left w:val="none" w:sz="0" w:space="0" w:color="auto"/>
            <w:bottom w:val="none" w:sz="0" w:space="0" w:color="auto"/>
            <w:right w:val="none" w:sz="0" w:space="0" w:color="auto"/>
          </w:divBdr>
          <w:divsChild>
            <w:div w:id="622619897">
              <w:marLeft w:val="0"/>
              <w:marRight w:val="0"/>
              <w:marTop w:val="0"/>
              <w:marBottom w:val="0"/>
              <w:divBdr>
                <w:top w:val="none" w:sz="0" w:space="0" w:color="auto"/>
                <w:left w:val="none" w:sz="0" w:space="0" w:color="auto"/>
                <w:bottom w:val="none" w:sz="0" w:space="0" w:color="auto"/>
                <w:right w:val="none" w:sz="0" w:space="0" w:color="auto"/>
              </w:divBdr>
              <w:divsChild>
                <w:div w:id="1884752584">
                  <w:marLeft w:val="0"/>
                  <w:marRight w:val="0"/>
                  <w:marTop w:val="0"/>
                  <w:marBottom w:val="0"/>
                  <w:divBdr>
                    <w:top w:val="none" w:sz="0" w:space="0" w:color="auto"/>
                    <w:left w:val="none" w:sz="0" w:space="0" w:color="auto"/>
                    <w:bottom w:val="none" w:sz="0" w:space="0" w:color="auto"/>
                    <w:right w:val="none" w:sz="0" w:space="0" w:color="auto"/>
                  </w:divBdr>
                  <w:divsChild>
                    <w:div w:id="11177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942158">
      <w:bodyDiv w:val="1"/>
      <w:marLeft w:val="0"/>
      <w:marRight w:val="0"/>
      <w:marTop w:val="0"/>
      <w:marBottom w:val="0"/>
      <w:divBdr>
        <w:top w:val="none" w:sz="0" w:space="0" w:color="auto"/>
        <w:left w:val="none" w:sz="0" w:space="0" w:color="auto"/>
        <w:bottom w:val="none" w:sz="0" w:space="0" w:color="auto"/>
        <w:right w:val="none" w:sz="0" w:space="0" w:color="auto"/>
      </w:divBdr>
      <w:divsChild>
        <w:div w:id="1196505694">
          <w:marLeft w:val="0"/>
          <w:marRight w:val="0"/>
          <w:marTop w:val="0"/>
          <w:marBottom w:val="0"/>
          <w:divBdr>
            <w:top w:val="none" w:sz="0" w:space="0" w:color="auto"/>
            <w:left w:val="none" w:sz="0" w:space="0" w:color="auto"/>
            <w:bottom w:val="none" w:sz="0" w:space="0" w:color="auto"/>
            <w:right w:val="none" w:sz="0" w:space="0" w:color="auto"/>
          </w:divBdr>
          <w:divsChild>
            <w:div w:id="22757159">
              <w:marLeft w:val="0"/>
              <w:marRight w:val="0"/>
              <w:marTop w:val="0"/>
              <w:marBottom w:val="0"/>
              <w:divBdr>
                <w:top w:val="none" w:sz="0" w:space="0" w:color="auto"/>
                <w:left w:val="none" w:sz="0" w:space="0" w:color="auto"/>
                <w:bottom w:val="none" w:sz="0" w:space="0" w:color="auto"/>
                <w:right w:val="none" w:sz="0" w:space="0" w:color="auto"/>
              </w:divBdr>
              <w:divsChild>
                <w:div w:id="497887195">
                  <w:marLeft w:val="0"/>
                  <w:marRight w:val="0"/>
                  <w:marTop w:val="0"/>
                  <w:marBottom w:val="0"/>
                  <w:divBdr>
                    <w:top w:val="none" w:sz="0" w:space="0" w:color="auto"/>
                    <w:left w:val="none" w:sz="0" w:space="0" w:color="auto"/>
                    <w:bottom w:val="none" w:sz="0" w:space="0" w:color="auto"/>
                    <w:right w:val="none" w:sz="0" w:space="0" w:color="auto"/>
                  </w:divBdr>
                  <w:divsChild>
                    <w:div w:id="19463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741415">
      <w:bodyDiv w:val="1"/>
      <w:marLeft w:val="0"/>
      <w:marRight w:val="0"/>
      <w:marTop w:val="0"/>
      <w:marBottom w:val="0"/>
      <w:divBdr>
        <w:top w:val="none" w:sz="0" w:space="0" w:color="auto"/>
        <w:left w:val="none" w:sz="0" w:space="0" w:color="auto"/>
        <w:bottom w:val="none" w:sz="0" w:space="0" w:color="auto"/>
        <w:right w:val="none" w:sz="0" w:space="0" w:color="auto"/>
      </w:divBdr>
      <w:divsChild>
        <w:div w:id="1723675533">
          <w:marLeft w:val="0"/>
          <w:marRight w:val="0"/>
          <w:marTop w:val="0"/>
          <w:marBottom w:val="0"/>
          <w:divBdr>
            <w:top w:val="none" w:sz="0" w:space="0" w:color="auto"/>
            <w:left w:val="none" w:sz="0" w:space="0" w:color="auto"/>
            <w:bottom w:val="none" w:sz="0" w:space="0" w:color="auto"/>
            <w:right w:val="none" w:sz="0" w:space="0" w:color="auto"/>
          </w:divBdr>
          <w:divsChild>
            <w:div w:id="1971594495">
              <w:marLeft w:val="0"/>
              <w:marRight w:val="0"/>
              <w:marTop w:val="0"/>
              <w:marBottom w:val="0"/>
              <w:divBdr>
                <w:top w:val="none" w:sz="0" w:space="0" w:color="auto"/>
                <w:left w:val="none" w:sz="0" w:space="0" w:color="auto"/>
                <w:bottom w:val="none" w:sz="0" w:space="0" w:color="auto"/>
                <w:right w:val="none" w:sz="0" w:space="0" w:color="auto"/>
              </w:divBdr>
              <w:divsChild>
                <w:div w:id="332536333">
                  <w:marLeft w:val="0"/>
                  <w:marRight w:val="0"/>
                  <w:marTop w:val="0"/>
                  <w:marBottom w:val="0"/>
                  <w:divBdr>
                    <w:top w:val="none" w:sz="0" w:space="0" w:color="auto"/>
                    <w:left w:val="none" w:sz="0" w:space="0" w:color="auto"/>
                    <w:bottom w:val="none" w:sz="0" w:space="0" w:color="auto"/>
                    <w:right w:val="none" w:sz="0" w:space="0" w:color="auto"/>
                  </w:divBdr>
                  <w:divsChild>
                    <w:div w:id="41925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968022">
      <w:bodyDiv w:val="1"/>
      <w:marLeft w:val="0"/>
      <w:marRight w:val="0"/>
      <w:marTop w:val="0"/>
      <w:marBottom w:val="0"/>
      <w:divBdr>
        <w:top w:val="none" w:sz="0" w:space="0" w:color="auto"/>
        <w:left w:val="none" w:sz="0" w:space="0" w:color="auto"/>
        <w:bottom w:val="none" w:sz="0" w:space="0" w:color="auto"/>
        <w:right w:val="none" w:sz="0" w:space="0" w:color="auto"/>
      </w:divBdr>
      <w:divsChild>
        <w:div w:id="1019283626">
          <w:marLeft w:val="0"/>
          <w:marRight w:val="0"/>
          <w:marTop w:val="0"/>
          <w:marBottom w:val="0"/>
          <w:divBdr>
            <w:top w:val="none" w:sz="0" w:space="0" w:color="auto"/>
            <w:left w:val="none" w:sz="0" w:space="0" w:color="auto"/>
            <w:bottom w:val="none" w:sz="0" w:space="0" w:color="auto"/>
            <w:right w:val="none" w:sz="0" w:space="0" w:color="auto"/>
          </w:divBdr>
          <w:divsChild>
            <w:div w:id="1536430716">
              <w:marLeft w:val="0"/>
              <w:marRight w:val="0"/>
              <w:marTop w:val="0"/>
              <w:marBottom w:val="0"/>
              <w:divBdr>
                <w:top w:val="none" w:sz="0" w:space="0" w:color="auto"/>
                <w:left w:val="none" w:sz="0" w:space="0" w:color="auto"/>
                <w:bottom w:val="none" w:sz="0" w:space="0" w:color="auto"/>
                <w:right w:val="none" w:sz="0" w:space="0" w:color="auto"/>
              </w:divBdr>
              <w:divsChild>
                <w:div w:id="1900626861">
                  <w:marLeft w:val="0"/>
                  <w:marRight w:val="0"/>
                  <w:marTop w:val="0"/>
                  <w:marBottom w:val="0"/>
                  <w:divBdr>
                    <w:top w:val="none" w:sz="0" w:space="0" w:color="auto"/>
                    <w:left w:val="none" w:sz="0" w:space="0" w:color="auto"/>
                    <w:bottom w:val="none" w:sz="0" w:space="0" w:color="auto"/>
                    <w:right w:val="none" w:sz="0" w:space="0" w:color="auto"/>
                  </w:divBdr>
                  <w:divsChild>
                    <w:div w:id="201857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151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1550</Words>
  <Characters>8836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Jordyn Vandeleur</dc:creator>
  <cp:lastModifiedBy>samsung</cp:lastModifiedBy>
  <cp:revision>2</cp:revision>
  <dcterms:created xsi:type="dcterms:W3CDTF">2016-11-28T03:11:00Z</dcterms:created>
  <dcterms:modified xsi:type="dcterms:W3CDTF">2016-11-28T03:11:00Z</dcterms:modified>
</cp:coreProperties>
</file>