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6C5" w:rsidRDefault="009E3047" w:rsidP="00904320">
      <w:pPr>
        <w:jc w:val="center"/>
        <w:rPr>
          <w:b/>
          <w:bCs/>
          <w:sz w:val="24"/>
        </w:rPr>
      </w:pPr>
      <w:r w:rsidRPr="00904320">
        <w:rPr>
          <w:b/>
          <w:bCs/>
          <w:sz w:val="24"/>
        </w:rPr>
        <w:t>EE301/403 Reading and Commenting Groups</w:t>
      </w:r>
    </w:p>
    <w:tbl>
      <w:tblPr>
        <w:tblStyle w:val="TableGrid"/>
        <w:tblW w:w="0" w:type="auto"/>
        <w:tblLook w:val="04A0"/>
      </w:tblPr>
      <w:tblGrid>
        <w:gridCol w:w="3936"/>
        <w:gridCol w:w="2653"/>
        <w:gridCol w:w="2653"/>
      </w:tblGrid>
      <w:tr w:rsidR="009E3047" w:rsidRPr="00E95BA2" w:rsidTr="00E95BA2">
        <w:tc>
          <w:tcPr>
            <w:tcW w:w="3936" w:type="dxa"/>
            <w:tcBorders>
              <w:bottom w:val="single" w:sz="4" w:space="0" w:color="000000" w:themeColor="text1"/>
            </w:tcBorders>
            <w:shd w:val="clear" w:color="auto" w:fill="000000" w:themeFill="text1"/>
          </w:tcPr>
          <w:p w:rsidR="009E3047" w:rsidRPr="00E95BA2" w:rsidRDefault="009E3047" w:rsidP="00E95BA2">
            <w:pPr>
              <w:jc w:val="center"/>
              <w:rPr>
                <w:b/>
                <w:bCs/>
                <w:szCs w:val="24"/>
              </w:rPr>
            </w:pPr>
            <w:r w:rsidRPr="00E95BA2">
              <w:rPr>
                <w:b/>
                <w:bCs/>
                <w:szCs w:val="24"/>
              </w:rPr>
              <w:t>Articles/Chapters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  <w:shd w:val="clear" w:color="auto" w:fill="000000" w:themeFill="text1"/>
          </w:tcPr>
          <w:p w:rsidR="009E3047" w:rsidRPr="00E95BA2" w:rsidRDefault="009E3047" w:rsidP="00E95BA2">
            <w:pPr>
              <w:jc w:val="center"/>
              <w:rPr>
                <w:b/>
                <w:bCs/>
                <w:szCs w:val="24"/>
              </w:rPr>
            </w:pPr>
            <w:r w:rsidRPr="00E95BA2">
              <w:rPr>
                <w:b/>
                <w:bCs/>
                <w:szCs w:val="24"/>
              </w:rPr>
              <w:t>Reading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  <w:shd w:val="clear" w:color="auto" w:fill="000000" w:themeFill="text1"/>
          </w:tcPr>
          <w:p w:rsidR="009E3047" w:rsidRPr="00E95BA2" w:rsidRDefault="009E3047" w:rsidP="00E95BA2">
            <w:pPr>
              <w:jc w:val="center"/>
              <w:rPr>
                <w:b/>
                <w:bCs/>
                <w:szCs w:val="24"/>
              </w:rPr>
            </w:pPr>
            <w:r w:rsidRPr="00E95BA2">
              <w:rPr>
                <w:b/>
                <w:bCs/>
                <w:szCs w:val="24"/>
              </w:rPr>
              <w:t>Commenting</w:t>
            </w:r>
          </w:p>
        </w:tc>
      </w:tr>
      <w:tr w:rsidR="003F08F9" w:rsidTr="00E95BA2">
        <w:tc>
          <w:tcPr>
            <w:tcW w:w="9242" w:type="dxa"/>
            <w:gridSpan w:val="3"/>
            <w:shd w:val="clear" w:color="auto" w:fill="D9D9D9" w:themeFill="background1" w:themeFillShade="D9"/>
          </w:tcPr>
          <w:p w:rsidR="003F08F9" w:rsidRPr="003F08F9" w:rsidRDefault="003F08F9">
            <w:pPr>
              <w:rPr>
                <w:i/>
                <w:iCs/>
                <w:szCs w:val="24"/>
              </w:rPr>
            </w:pPr>
            <w:r w:rsidRPr="003F08F9">
              <w:rPr>
                <w:i/>
                <w:iCs/>
                <w:szCs w:val="24"/>
              </w:rPr>
              <w:t>Family</w:t>
            </w:r>
          </w:p>
        </w:tc>
      </w:tr>
      <w:tr w:rsidR="003F08F9" w:rsidTr="001B0D9A">
        <w:tc>
          <w:tcPr>
            <w:tcW w:w="3936" w:type="dxa"/>
          </w:tcPr>
          <w:p w:rsidR="003F08F9" w:rsidRPr="00F27F0D" w:rsidRDefault="003F08F9" w:rsidP="001B0D9A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Aizer, Anna, and Pedro Dal Bó, 2007, “Love, Hate and Murder: Commitment Devices in Violent Relationships,” </w:t>
            </w:r>
            <w:r w:rsidRPr="00F27F0D">
              <w:rPr>
                <w:i/>
                <w:iCs/>
                <w:szCs w:val="24"/>
              </w:rPr>
              <w:t>NBER Working Paper 13492</w:t>
            </w:r>
            <w:r w:rsidRPr="00F27F0D">
              <w:rPr>
                <w:szCs w:val="24"/>
              </w:rPr>
              <w:t xml:space="preserve">, National Bureau of Economic Research: Cambridge, MA. </w:t>
            </w:r>
          </w:p>
        </w:tc>
        <w:tc>
          <w:tcPr>
            <w:tcW w:w="2653" w:type="dxa"/>
          </w:tcPr>
          <w:p w:rsidR="003F08F9" w:rsidRPr="00F27F0D" w:rsidRDefault="003F08F9" w:rsidP="001B0D9A">
            <w:pPr>
              <w:rPr>
                <w:szCs w:val="24"/>
              </w:rPr>
            </w:pPr>
            <w:r w:rsidRPr="00F27F0D">
              <w:rPr>
                <w:szCs w:val="24"/>
              </w:rPr>
              <w:t>Jananya 5104610254</w:t>
            </w:r>
          </w:p>
          <w:p w:rsidR="003F08F9" w:rsidRPr="00F27F0D" w:rsidRDefault="003F08F9" w:rsidP="001B0D9A">
            <w:pPr>
              <w:rPr>
                <w:szCs w:val="24"/>
              </w:rPr>
            </w:pPr>
            <w:r w:rsidRPr="00F27F0D">
              <w:rPr>
                <w:szCs w:val="24"/>
              </w:rPr>
              <w:t>Narttana 5104640494</w:t>
            </w:r>
          </w:p>
          <w:p w:rsidR="003F08F9" w:rsidRPr="00F27F0D" w:rsidRDefault="003F08F9" w:rsidP="001B0D9A">
            <w:pPr>
              <w:rPr>
                <w:szCs w:val="24"/>
              </w:rPr>
            </w:pPr>
            <w:r w:rsidRPr="00F27F0D">
              <w:rPr>
                <w:szCs w:val="24"/>
              </w:rPr>
              <w:t>Thanyathorn 5304641201</w:t>
            </w:r>
          </w:p>
          <w:p w:rsidR="003F08F9" w:rsidRPr="00F27F0D" w:rsidRDefault="003F08F9" w:rsidP="001B0D9A">
            <w:pPr>
              <w:rPr>
                <w:szCs w:val="24"/>
              </w:rPr>
            </w:pPr>
            <w:r w:rsidRPr="00F27F0D">
              <w:rPr>
                <w:szCs w:val="24"/>
              </w:rPr>
              <w:t>Tossaporn 5304641318</w:t>
            </w:r>
          </w:p>
          <w:p w:rsidR="003F08F9" w:rsidRPr="00F27F0D" w:rsidRDefault="003F08F9" w:rsidP="003F08F9">
            <w:pPr>
              <w:rPr>
                <w:szCs w:val="24"/>
              </w:rPr>
            </w:pPr>
            <w:r w:rsidRPr="00F27F0D">
              <w:rPr>
                <w:szCs w:val="24"/>
              </w:rPr>
              <w:t>Paam 5304640559</w:t>
            </w:r>
          </w:p>
        </w:tc>
        <w:tc>
          <w:tcPr>
            <w:tcW w:w="2653" w:type="dxa"/>
          </w:tcPr>
          <w:p w:rsidR="003F08F9" w:rsidRPr="00F27F0D" w:rsidRDefault="003F08F9" w:rsidP="001B0D9A">
            <w:pPr>
              <w:rPr>
                <w:szCs w:val="24"/>
              </w:rPr>
            </w:pPr>
            <w:r w:rsidRPr="00F27F0D">
              <w:rPr>
                <w:szCs w:val="24"/>
              </w:rPr>
              <w:t>Natakorn 5204640576</w:t>
            </w:r>
          </w:p>
          <w:p w:rsidR="003F08F9" w:rsidRPr="00F27F0D" w:rsidRDefault="003F08F9" w:rsidP="001B0D9A">
            <w:pPr>
              <w:rPr>
                <w:szCs w:val="24"/>
              </w:rPr>
            </w:pPr>
            <w:r w:rsidRPr="00F27F0D">
              <w:rPr>
                <w:szCs w:val="24"/>
              </w:rPr>
              <w:t>Paween 5204640733</w:t>
            </w:r>
          </w:p>
          <w:p w:rsidR="003F08F9" w:rsidRPr="00F27F0D" w:rsidRDefault="003F08F9" w:rsidP="001B0D9A">
            <w:pPr>
              <w:rPr>
                <w:szCs w:val="24"/>
              </w:rPr>
            </w:pPr>
            <w:r w:rsidRPr="00F27F0D">
              <w:rPr>
                <w:szCs w:val="24"/>
              </w:rPr>
              <w:t>Piyaporn 5204640824</w:t>
            </w:r>
          </w:p>
          <w:p w:rsidR="003F08F9" w:rsidRPr="00F27F0D" w:rsidRDefault="003F08F9" w:rsidP="001B0D9A">
            <w:pPr>
              <w:rPr>
                <w:szCs w:val="24"/>
              </w:rPr>
            </w:pPr>
            <w:r w:rsidRPr="00F27F0D">
              <w:rPr>
                <w:szCs w:val="24"/>
              </w:rPr>
              <w:t>Tamonwan 5204641178</w:t>
            </w:r>
          </w:p>
        </w:tc>
      </w:tr>
      <w:tr w:rsidR="003F08F9" w:rsidTr="00BD0950">
        <w:tc>
          <w:tcPr>
            <w:tcW w:w="3936" w:type="dxa"/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Brinig, Margaret F., 1990, ‘Rings and Promises,’ </w:t>
            </w:r>
            <w:r w:rsidRPr="00F27F0D">
              <w:rPr>
                <w:i/>
                <w:iCs/>
                <w:szCs w:val="24"/>
              </w:rPr>
              <w:t>Journal of Law, Economics, &amp; Organization</w:t>
            </w:r>
            <w:r w:rsidRPr="00F27F0D">
              <w:rPr>
                <w:szCs w:val="24"/>
              </w:rPr>
              <w:t>, Vol. 6, No. 1, pp. 203-215</w:t>
            </w:r>
          </w:p>
        </w:tc>
        <w:tc>
          <w:tcPr>
            <w:tcW w:w="2653" w:type="dxa"/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Jiramon 5104640296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Natthita 5104640569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Paphichaya 5104640783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Patcharaphan 5104640825</w:t>
            </w:r>
          </w:p>
        </w:tc>
        <w:tc>
          <w:tcPr>
            <w:tcW w:w="2653" w:type="dxa"/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Pupit 5004640123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Supajika 5104641195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Thiti 5204641301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Sapol 5204640915</w:t>
            </w:r>
          </w:p>
        </w:tc>
      </w:tr>
      <w:tr w:rsidR="003F08F9" w:rsidTr="00BD0950">
        <w:tc>
          <w:tcPr>
            <w:tcW w:w="3936" w:type="dxa"/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Cohen, Lloyd, 1987, ‘Marriage, Divorce, and Quasi Rents; Or, "I Gave Him the Best Years of My Life",’ </w:t>
            </w:r>
            <w:r w:rsidRPr="00F27F0D">
              <w:rPr>
                <w:i/>
                <w:iCs/>
                <w:szCs w:val="24"/>
              </w:rPr>
              <w:t>Journal of Legal Studies</w:t>
            </w:r>
            <w:r w:rsidRPr="00F27F0D">
              <w:rPr>
                <w:szCs w:val="24"/>
              </w:rPr>
              <w:t>, Vol. 16, No. 2, pp. 267-303</w:t>
            </w:r>
          </w:p>
        </w:tc>
        <w:tc>
          <w:tcPr>
            <w:tcW w:w="2653" w:type="dxa"/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Primchat 5304640823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Ratawan 5304640898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Sajjapat 5304640922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Tipdhara 5304641292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Vorapong 5304641359</w:t>
            </w:r>
          </w:p>
        </w:tc>
        <w:tc>
          <w:tcPr>
            <w:tcW w:w="2653" w:type="dxa"/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Theerapat 5304641250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Suntisuk 5304641037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Sutthikit xxxxx</w:t>
            </w:r>
          </w:p>
        </w:tc>
      </w:tr>
      <w:tr w:rsidR="003F08F9" w:rsidTr="00E95BA2">
        <w:tc>
          <w:tcPr>
            <w:tcW w:w="3936" w:type="dxa"/>
            <w:tcBorders>
              <w:bottom w:val="single" w:sz="4" w:space="0" w:color="000000" w:themeColor="text1"/>
            </w:tcBorders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Chou ,Shin‐Yi, Inas Rashad and Michael Grossman, 2008, “Fast‐Food Restaurant Advertising on Television and Its Influence on Childhood Obesity,” </w:t>
            </w:r>
            <w:r w:rsidRPr="00F27F0D">
              <w:rPr>
                <w:i/>
                <w:iCs/>
                <w:szCs w:val="24"/>
              </w:rPr>
              <w:t>Journal of Law and Economics</w:t>
            </w:r>
            <w:r w:rsidRPr="00F27F0D">
              <w:rPr>
                <w:szCs w:val="24"/>
              </w:rPr>
              <w:t>, Vol. 51, No. 4 (November 2008), pp. 599-618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BC27C2" w:rsidRPr="00BC27C2" w:rsidRDefault="00BC27C2" w:rsidP="00BC27C2">
            <w:pPr>
              <w:rPr>
                <w:color w:val="FF0000"/>
                <w:szCs w:val="24"/>
              </w:rPr>
            </w:pPr>
            <w:r w:rsidRPr="00BC27C2">
              <w:rPr>
                <w:color w:val="FF0000"/>
                <w:szCs w:val="24"/>
              </w:rPr>
              <w:t>Natakorn 5204640576</w:t>
            </w:r>
          </w:p>
          <w:p w:rsidR="00BC27C2" w:rsidRPr="00BC27C2" w:rsidRDefault="00BC27C2" w:rsidP="00BC27C2">
            <w:pPr>
              <w:rPr>
                <w:color w:val="FF0000"/>
                <w:szCs w:val="24"/>
              </w:rPr>
            </w:pPr>
            <w:r w:rsidRPr="00BC27C2">
              <w:rPr>
                <w:color w:val="FF0000"/>
                <w:szCs w:val="24"/>
              </w:rPr>
              <w:t>Paween 5204640733</w:t>
            </w:r>
          </w:p>
          <w:p w:rsidR="00BC27C2" w:rsidRPr="00BC27C2" w:rsidRDefault="00BC27C2" w:rsidP="00BC27C2">
            <w:pPr>
              <w:rPr>
                <w:color w:val="FF0000"/>
                <w:szCs w:val="24"/>
              </w:rPr>
            </w:pPr>
            <w:r w:rsidRPr="00BC27C2">
              <w:rPr>
                <w:color w:val="FF0000"/>
                <w:szCs w:val="24"/>
              </w:rPr>
              <w:t>Piyaporn 5204640824</w:t>
            </w:r>
          </w:p>
          <w:p w:rsidR="00BC27C2" w:rsidRPr="00BC27C2" w:rsidRDefault="00BC27C2" w:rsidP="00BC27C2">
            <w:pPr>
              <w:rPr>
                <w:color w:val="FF0000"/>
                <w:szCs w:val="24"/>
              </w:rPr>
            </w:pPr>
            <w:r w:rsidRPr="00BC27C2">
              <w:rPr>
                <w:color w:val="FF0000"/>
                <w:szCs w:val="24"/>
              </w:rPr>
              <w:t>Tamonwan 5204641178</w:t>
            </w:r>
          </w:p>
          <w:p w:rsidR="003F08F9" w:rsidRPr="00F27F0D" w:rsidRDefault="003F08F9" w:rsidP="00BD0950">
            <w:pPr>
              <w:rPr>
                <w:szCs w:val="24"/>
              </w:rPr>
            </w:pP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Benya 5104640080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Pakanan 5104640692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Parinth 5104640791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Phassaphon 5104640908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Sanchai 5104641112</w:t>
            </w:r>
          </w:p>
        </w:tc>
      </w:tr>
      <w:tr w:rsidR="003F08F9" w:rsidTr="00E95BA2">
        <w:tc>
          <w:tcPr>
            <w:tcW w:w="9242" w:type="dxa"/>
            <w:gridSpan w:val="3"/>
            <w:shd w:val="clear" w:color="auto" w:fill="D9D9D9" w:themeFill="background1" w:themeFillShade="D9"/>
          </w:tcPr>
          <w:p w:rsidR="003F08F9" w:rsidRPr="00F27F0D" w:rsidRDefault="003F08F9">
            <w:pPr>
              <w:rPr>
                <w:szCs w:val="24"/>
              </w:rPr>
            </w:pPr>
            <w:r w:rsidRPr="003F08F9">
              <w:rPr>
                <w:i/>
                <w:iCs/>
                <w:szCs w:val="24"/>
              </w:rPr>
              <w:t>Tax Avoidance</w:t>
            </w:r>
          </w:p>
        </w:tc>
      </w:tr>
      <w:tr w:rsidR="003F08F9" w:rsidTr="00BD0950">
        <w:tc>
          <w:tcPr>
            <w:tcW w:w="3936" w:type="dxa"/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Lipatov, Vilen, 2008, “Social Interaction in Tax Evasion,”</w:t>
            </w:r>
            <w:r w:rsidRPr="00F27F0D">
              <w:rPr>
                <w:i/>
                <w:iCs/>
                <w:szCs w:val="24"/>
              </w:rPr>
              <w:t xml:space="preserve"> MPRA Paper No. 8829</w:t>
            </w:r>
            <w:r w:rsidRPr="00F27F0D">
              <w:rPr>
                <w:szCs w:val="24"/>
              </w:rPr>
              <w:t>, Munich Personal RePEc Archive</w:t>
            </w:r>
          </w:p>
        </w:tc>
        <w:tc>
          <w:tcPr>
            <w:tcW w:w="2653" w:type="dxa"/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Monica 5202640487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Chanisa 5204640139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Somrudee 5204641038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Surita 5204641129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Thongkorn 5204641335</w:t>
            </w:r>
          </w:p>
        </w:tc>
        <w:tc>
          <w:tcPr>
            <w:tcW w:w="2653" w:type="dxa"/>
          </w:tcPr>
          <w:p w:rsidR="004200CA" w:rsidRPr="00BC27C2" w:rsidRDefault="004200CA" w:rsidP="004200CA">
            <w:pPr>
              <w:rPr>
                <w:color w:val="FF0000"/>
                <w:szCs w:val="24"/>
              </w:rPr>
            </w:pPr>
            <w:r w:rsidRPr="00BC27C2">
              <w:rPr>
                <w:color w:val="FF0000"/>
                <w:szCs w:val="24"/>
              </w:rPr>
              <w:t>Suttikarn 5104641245</w:t>
            </w:r>
          </w:p>
          <w:p w:rsidR="004200CA" w:rsidRPr="00BC27C2" w:rsidRDefault="004200CA" w:rsidP="004200CA">
            <w:pPr>
              <w:rPr>
                <w:color w:val="FF0000"/>
                <w:szCs w:val="24"/>
              </w:rPr>
            </w:pPr>
            <w:r w:rsidRPr="00BC27C2">
              <w:rPr>
                <w:color w:val="FF0000"/>
                <w:szCs w:val="24"/>
              </w:rPr>
              <w:t>Nuttapoom 5104640668</w:t>
            </w:r>
          </w:p>
          <w:p w:rsidR="004200CA" w:rsidRPr="00BC27C2" w:rsidRDefault="004200CA" w:rsidP="004200CA">
            <w:pPr>
              <w:rPr>
                <w:color w:val="FF0000"/>
                <w:szCs w:val="24"/>
              </w:rPr>
            </w:pPr>
            <w:r w:rsidRPr="00BC27C2">
              <w:rPr>
                <w:color w:val="FF0000"/>
                <w:szCs w:val="24"/>
              </w:rPr>
              <w:t>Vasan 5104641344</w:t>
            </w:r>
          </w:p>
          <w:p w:rsidR="004200CA" w:rsidRPr="00BC27C2" w:rsidRDefault="004200CA" w:rsidP="004200CA">
            <w:pPr>
              <w:rPr>
                <w:color w:val="FF0000"/>
                <w:szCs w:val="24"/>
              </w:rPr>
            </w:pPr>
            <w:r w:rsidRPr="00BC27C2">
              <w:rPr>
                <w:color w:val="FF0000"/>
                <w:szCs w:val="24"/>
              </w:rPr>
              <w:t>Pimhathai 5204640782</w:t>
            </w:r>
          </w:p>
          <w:p w:rsidR="003F08F9" w:rsidRPr="00F27F0D" w:rsidRDefault="004200CA" w:rsidP="004200CA">
            <w:pPr>
              <w:rPr>
                <w:szCs w:val="24"/>
              </w:rPr>
            </w:pPr>
            <w:r w:rsidRPr="00BC27C2">
              <w:rPr>
                <w:color w:val="FF0000"/>
                <w:szCs w:val="24"/>
              </w:rPr>
              <w:t>Ploypailin 5204640857</w:t>
            </w:r>
          </w:p>
        </w:tc>
      </w:tr>
      <w:tr w:rsidR="003F08F9" w:rsidTr="00E95BA2">
        <w:tc>
          <w:tcPr>
            <w:tcW w:w="3936" w:type="dxa"/>
            <w:tcBorders>
              <w:bottom w:val="single" w:sz="4" w:space="0" w:color="000000" w:themeColor="text1"/>
            </w:tcBorders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Orviska, Marta, and John Hudson, 2003, ‘Tax Evasion, Civic Duty, and the Law abiding Citizen,’ </w:t>
            </w:r>
            <w:r w:rsidRPr="00F27F0D">
              <w:rPr>
                <w:i/>
                <w:iCs/>
                <w:szCs w:val="24"/>
              </w:rPr>
              <w:t>European Journal of Political Economy</w:t>
            </w:r>
            <w:r w:rsidRPr="00F27F0D">
              <w:rPr>
                <w:szCs w:val="24"/>
              </w:rPr>
              <w:t>, Volume 19, Issue 1,pp. 83-102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Benya 5104640080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Pakanan 5104640692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Parinth 5104640791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Phassaphon 5104640908</w:t>
            </w:r>
          </w:p>
          <w:p w:rsidR="003F08F9" w:rsidRPr="00F27F0D" w:rsidRDefault="003F08F9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Sanchai 5104641112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78691E" w:rsidRPr="0078691E" w:rsidRDefault="0078691E" w:rsidP="0078691E">
            <w:pPr>
              <w:rPr>
                <w:color w:val="FF0000"/>
                <w:szCs w:val="24"/>
              </w:rPr>
            </w:pPr>
            <w:r w:rsidRPr="0078691E">
              <w:rPr>
                <w:color w:val="FF0000"/>
                <w:szCs w:val="24"/>
              </w:rPr>
              <w:t>Jiramon 5104640296</w:t>
            </w:r>
          </w:p>
          <w:p w:rsidR="0078691E" w:rsidRPr="0078691E" w:rsidRDefault="0078691E" w:rsidP="0078691E">
            <w:pPr>
              <w:rPr>
                <w:color w:val="FF0000"/>
                <w:szCs w:val="24"/>
              </w:rPr>
            </w:pPr>
            <w:r w:rsidRPr="0078691E">
              <w:rPr>
                <w:color w:val="FF0000"/>
                <w:szCs w:val="24"/>
              </w:rPr>
              <w:t>Natthita 5104640569</w:t>
            </w:r>
          </w:p>
          <w:p w:rsidR="0078691E" w:rsidRPr="0078691E" w:rsidRDefault="0078691E" w:rsidP="0078691E">
            <w:pPr>
              <w:rPr>
                <w:color w:val="FF0000"/>
                <w:szCs w:val="24"/>
              </w:rPr>
            </w:pPr>
            <w:r w:rsidRPr="0078691E">
              <w:rPr>
                <w:color w:val="FF0000"/>
                <w:szCs w:val="24"/>
              </w:rPr>
              <w:t>Paphichaya 5104640783</w:t>
            </w:r>
          </w:p>
          <w:p w:rsidR="003F08F9" w:rsidRPr="00F27F0D" w:rsidRDefault="0078691E" w:rsidP="0078691E">
            <w:pPr>
              <w:rPr>
                <w:szCs w:val="24"/>
              </w:rPr>
            </w:pPr>
            <w:r w:rsidRPr="0078691E">
              <w:rPr>
                <w:color w:val="FF0000"/>
                <w:szCs w:val="24"/>
              </w:rPr>
              <w:t>Patcharaphan 5104640825</w:t>
            </w:r>
          </w:p>
        </w:tc>
      </w:tr>
      <w:tr w:rsidR="003F08F9" w:rsidRPr="003F08F9" w:rsidTr="00E95BA2">
        <w:tc>
          <w:tcPr>
            <w:tcW w:w="9242" w:type="dxa"/>
            <w:gridSpan w:val="3"/>
            <w:shd w:val="clear" w:color="auto" w:fill="D9D9D9" w:themeFill="background1" w:themeFillShade="D9"/>
          </w:tcPr>
          <w:p w:rsidR="003F08F9" w:rsidRPr="003F08F9" w:rsidRDefault="003F08F9">
            <w:pPr>
              <w:rPr>
                <w:i/>
                <w:iCs/>
                <w:szCs w:val="24"/>
              </w:rPr>
            </w:pPr>
            <w:r w:rsidRPr="003F08F9">
              <w:rPr>
                <w:i/>
                <w:iCs/>
                <w:szCs w:val="24"/>
              </w:rPr>
              <w:t>Theory of the Firm</w:t>
            </w:r>
          </w:p>
        </w:tc>
      </w:tr>
      <w:tr w:rsidR="00F94F08" w:rsidTr="00F27F0D">
        <w:tc>
          <w:tcPr>
            <w:tcW w:w="3936" w:type="dxa"/>
          </w:tcPr>
          <w:p w:rsidR="00F94F08" w:rsidRPr="00F27F0D" w:rsidRDefault="00F94F08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Deakin, Simon and Ajit Singh, 2008, “The Stock Market, the Market for Corporate Control, and the Theory of the Firm: Legal and Economic Perspectives and Implications for Public Policy,” </w:t>
            </w:r>
            <w:r w:rsidRPr="00F27F0D">
              <w:rPr>
                <w:i/>
                <w:iCs/>
                <w:szCs w:val="24"/>
              </w:rPr>
              <w:t>Centre for Business Research, University of Cambridge Working Paper No. 365</w:t>
            </w:r>
            <w:r w:rsidRPr="00F27F0D">
              <w:rPr>
                <w:szCs w:val="24"/>
              </w:rPr>
              <w:t>, CBR Research Programme on Corporate Governance</w:t>
            </w:r>
          </w:p>
        </w:tc>
        <w:tc>
          <w:tcPr>
            <w:tcW w:w="2653" w:type="dxa"/>
          </w:tcPr>
          <w:p w:rsidR="00F94F08" w:rsidRPr="00F27F0D" w:rsidRDefault="00F94F08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Suttikarn 5104641245</w:t>
            </w:r>
          </w:p>
          <w:p w:rsidR="00F94F08" w:rsidRPr="00F27F0D" w:rsidRDefault="00F94F08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Nuttapoom 5104640668</w:t>
            </w:r>
          </w:p>
          <w:p w:rsidR="00F94F08" w:rsidRPr="00F27F0D" w:rsidRDefault="00F94F08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Vasan 5104641344</w:t>
            </w:r>
          </w:p>
          <w:p w:rsidR="00F94F08" w:rsidRPr="00F27F0D" w:rsidRDefault="00F94F08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Pimhathai 5204640782</w:t>
            </w:r>
          </w:p>
          <w:p w:rsidR="00F94F08" w:rsidRPr="00F27F0D" w:rsidRDefault="00F94F08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Ploypailin 5204640857</w:t>
            </w:r>
          </w:p>
        </w:tc>
        <w:tc>
          <w:tcPr>
            <w:tcW w:w="2653" w:type="dxa"/>
          </w:tcPr>
          <w:p w:rsidR="004200CA" w:rsidRPr="004200CA" w:rsidRDefault="004200CA" w:rsidP="004200CA">
            <w:pPr>
              <w:rPr>
                <w:color w:val="FF0000"/>
                <w:szCs w:val="24"/>
              </w:rPr>
            </w:pPr>
            <w:r w:rsidRPr="004200CA">
              <w:rPr>
                <w:color w:val="FF0000"/>
                <w:szCs w:val="24"/>
              </w:rPr>
              <w:t>Monica 5202640487</w:t>
            </w:r>
          </w:p>
          <w:p w:rsidR="004200CA" w:rsidRPr="004200CA" w:rsidRDefault="004200CA" w:rsidP="004200CA">
            <w:pPr>
              <w:rPr>
                <w:color w:val="FF0000"/>
                <w:szCs w:val="24"/>
              </w:rPr>
            </w:pPr>
            <w:r w:rsidRPr="004200CA">
              <w:rPr>
                <w:color w:val="FF0000"/>
                <w:szCs w:val="24"/>
              </w:rPr>
              <w:t>Chanisa 5204640139</w:t>
            </w:r>
          </w:p>
          <w:p w:rsidR="004200CA" w:rsidRPr="004200CA" w:rsidRDefault="004200CA" w:rsidP="004200CA">
            <w:pPr>
              <w:rPr>
                <w:color w:val="FF0000"/>
                <w:szCs w:val="24"/>
              </w:rPr>
            </w:pPr>
            <w:r w:rsidRPr="004200CA">
              <w:rPr>
                <w:color w:val="FF0000"/>
                <w:szCs w:val="24"/>
              </w:rPr>
              <w:t>Somrudee 5204641038</w:t>
            </w:r>
          </w:p>
          <w:p w:rsidR="004200CA" w:rsidRPr="004200CA" w:rsidRDefault="004200CA" w:rsidP="004200CA">
            <w:pPr>
              <w:rPr>
                <w:color w:val="FF0000"/>
                <w:szCs w:val="24"/>
              </w:rPr>
            </w:pPr>
            <w:r w:rsidRPr="004200CA">
              <w:rPr>
                <w:color w:val="FF0000"/>
                <w:szCs w:val="24"/>
              </w:rPr>
              <w:t>Surita 5204641129</w:t>
            </w:r>
          </w:p>
          <w:p w:rsidR="00F94F08" w:rsidRPr="004200CA" w:rsidRDefault="004200CA" w:rsidP="004200CA">
            <w:pPr>
              <w:rPr>
                <w:color w:val="FF0000"/>
                <w:szCs w:val="24"/>
              </w:rPr>
            </w:pPr>
            <w:r w:rsidRPr="004200CA">
              <w:rPr>
                <w:color w:val="FF0000"/>
                <w:szCs w:val="24"/>
              </w:rPr>
              <w:t>Thongkorn 5204641335</w:t>
            </w:r>
          </w:p>
        </w:tc>
      </w:tr>
      <w:tr w:rsidR="001D47D2" w:rsidTr="00BD0950">
        <w:tc>
          <w:tcPr>
            <w:tcW w:w="3936" w:type="dxa"/>
          </w:tcPr>
          <w:p w:rsidR="001D47D2" w:rsidRPr="00F27F0D" w:rsidRDefault="001D47D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Cai, Hongbin, Hanming Fang and Lixin Colin Xu, 2011, “Eat, Drink, Firms, Government: An Investigation of Corruption from the Entertainment and Travel Costs of Chinese Firms”, </w:t>
            </w:r>
            <w:r w:rsidRPr="00F27F0D">
              <w:rPr>
                <w:i/>
                <w:iCs/>
                <w:szCs w:val="24"/>
              </w:rPr>
              <w:t>Journal of Law and Economics</w:t>
            </w:r>
            <w:r w:rsidRPr="00F27F0D">
              <w:rPr>
                <w:szCs w:val="24"/>
              </w:rPr>
              <w:t xml:space="preserve">, Vol. 54, No. 1 </w:t>
            </w:r>
            <w:r w:rsidRPr="00F27F0D">
              <w:rPr>
                <w:szCs w:val="24"/>
              </w:rPr>
              <w:lastRenderedPageBreak/>
              <w:t xml:space="preserve">(February 2011), pp. 55-78 </w:t>
            </w:r>
          </w:p>
        </w:tc>
        <w:tc>
          <w:tcPr>
            <w:tcW w:w="2653" w:type="dxa"/>
          </w:tcPr>
          <w:p w:rsidR="001D47D2" w:rsidRPr="00F27F0D" w:rsidRDefault="001D47D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lastRenderedPageBreak/>
              <w:t>Thongkorn 5204641335</w:t>
            </w:r>
          </w:p>
        </w:tc>
        <w:tc>
          <w:tcPr>
            <w:tcW w:w="2653" w:type="dxa"/>
          </w:tcPr>
          <w:p w:rsidR="0078691E" w:rsidRPr="0078691E" w:rsidRDefault="0078691E" w:rsidP="0078691E">
            <w:pPr>
              <w:rPr>
                <w:color w:val="FF0000"/>
                <w:szCs w:val="24"/>
              </w:rPr>
            </w:pPr>
            <w:r w:rsidRPr="0078691E">
              <w:rPr>
                <w:color w:val="FF0000"/>
                <w:szCs w:val="24"/>
              </w:rPr>
              <w:t>Athinee 5304640047</w:t>
            </w:r>
          </w:p>
          <w:p w:rsidR="0078691E" w:rsidRPr="0078691E" w:rsidRDefault="0078691E" w:rsidP="0078691E">
            <w:pPr>
              <w:rPr>
                <w:color w:val="FF0000"/>
                <w:szCs w:val="24"/>
              </w:rPr>
            </w:pPr>
            <w:r w:rsidRPr="0078691E">
              <w:rPr>
                <w:color w:val="FF0000"/>
                <w:szCs w:val="24"/>
              </w:rPr>
              <w:t>Jariya 5304640229</w:t>
            </w:r>
          </w:p>
          <w:p w:rsidR="0078691E" w:rsidRPr="0078691E" w:rsidRDefault="0078691E" w:rsidP="0078691E">
            <w:pPr>
              <w:rPr>
                <w:color w:val="FF0000"/>
                <w:szCs w:val="24"/>
              </w:rPr>
            </w:pPr>
            <w:r w:rsidRPr="0078691E">
              <w:rPr>
                <w:color w:val="FF0000"/>
                <w:szCs w:val="24"/>
              </w:rPr>
              <w:t xml:space="preserve">Prachya 5304640815  </w:t>
            </w:r>
          </w:p>
          <w:p w:rsidR="0078691E" w:rsidRPr="0078691E" w:rsidRDefault="0078691E" w:rsidP="0078691E">
            <w:pPr>
              <w:rPr>
                <w:color w:val="FF0000"/>
                <w:szCs w:val="24"/>
              </w:rPr>
            </w:pPr>
            <w:r w:rsidRPr="0078691E">
              <w:rPr>
                <w:color w:val="FF0000"/>
                <w:szCs w:val="24"/>
              </w:rPr>
              <w:t>Pluemkoon 5304640773</w:t>
            </w:r>
          </w:p>
          <w:p w:rsidR="0078691E" w:rsidRPr="0078691E" w:rsidRDefault="0078691E" w:rsidP="0078691E">
            <w:pPr>
              <w:rPr>
                <w:color w:val="FF0000"/>
                <w:szCs w:val="24"/>
              </w:rPr>
            </w:pPr>
            <w:r w:rsidRPr="0078691E">
              <w:rPr>
                <w:color w:val="FF0000"/>
                <w:szCs w:val="24"/>
              </w:rPr>
              <w:t xml:space="preserve">Suthipat 5304641086 </w:t>
            </w:r>
          </w:p>
          <w:p w:rsidR="001D47D2" w:rsidRPr="00F27F0D" w:rsidRDefault="001D47D2" w:rsidP="0078691E">
            <w:pPr>
              <w:rPr>
                <w:szCs w:val="24"/>
              </w:rPr>
            </w:pPr>
          </w:p>
        </w:tc>
      </w:tr>
      <w:tr w:rsidR="003F08F9" w:rsidTr="00E95BA2">
        <w:tc>
          <w:tcPr>
            <w:tcW w:w="9242" w:type="dxa"/>
            <w:gridSpan w:val="3"/>
            <w:shd w:val="clear" w:color="auto" w:fill="D9D9D9" w:themeFill="background1" w:themeFillShade="D9"/>
          </w:tcPr>
          <w:p w:rsidR="003F08F9" w:rsidRPr="00F27F0D" w:rsidRDefault="003F08F9">
            <w:pPr>
              <w:rPr>
                <w:szCs w:val="24"/>
              </w:rPr>
            </w:pPr>
            <w:r w:rsidRPr="003F08F9">
              <w:rPr>
                <w:i/>
                <w:iCs/>
                <w:szCs w:val="24"/>
              </w:rPr>
              <w:lastRenderedPageBreak/>
              <w:t>Intellectual Property</w:t>
            </w:r>
          </w:p>
        </w:tc>
      </w:tr>
      <w:tr w:rsidR="00F94F08" w:rsidTr="00F27F0D">
        <w:tc>
          <w:tcPr>
            <w:tcW w:w="3936" w:type="dxa"/>
          </w:tcPr>
          <w:p w:rsidR="00F94F08" w:rsidRPr="00F27F0D" w:rsidRDefault="00ED62E3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Hazlett, Thomas W., 1998, “The Law and Economics of Property Rights to Radio Spectrum: Introduction,” </w:t>
            </w:r>
            <w:r w:rsidRPr="00F27F0D">
              <w:rPr>
                <w:i/>
                <w:iCs/>
                <w:szCs w:val="24"/>
              </w:rPr>
              <w:t>Journal of Law and Economics</w:t>
            </w:r>
            <w:r w:rsidRPr="00F27F0D">
              <w:rPr>
                <w:szCs w:val="24"/>
              </w:rPr>
              <w:t>, Vol. 41, No. S2 (October 1998), pp. 521-522</w:t>
            </w:r>
          </w:p>
        </w:tc>
        <w:tc>
          <w:tcPr>
            <w:tcW w:w="2653" w:type="dxa"/>
          </w:tcPr>
          <w:p w:rsidR="00F94F08" w:rsidRPr="00F27F0D" w:rsidRDefault="00ED62E3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Pupit 5004640123</w:t>
            </w:r>
          </w:p>
          <w:p w:rsidR="00ED62E3" w:rsidRPr="00F27F0D" w:rsidRDefault="00ED62E3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Supajika 5104641195</w:t>
            </w:r>
          </w:p>
          <w:p w:rsidR="00ED62E3" w:rsidRPr="00F27F0D" w:rsidRDefault="00ED62E3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Thiti 5204641301</w:t>
            </w:r>
          </w:p>
          <w:p w:rsidR="00ED62E3" w:rsidRPr="00F27F0D" w:rsidRDefault="00ED62E3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Sapol 5204640915</w:t>
            </w:r>
          </w:p>
        </w:tc>
        <w:tc>
          <w:tcPr>
            <w:tcW w:w="2653" w:type="dxa"/>
          </w:tcPr>
          <w:p w:rsidR="00F94F08" w:rsidRPr="00F27F0D" w:rsidRDefault="001971AB">
            <w:pPr>
              <w:rPr>
                <w:szCs w:val="24"/>
              </w:rPr>
            </w:pPr>
            <w:r w:rsidRPr="00F27F0D">
              <w:rPr>
                <w:szCs w:val="24"/>
              </w:rPr>
              <w:t>Primchat 5304640823</w:t>
            </w:r>
          </w:p>
          <w:p w:rsidR="001971AB" w:rsidRPr="00F27F0D" w:rsidRDefault="001971AB">
            <w:pPr>
              <w:rPr>
                <w:szCs w:val="24"/>
              </w:rPr>
            </w:pPr>
            <w:r w:rsidRPr="00F27F0D">
              <w:rPr>
                <w:szCs w:val="24"/>
              </w:rPr>
              <w:t>Ratawan 5304640898</w:t>
            </w:r>
          </w:p>
          <w:p w:rsidR="001971AB" w:rsidRPr="00F27F0D" w:rsidRDefault="001971AB">
            <w:pPr>
              <w:rPr>
                <w:szCs w:val="24"/>
              </w:rPr>
            </w:pPr>
            <w:r w:rsidRPr="00F27F0D">
              <w:rPr>
                <w:szCs w:val="24"/>
              </w:rPr>
              <w:t>Sajjapat 5304640922</w:t>
            </w:r>
          </w:p>
          <w:p w:rsidR="001971AB" w:rsidRPr="00F27F0D" w:rsidRDefault="001971AB">
            <w:pPr>
              <w:rPr>
                <w:szCs w:val="24"/>
              </w:rPr>
            </w:pPr>
            <w:r w:rsidRPr="00F27F0D">
              <w:rPr>
                <w:szCs w:val="24"/>
              </w:rPr>
              <w:t>Tipdhara 5304641292</w:t>
            </w:r>
          </w:p>
          <w:p w:rsidR="001971AB" w:rsidRPr="00F27F0D" w:rsidRDefault="001971AB">
            <w:pPr>
              <w:rPr>
                <w:szCs w:val="24"/>
              </w:rPr>
            </w:pPr>
            <w:r w:rsidRPr="00F27F0D">
              <w:rPr>
                <w:szCs w:val="24"/>
              </w:rPr>
              <w:t>Vorapong 5304641359</w:t>
            </w:r>
          </w:p>
        </w:tc>
      </w:tr>
      <w:tr w:rsidR="003F08F9" w:rsidRPr="00745306" w:rsidTr="00E95BA2">
        <w:tc>
          <w:tcPr>
            <w:tcW w:w="3936" w:type="dxa"/>
            <w:tcBorders>
              <w:bottom w:val="single" w:sz="4" w:space="0" w:color="000000" w:themeColor="text1"/>
            </w:tcBorders>
          </w:tcPr>
          <w:p w:rsidR="003F08F9" w:rsidRPr="00745306" w:rsidRDefault="003F08F9" w:rsidP="00BD0950">
            <w:pPr>
              <w:rPr>
                <w:color w:val="000000" w:themeColor="text1"/>
                <w:szCs w:val="24"/>
              </w:rPr>
            </w:pPr>
            <w:r w:rsidRPr="00745306">
              <w:rPr>
                <w:color w:val="000000" w:themeColor="text1"/>
                <w:szCs w:val="24"/>
              </w:rPr>
              <w:t xml:space="preserve">Martínez-Sánchez, Francisco, 2008, “Learning by Copying,” </w:t>
            </w:r>
            <w:r w:rsidRPr="00745306">
              <w:rPr>
                <w:i/>
                <w:iCs/>
                <w:color w:val="000000" w:themeColor="text1"/>
                <w:szCs w:val="24"/>
              </w:rPr>
              <w:t>ThE Papers No. 08/05</w:t>
            </w:r>
            <w:r w:rsidRPr="00745306">
              <w:rPr>
                <w:color w:val="000000" w:themeColor="text1"/>
                <w:szCs w:val="24"/>
              </w:rPr>
              <w:t>, Department of Economic Theory and Economic History, University of Granada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3F08F9" w:rsidRPr="00745306" w:rsidRDefault="00C70F53" w:rsidP="00BD0950">
            <w:pPr>
              <w:rPr>
                <w:color w:val="000000" w:themeColor="text1"/>
                <w:szCs w:val="24"/>
              </w:rPr>
            </w:pPr>
            <w:r w:rsidRPr="00745306">
              <w:rPr>
                <w:color w:val="000000" w:themeColor="text1"/>
                <w:szCs w:val="24"/>
              </w:rPr>
              <w:t>Vorapong 5304641359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C70F53" w:rsidRPr="00745306" w:rsidRDefault="00C70F53" w:rsidP="00BD0950">
            <w:pPr>
              <w:rPr>
                <w:color w:val="000000" w:themeColor="text1"/>
                <w:szCs w:val="24"/>
              </w:rPr>
            </w:pPr>
            <w:r w:rsidRPr="00745306">
              <w:rPr>
                <w:color w:val="000000" w:themeColor="text1"/>
                <w:szCs w:val="24"/>
              </w:rPr>
              <w:t>Chanisa</w:t>
            </w:r>
            <w:r w:rsidR="00745306" w:rsidRPr="00745306">
              <w:rPr>
                <w:color w:val="000000" w:themeColor="text1"/>
                <w:szCs w:val="24"/>
              </w:rPr>
              <w:t xml:space="preserve"> 5204640139</w:t>
            </w:r>
          </w:p>
        </w:tc>
      </w:tr>
      <w:tr w:rsidR="003F08F9" w:rsidTr="00E95BA2">
        <w:tc>
          <w:tcPr>
            <w:tcW w:w="9242" w:type="dxa"/>
            <w:gridSpan w:val="3"/>
            <w:shd w:val="clear" w:color="auto" w:fill="D9D9D9" w:themeFill="background1" w:themeFillShade="D9"/>
          </w:tcPr>
          <w:p w:rsidR="003F08F9" w:rsidRPr="00F27F0D" w:rsidRDefault="003F08F9" w:rsidP="00ED62E3">
            <w:pPr>
              <w:rPr>
                <w:szCs w:val="24"/>
              </w:rPr>
            </w:pPr>
            <w:r w:rsidRPr="003F08F9">
              <w:rPr>
                <w:i/>
                <w:iCs/>
                <w:szCs w:val="24"/>
              </w:rPr>
              <w:t>Norms</w:t>
            </w:r>
          </w:p>
        </w:tc>
      </w:tr>
      <w:tr w:rsidR="00ED62E3" w:rsidTr="00E95BA2">
        <w:tc>
          <w:tcPr>
            <w:tcW w:w="3936" w:type="dxa"/>
            <w:tcBorders>
              <w:bottom w:val="single" w:sz="4" w:space="0" w:color="000000" w:themeColor="text1"/>
            </w:tcBorders>
          </w:tcPr>
          <w:p w:rsidR="00ED62E3" w:rsidRPr="00F27F0D" w:rsidRDefault="00ED62E3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Costa, Dora L. and Matthew E. Kahn, 2007, “Deserters, Social Norms, and Migration,” </w:t>
            </w:r>
            <w:r w:rsidRPr="00F27F0D">
              <w:rPr>
                <w:i/>
                <w:iCs/>
                <w:szCs w:val="24"/>
              </w:rPr>
              <w:t>Journal of Law and Economics</w:t>
            </w:r>
            <w:r w:rsidRPr="00F27F0D">
              <w:rPr>
                <w:szCs w:val="24"/>
              </w:rPr>
              <w:t>, Vol. 50, No. 2 (May 2007), pp. 323-353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ED62E3" w:rsidRPr="00F27F0D" w:rsidRDefault="00ED62E3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Tatnita 5304641151</w:t>
            </w:r>
          </w:p>
          <w:p w:rsidR="00ED62E3" w:rsidRPr="00F27F0D" w:rsidRDefault="00ED62E3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Jutimar 5304641441</w:t>
            </w:r>
          </w:p>
          <w:p w:rsidR="00ED62E3" w:rsidRPr="00F27F0D" w:rsidRDefault="00ED62E3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Tanut 5304641128</w:t>
            </w:r>
          </w:p>
          <w:p w:rsidR="00ED62E3" w:rsidRPr="00F27F0D" w:rsidRDefault="00ED62E3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Wisaruth 5304641383</w:t>
            </w:r>
          </w:p>
          <w:p w:rsidR="00ED62E3" w:rsidRPr="00F27F0D" w:rsidRDefault="001971AB" w:rsidP="00F94F08">
            <w:pPr>
              <w:rPr>
                <w:szCs w:val="24"/>
              </w:rPr>
            </w:pPr>
            <w:r w:rsidRPr="00F27F0D">
              <w:rPr>
                <w:szCs w:val="24"/>
              </w:rPr>
              <w:t>Supanida 5304641052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ED62E3" w:rsidRPr="00F27F0D" w:rsidRDefault="00C70F53" w:rsidP="00ED62E3">
            <w:pPr>
              <w:rPr>
                <w:szCs w:val="24"/>
              </w:rPr>
            </w:pPr>
            <w:r>
              <w:rPr>
                <w:szCs w:val="24"/>
              </w:rPr>
              <w:t>Vorapong</w:t>
            </w:r>
            <w:r w:rsidR="00745306">
              <w:rPr>
                <w:szCs w:val="24"/>
              </w:rPr>
              <w:t xml:space="preserve"> </w:t>
            </w:r>
            <w:r w:rsidR="00745306" w:rsidRPr="00F27F0D">
              <w:rPr>
                <w:szCs w:val="24"/>
              </w:rPr>
              <w:t>5304641359</w:t>
            </w:r>
          </w:p>
        </w:tc>
      </w:tr>
      <w:tr w:rsidR="003F08F9" w:rsidTr="00E95BA2">
        <w:tc>
          <w:tcPr>
            <w:tcW w:w="9242" w:type="dxa"/>
            <w:gridSpan w:val="3"/>
            <w:shd w:val="clear" w:color="auto" w:fill="D9D9D9" w:themeFill="background1" w:themeFillShade="D9"/>
          </w:tcPr>
          <w:p w:rsidR="003F08F9" w:rsidRPr="003F08F9" w:rsidRDefault="003F08F9" w:rsidP="000416C1">
            <w:pPr>
              <w:rPr>
                <w:i/>
                <w:iCs/>
                <w:szCs w:val="24"/>
              </w:rPr>
            </w:pPr>
            <w:r w:rsidRPr="003F08F9">
              <w:rPr>
                <w:i/>
                <w:iCs/>
                <w:szCs w:val="24"/>
              </w:rPr>
              <w:t>International</w:t>
            </w:r>
          </w:p>
        </w:tc>
      </w:tr>
      <w:tr w:rsidR="000416C1" w:rsidRPr="00B235AF" w:rsidTr="00E95BA2">
        <w:tc>
          <w:tcPr>
            <w:tcW w:w="3936" w:type="dxa"/>
            <w:tcBorders>
              <w:bottom w:val="single" w:sz="4" w:space="0" w:color="000000" w:themeColor="text1"/>
            </w:tcBorders>
          </w:tcPr>
          <w:p w:rsidR="000416C1" w:rsidRPr="00B235AF" w:rsidRDefault="000416C1">
            <w:pPr>
              <w:rPr>
                <w:color w:val="000000" w:themeColor="text1"/>
                <w:szCs w:val="24"/>
              </w:rPr>
            </w:pPr>
            <w:r w:rsidRPr="00B235AF">
              <w:rPr>
                <w:color w:val="000000" w:themeColor="text1"/>
                <w:szCs w:val="24"/>
              </w:rPr>
              <w:t xml:space="preserve">Kirstein, Roland, Schmidtchen, Dieter, and Neunzig, Alexander, 2004, ‘Conflict of law rules and international trade: a transaction costs approach,’ </w:t>
            </w:r>
            <w:r w:rsidRPr="00B235AF">
              <w:rPr>
                <w:i/>
                <w:iCs/>
                <w:color w:val="000000" w:themeColor="text1"/>
                <w:szCs w:val="24"/>
              </w:rPr>
              <w:t>CSLE Discussion Paper 2004-01</w:t>
            </w:r>
            <w:r w:rsidRPr="00B235AF">
              <w:rPr>
                <w:color w:val="000000" w:themeColor="text1"/>
                <w:szCs w:val="24"/>
              </w:rPr>
              <w:t>, CSLE - Forschungsstelle zur Ökonomischen Analyse des Rechts, Universität des Saarlandes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0416C1" w:rsidRPr="00B235AF" w:rsidRDefault="00B235AF" w:rsidP="000416C1">
            <w:pPr>
              <w:rPr>
                <w:color w:val="000000" w:themeColor="text1"/>
                <w:szCs w:val="24"/>
              </w:rPr>
            </w:pPr>
            <w:r w:rsidRPr="00B235AF">
              <w:rPr>
                <w:color w:val="000000" w:themeColor="text1"/>
                <w:szCs w:val="24"/>
              </w:rPr>
              <w:t>Santisuk 5304641037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0416C1" w:rsidRPr="00B235AF" w:rsidRDefault="000416C1" w:rsidP="000416C1">
            <w:pPr>
              <w:rPr>
                <w:color w:val="000000" w:themeColor="text1"/>
                <w:szCs w:val="24"/>
              </w:rPr>
            </w:pPr>
            <w:r w:rsidRPr="00B235AF">
              <w:rPr>
                <w:color w:val="000000" w:themeColor="text1"/>
                <w:szCs w:val="24"/>
              </w:rPr>
              <w:t>Jananya 5104610254</w:t>
            </w:r>
          </w:p>
          <w:p w:rsidR="000416C1" w:rsidRPr="00B235AF" w:rsidRDefault="000416C1" w:rsidP="000416C1">
            <w:pPr>
              <w:rPr>
                <w:color w:val="000000" w:themeColor="text1"/>
                <w:szCs w:val="24"/>
              </w:rPr>
            </w:pPr>
            <w:r w:rsidRPr="00B235AF">
              <w:rPr>
                <w:color w:val="000000" w:themeColor="text1"/>
                <w:szCs w:val="24"/>
              </w:rPr>
              <w:t>Narttana 5104640494</w:t>
            </w:r>
          </w:p>
          <w:p w:rsidR="000416C1" w:rsidRPr="00B235AF" w:rsidRDefault="000416C1" w:rsidP="000416C1">
            <w:pPr>
              <w:rPr>
                <w:color w:val="000000" w:themeColor="text1"/>
                <w:szCs w:val="24"/>
              </w:rPr>
            </w:pPr>
            <w:r w:rsidRPr="00B235AF">
              <w:rPr>
                <w:color w:val="000000" w:themeColor="text1"/>
                <w:szCs w:val="24"/>
              </w:rPr>
              <w:t>Thanyathorn 5304641201</w:t>
            </w:r>
          </w:p>
          <w:p w:rsidR="000416C1" w:rsidRPr="00B235AF" w:rsidRDefault="000416C1" w:rsidP="000416C1">
            <w:pPr>
              <w:rPr>
                <w:color w:val="000000" w:themeColor="text1"/>
                <w:szCs w:val="24"/>
              </w:rPr>
            </w:pPr>
            <w:r w:rsidRPr="00B235AF">
              <w:rPr>
                <w:color w:val="000000" w:themeColor="text1"/>
                <w:szCs w:val="24"/>
              </w:rPr>
              <w:t>Tossaporn 5304641318</w:t>
            </w:r>
          </w:p>
          <w:p w:rsidR="000416C1" w:rsidRPr="00B235AF" w:rsidRDefault="000416C1" w:rsidP="000416C1">
            <w:pPr>
              <w:rPr>
                <w:color w:val="000000" w:themeColor="text1"/>
                <w:szCs w:val="24"/>
              </w:rPr>
            </w:pPr>
            <w:r w:rsidRPr="00B235AF">
              <w:rPr>
                <w:color w:val="000000" w:themeColor="text1"/>
                <w:szCs w:val="24"/>
              </w:rPr>
              <w:t>Paam 5304640559</w:t>
            </w:r>
          </w:p>
          <w:p w:rsidR="000416C1" w:rsidRPr="00B235AF" w:rsidRDefault="000416C1" w:rsidP="00BD0950">
            <w:pPr>
              <w:rPr>
                <w:color w:val="000000" w:themeColor="text1"/>
                <w:szCs w:val="24"/>
              </w:rPr>
            </w:pPr>
          </w:p>
        </w:tc>
      </w:tr>
      <w:tr w:rsidR="001D47D2" w:rsidTr="00E95BA2">
        <w:tc>
          <w:tcPr>
            <w:tcW w:w="9242" w:type="dxa"/>
            <w:gridSpan w:val="3"/>
            <w:shd w:val="clear" w:color="auto" w:fill="D9D9D9" w:themeFill="background1" w:themeFillShade="D9"/>
          </w:tcPr>
          <w:p w:rsidR="001D47D2" w:rsidRPr="001D47D2" w:rsidRDefault="001D47D2" w:rsidP="000416C1">
            <w:pPr>
              <w:rPr>
                <w:i/>
                <w:iCs/>
                <w:szCs w:val="24"/>
              </w:rPr>
            </w:pPr>
            <w:r w:rsidRPr="001D47D2">
              <w:rPr>
                <w:i/>
                <w:iCs/>
                <w:szCs w:val="24"/>
              </w:rPr>
              <w:t>Environment</w:t>
            </w:r>
          </w:p>
        </w:tc>
      </w:tr>
      <w:tr w:rsidR="00F47EB5" w:rsidTr="00E95BA2">
        <w:tc>
          <w:tcPr>
            <w:tcW w:w="3936" w:type="dxa"/>
            <w:tcBorders>
              <w:bottom w:val="single" w:sz="4" w:space="0" w:color="000000" w:themeColor="text1"/>
            </w:tcBorders>
          </w:tcPr>
          <w:p w:rsidR="00F47EB5" w:rsidRPr="00F27F0D" w:rsidRDefault="00F27F0D" w:rsidP="000416C1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Deardorff, Alan V., 1996, “International externalities in the use of pollution policies,” </w:t>
            </w:r>
            <w:r w:rsidRPr="00F27F0D">
              <w:rPr>
                <w:i/>
                <w:iCs/>
                <w:szCs w:val="24"/>
              </w:rPr>
              <w:t>International Review of Law and Economics</w:t>
            </w:r>
            <w:r w:rsidRPr="00F27F0D">
              <w:rPr>
                <w:szCs w:val="24"/>
              </w:rPr>
              <w:t xml:space="preserve">, vol. 16, issue 1, pp. 53-59 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F47EB5" w:rsidRPr="00F27F0D" w:rsidRDefault="00F47EB5" w:rsidP="00F47EB5">
            <w:pPr>
              <w:rPr>
                <w:szCs w:val="24"/>
              </w:rPr>
            </w:pPr>
            <w:r w:rsidRPr="00F27F0D">
              <w:rPr>
                <w:szCs w:val="24"/>
              </w:rPr>
              <w:t>Athinee 5304640047</w:t>
            </w:r>
          </w:p>
          <w:p w:rsidR="00F47EB5" w:rsidRPr="00F27F0D" w:rsidRDefault="00F47EB5" w:rsidP="00F47EB5">
            <w:pPr>
              <w:rPr>
                <w:szCs w:val="24"/>
              </w:rPr>
            </w:pPr>
            <w:r w:rsidRPr="00F27F0D">
              <w:rPr>
                <w:szCs w:val="24"/>
              </w:rPr>
              <w:t>Jariya 5304640229</w:t>
            </w:r>
          </w:p>
          <w:p w:rsidR="00F47EB5" w:rsidRPr="00F27F0D" w:rsidRDefault="00F47EB5" w:rsidP="00F47EB5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Prachya 5304640815  </w:t>
            </w:r>
          </w:p>
          <w:p w:rsidR="00F47EB5" w:rsidRPr="00F27F0D" w:rsidRDefault="00F47EB5" w:rsidP="00F47EB5">
            <w:pPr>
              <w:rPr>
                <w:szCs w:val="24"/>
              </w:rPr>
            </w:pPr>
            <w:r w:rsidRPr="00F27F0D">
              <w:rPr>
                <w:szCs w:val="24"/>
              </w:rPr>
              <w:t>Pluemkoon 5304640773</w:t>
            </w:r>
          </w:p>
          <w:p w:rsidR="00F47EB5" w:rsidRPr="00F27F0D" w:rsidRDefault="00F47EB5" w:rsidP="00F47EB5">
            <w:pPr>
              <w:rPr>
                <w:szCs w:val="24"/>
              </w:rPr>
            </w:pPr>
            <w:r w:rsidRPr="00F27F0D">
              <w:rPr>
                <w:szCs w:val="24"/>
              </w:rPr>
              <w:t>Suthipat 5304641086</w:t>
            </w:r>
          </w:p>
        </w:tc>
        <w:tc>
          <w:tcPr>
            <w:tcW w:w="2653" w:type="dxa"/>
            <w:tcBorders>
              <w:bottom w:val="single" w:sz="4" w:space="0" w:color="000000" w:themeColor="text1"/>
            </w:tcBorders>
          </w:tcPr>
          <w:p w:rsidR="00F47EB5" w:rsidRPr="00F27F0D" w:rsidRDefault="00904320" w:rsidP="000416C1">
            <w:pPr>
              <w:rPr>
                <w:szCs w:val="24"/>
              </w:rPr>
            </w:pPr>
            <w:r>
              <w:rPr>
                <w:szCs w:val="24"/>
              </w:rPr>
              <w:t xml:space="preserve">Sapol </w:t>
            </w:r>
            <w:r w:rsidRPr="00904320">
              <w:rPr>
                <w:szCs w:val="24"/>
              </w:rPr>
              <w:t>5204640915</w:t>
            </w:r>
          </w:p>
        </w:tc>
      </w:tr>
      <w:tr w:rsidR="00E95BA2" w:rsidTr="00E95BA2">
        <w:tc>
          <w:tcPr>
            <w:tcW w:w="9242" w:type="dxa"/>
            <w:gridSpan w:val="3"/>
            <w:shd w:val="clear" w:color="auto" w:fill="D9D9D9" w:themeFill="background1" w:themeFillShade="D9"/>
          </w:tcPr>
          <w:p w:rsidR="00E95BA2" w:rsidRPr="00F27F0D" w:rsidRDefault="00E95BA2" w:rsidP="00BD0950">
            <w:pPr>
              <w:rPr>
                <w:szCs w:val="24"/>
              </w:rPr>
            </w:pPr>
            <w:r w:rsidRPr="003F08F9">
              <w:rPr>
                <w:i/>
                <w:iCs/>
                <w:szCs w:val="24"/>
              </w:rPr>
              <w:t>Others</w:t>
            </w:r>
          </w:p>
        </w:tc>
      </w:tr>
      <w:tr w:rsidR="00E95BA2" w:rsidTr="00BD0950">
        <w:tc>
          <w:tcPr>
            <w:tcW w:w="3936" w:type="dxa"/>
          </w:tcPr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Rasmusen, Eric, 1996, ‘Stigma and Self-Fulfilling Expectations of Criminality,’ </w:t>
            </w:r>
            <w:r w:rsidRPr="00F27F0D">
              <w:rPr>
                <w:i/>
                <w:iCs/>
                <w:szCs w:val="24"/>
              </w:rPr>
              <w:t>Journal of Law and Economics</w:t>
            </w:r>
            <w:r w:rsidRPr="00F27F0D">
              <w:rPr>
                <w:szCs w:val="24"/>
              </w:rPr>
              <w:t>,’ Vol. 39, No. 2, pp. 519-543</w:t>
            </w:r>
          </w:p>
        </w:tc>
        <w:tc>
          <w:tcPr>
            <w:tcW w:w="2653" w:type="dxa"/>
          </w:tcPr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Theerapat 5304641250</w:t>
            </w:r>
          </w:p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Suntisuk 5304641037</w:t>
            </w:r>
          </w:p>
          <w:p w:rsidR="00E95BA2" w:rsidRPr="00F27F0D" w:rsidRDefault="00E95BA2" w:rsidP="000508F6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Sutthikit </w:t>
            </w:r>
            <w:r w:rsidR="000508F6">
              <w:rPr>
                <w:szCs w:val="24"/>
              </w:rPr>
              <w:t>5304641094</w:t>
            </w:r>
          </w:p>
        </w:tc>
        <w:tc>
          <w:tcPr>
            <w:tcW w:w="2653" w:type="dxa"/>
          </w:tcPr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Tatnita 5304641151</w:t>
            </w:r>
          </w:p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Jutimar 5304641441</w:t>
            </w:r>
          </w:p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Tanut 5304641128</w:t>
            </w:r>
          </w:p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Wisaruth 5304641383</w:t>
            </w:r>
          </w:p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Supanida 5304641052</w:t>
            </w:r>
          </w:p>
        </w:tc>
      </w:tr>
      <w:tr w:rsidR="00E95BA2" w:rsidTr="00BD0950">
        <w:tc>
          <w:tcPr>
            <w:tcW w:w="3936" w:type="dxa"/>
          </w:tcPr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 xml:space="preserve">Carneiro, Pedro, Heckman, James J. and Dimitriy V. Masterov, 2005, ‘Labor Market Discrimination and Racial Differences in Premarket Factors,’ </w:t>
            </w:r>
            <w:r w:rsidRPr="00F27F0D">
              <w:rPr>
                <w:i/>
                <w:iCs/>
                <w:szCs w:val="24"/>
              </w:rPr>
              <w:t>Journal of Law and Economics</w:t>
            </w:r>
            <w:r w:rsidRPr="00F27F0D">
              <w:rPr>
                <w:szCs w:val="24"/>
              </w:rPr>
              <w:t>, Vol. 48, No. 1, pp. 1-39</w:t>
            </w:r>
          </w:p>
        </w:tc>
        <w:tc>
          <w:tcPr>
            <w:tcW w:w="2653" w:type="dxa"/>
          </w:tcPr>
          <w:p w:rsidR="00E95BA2" w:rsidRPr="00F27F0D" w:rsidRDefault="00E95BA2" w:rsidP="00BD0950">
            <w:pPr>
              <w:rPr>
                <w:szCs w:val="24"/>
              </w:rPr>
            </w:pPr>
            <w:r w:rsidRPr="00F27F0D">
              <w:rPr>
                <w:szCs w:val="24"/>
              </w:rPr>
              <w:t>Chanisa 5204640139</w:t>
            </w:r>
          </w:p>
        </w:tc>
        <w:tc>
          <w:tcPr>
            <w:tcW w:w="2653" w:type="dxa"/>
          </w:tcPr>
          <w:p w:rsidR="00E95BA2" w:rsidRPr="0078691E" w:rsidRDefault="0078691E" w:rsidP="00A8266D">
            <w:pPr>
              <w:rPr>
                <w:color w:val="FF0000"/>
                <w:szCs w:val="24"/>
              </w:rPr>
            </w:pPr>
            <w:r w:rsidRPr="0078691E">
              <w:rPr>
                <w:color w:val="FF0000"/>
                <w:szCs w:val="24"/>
              </w:rPr>
              <w:t>Thongkorn 5204641335</w:t>
            </w:r>
            <w:r w:rsidRPr="0078691E">
              <w:rPr>
                <w:color w:val="4F81BD" w:themeColor="accent1"/>
                <w:szCs w:val="24"/>
              </w:rPr>
              <w:t xml:space="preserve"> </w:t>
            </w:r>
            <w:r>
              <w:rPr>
                <w:color w:val="4F81BD" w:themeColor="accent1"/>
                <w:szCs w:val="24"/>
              </w:rPr>
              <w:t xml:space="preserve"> </w:t>
            </w:r>
          </w:p>
        </w:tc>
      </w:tr>
    </w:tbl>
    <w:p w:rsidR="009E3047" w:rsidRPr="009E3047" w:rsidRDefault="009E3047">
      <w:pPr>
        <w:rPr>
          <w:sz w:val="24"/>
        </w:rPr>
      </w:pPr>
    </w:p>
    <w:sectPr w:rsidR="009E3047" w:rsidRPr="009E3047" w:rsidSect="00E95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6D4" w:rsidRDefault="00FB66D4" w:rsidP="009E3047">
      <w:pPr>
        <w:spacing w:after="0" w:line="240" w:lineRule="auto"/>
      </w:pPr>
      <w:r>
        <w:separator/>
      </w:r>
    </w:p>
  </w:endnote>
  <w:endnote w:type="continuationSeparator" w:id="0">
    <w:p w:rsidR="00FB66D4" w:rsidRDefault="00FB66D4" w:rsidP="009E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6D4" w:rsidRDefault="00FB66D4" w:rsidP="009E3047">
      <w:pPr>
        <w:spacing w:after="0" w:line="240" w:lineRule="auto"/>
      </w:pPr>
      <w:r>
        <w:separator/>
      </w:r>
    </w:p>
  </w:footnote>
  <w:footnote w:type="continuationSeparator" w:id="0">
    <w:p w:rsidR="00FB66D4" w:rsidRDefault="00FB66D4" w:rsidP="009E30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9E3047"/>
    <w:rsid w:val="000416C1"/>
    <w:rsid w:val="000508F6"/>
    <w:rsid w:val="000B02D2"/>
    <w:rsid w:val="000C3147"/>
    <w:rsid w:val="00184C46"/>
    <w:rsid w:val="001971AB"/>
    <w:rsid w:val="001D1FA6"/>
    <w:rsid w:val="001D47D2"/>
    <w:rsid w:val="00397EC9"/>
    <w:rsid w:val="003D2CDC"/>
    <w:rsid w:val="003F08F9"/>
    <w:rsid w:val="004200CA"/>
    <w:rsid w:val="00745306"/>
    <w:rsid w:val="0078691E"/>
    <w:rsid w:val="007C1C1E"/>
    <w:rsid w:val="008C2569"/>
    <w:rsid w:val="00904320"/>
    <w:rsid w:val="009C0911"/>
    <w:rsid w:val="009E3047"/>
    <w:rsid w:val="00A126C5"/>
    <w:rsid w:val="00A50181"/>
    <w:rsid w:val="00A8266D"/>
    <w:rsid w:val="00B235AF"/>
    <w:rsid w:val="00BC27C2"/>
    <w:rsid w:val="00C70F53"/>
    <w:rsid w:val="00DB4301"/>
    <w:rsid w:val="00E95BA2"/>
    <w:rsid w:val="00ED62E3"/>
    <w:rsid w:val="00F27F0D"/>
    <w:rsid w:val="00F47EB5"/>
    <w:rsid w:val="00F546AE"/>
    <w:rsid w:val="00F94F08"/>
    <w:rsid w:val="00FB6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6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E3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3047"/>
  </w:style>
  <w:style w:type="paragraph" w:styleId="Footer">
    <w:name w:val="footer"/>
    <w:basedOn w:val="Normal"/>
    <w:link w:val="FooterChar"/>
    <w:uiPriority w:val="99"/>
    <w:semiHidden/>
    <w:unhideWhenUsed/>
    <w:rsid w:val="009E3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3047"/>
  </w:style>
  <w:style w:type="table" w:styleId="TableGrid">
    <w:name w:val="Table Grid"/>
    <w:basedOn w:val="TableNormal"/>
    <w:uiPriority w:val="59"/>
    <w:rsid w:val="009E30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0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53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3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test</cp:lastModifiedBy>
  <cp:revision>13</cp:revision>
  <dcterms:created xsi:type="dcterms:W3CDTF">2011-09-06T01:35:00Z</dcterms:created>
  <dcterms:modified xsi:type="dcterms:W3CDTF">2011-09-23T11:41:00Z</dcterms:modified>
</cp:coreProperties>
</file>