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C0" w:rsidRPr="00291E7A" w:rsidRDefault="00B267C0" w:rsidP="00E04847">
      <w:pPr>
        <w:pStyle w:val="SolutionstoQuestionsheader"/>
        <w:spacing w:before="0" w:after="120"/>
        <w:rPr>
          <w:rFonts w:cs="Tahoma"/>
          <w:sz w:val="22"/>
          <w:szCs w:val="22"/>
        </w:rPr>
      </w:pPr>
      <w:bookmarkStart w:id="0" w:name="_GoBack"/>
      <w:bookmarkEnd w:id="0"/>
      <w:r w:rsidRPr="00291E7A">
        <w:rPr>
          <w:rFonts w:cs="Tahoma"/>
          <w:sz w:val="22"/>
          <w:szCs w:val="22"/>
        </w:rPr>
        <w:t xml:space="preserve">Solutions to recommended exercises </w:t>
      </w:r>
    </w:p>
    <w:p w:rsidR="00291E7A" w:rsidRPr="00291E7A" w:rsidRDefault="00291E7A" w:rsidP="00291E7A">
      <w:pPr>
        <w:widowControl w:val="0"/>
        <w:spacing w:line="320" w:lineRule="atLeast"/>
        <w:rPr>
          <w:rFonts w:cs="Tahoma"/>
          <w:b/>
          <w:bCs/>
          <w:color w:val="000000"/>
          <w:sz w:val="22"/>
          <w:szCs w:val="22"/>
        </w:rPr>
      </w:pPr>
      <w:r>
        <w:rPr>
          <w:rFonts w:cs="Tahoma"/>
          <w:b/>
          <w:bCs/>
          <w:color w:val="000000"/>
          <w:sz w:val="22"/>
          <w:szCs w:val="22"/>
        </w:rPr>
        <w:t>Exercise 13-1</w:t>
      </w:r>
    </w:p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sz w:val="22"/>
          <w:szCs w:val="22"/>
        </w:rPr>
      </w:pPr>
      <w:r w:rsidRPr="00291E7A">
        <w:rPr>
          <w:rFonts w:cs="Tahoma"/>
          <w:color w:val="000000"/>
          <w:sz w:val="22"/>
          <w:szCs w:val="22"/>
        </w:rPr>
        <w:tab/>
        <w:t>1.</w:t>
      </w:r>
    </w:p>
    <w:tbl>
      <w:tblPr>
        <w:tblW w:w="0" w:type="auto"/>
        <w:tblCellSpacing w:w="7" w:type="dxa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790"/>
        <w:gridCol w:w="1170"/>
        <w:gridCol w:w="1425"/>
        <w:gridCol w:w="990"/>
        <w:gridCol w:w="1396"/>
      </w:tblGrid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sz w:val="22"/>
                <w:szCs w:val="22"/>
              </w:rPr>
              <w:t>Item</w:t>
            </w: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sz w:val="22"/>
                <w:szCs w:val="22"/>
              </w:rPr>
              <w:t>Year(s)</w:t>
            </w:r>
          </w:p>
        </w:tc>
        <w:tc>
          <w:tcPr>
            <w:tcW w:w="1411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sz w:val="22"/>
                <w:szCs w:val="22"/>
              </w:rPr>
              <w:t>Cash Flow</w:t>
            </w: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sz w:val="22"/>
                <w:szCs w:val="22"/>
              </w:rPr>
              <w:t>12%</w:t>
            </w:r>
            <w:r w:rsidRPr="00291E7A">
              <w:rPr>
                <w:rFonts w:cs="Tahoma"/>
                <w:bCs/>
                <w:i/>
                <w:iCs/>
                <w:sz w:val="22"/>
                <w:szCs w:val="22"/>
              </w:rPr>
              <w:t xml:space="preserve"> </w:t>
            </w:r>
            <w:r w:rsidRPr="00291E7A">
              <w:rPr>
                <w:rFonts w:cs="Tahoma"/>
                <w:bCs/>
                <w:i/>
                <w:sz w:val="22"/>
                <w:szCs w:val="22"/>
              </w:rPr>
              <w:t>Factor</w:t>
            </w: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sz w:val="22"/>
                <w:szCs w:val="22"/>
              </w:rPr>
              <w:t>Present Value</w:t>
            </w:r>
            <w:r w:rsidRPr="00291E7A">
              <w:rPr>
                <w:rFonts w:cs="Tahoma"/>
                <w:bCs/>
                <w:i/>
                <w:iCs/>
                <w:sz w:val="22"/>
                <w:szCs w:val="22"/>
              </w:rPr>
              <w:t xml:space="preserve"> </w:t>
            </w:r>
            <w:r w:rsidRPr="00291E7A">
              <w:rPr>
                <w:rFonts w:cs="Tahoma"/>
                <w:bCs/>
                <w:i/>
                <w:sz w:val="22"/>
                <w:szCs w:val="22"/>
              </w:rPr>
              <w:t>of Cash Flows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Annual cost savings</w:t>
            </w:r>
            <w:r w:rsidRPr="00291E7A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1-10</w:t>
            </w:r>
          </w:p>
        </w:tc>
        <w:tc>
          <w:tcPr>
            <w:tcW w:w="141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173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$4,000</w:t>
            </w: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5.650</w:t>
            </w: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173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$ 22,600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Initial investment</w:t>
            </w:r>
            <w:r w:rsidRPr="00291E7A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Now</w:t>
            </w:r>
          </w:p>
        </w:tc>
        <w:tc>
          <w:tcPr>
            <w:tcW w:w="141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$(25,000)</w:t>
            </w: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1.000</w:t>
            </w: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  <w:u w:val="single"/>
              </w:rPr>
              <w:t> (25,000</w:t>
            </w:r>
            <w:r w:rsidRPr="00291E7A">
              <w:rPr>
                <w:rFonts w:cs="Tahoma"/>
                <w:sz w:val="22"/>
                <w:szCs w:val="22"/>
              </w:rPr>
              <w:t>)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Net present value</w:t>
            </w:r>
            <w:r w:rsidRPr="00291E7A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sz w:val="22"/>
                <w:szCs w:val="22"/>
              </w:rPr>
            </w:pPr>
          </w:p>
        </w:tc>
        <w:tc>
          <w:tcPr>
            <w:tcW w:w="141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  <w:u w:val="double"/>
              </w:rPr>
              <w:t>$ (2,400</w:t>
            </w:r>
            <w:r w:rsidRPr="00291E7A">
              <w:rPr>
                <w:rFonts w:cs="Tahoma"/>
                <w:sz w:val="22"/>
                <w:szCs w:val="22"/>
              </w:rPr>
              <w:t>)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1411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  <w:u w:val="double"/>
              </w:rPr>
            </w:pPr>
          </w:p>
        </w:tc>
      </w:tr>
    </w:tbl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sz w:val="22"/>
          <w:szCs w:val="22"/>
        </w:rPr>
      </w:pPr>
      <w:r w:rsidRPr="00291E7A">
        <w:rPr>
          <w:rFonts w:cs="Tahoma"/>
          <w:color w:val="000000"/>
          <w:sz w:val="22"/>
          <w:szCs w:val="22"/>
        </w:rPr>
        <w:tab/>
        <w:t>2.</w:t>
      </w:r>
    </w:p>
    <w:tbl>
      <w:tblPr>
        <w:tblW w:w="0" w:type="auto"/>
        <w:tblCellSpacing w:w="7" w:type="dxa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790"/>
        <w:gridCol w:w="1335"/>
        <w:gridCol w:w="990"/>
        <w:gridCol w:w="1396"/>
      </w:tblGrid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sz w:val="22"/>
                <w:szCs w:val="22"/>
              </w:rPr>
              <w:t>Item</w:t>
            </w:r>
          </w:p>
        </w:tc>
        <w:tc>
          <w:tcPr>
            <w:tcW w:w="1321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sz w:val="22"/>
                <w:szCs w:val="22"/>
              </w:rPr>
              <w:t>Cash Flow</w:t>
            </w: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sz w:val="22"/>
                <w:szCs w:val="22"/>
              </w:rPr>
              <w:t>Years</w:t>
            </w: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sz w:val="22"/>
                <w:szCs w:val="22"/>
              </w:rPr>
              <w:t>Total Cash Flows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Annual cost savings</w:t>
            </w:r>
            <w:r w:rsidRPr="00291E7A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173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$4,000</w:t>
            </w: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10</w:t>
            </w: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173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$ 40,000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Initial investment</w:t>
            </w:r>
            <w:r w:rsidRPr="00291E7A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$(25,000)</w:t>
            </w: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1</w:t>
            </w: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  <w:u w:val="single"/>
              </w:rPr>
              <w:t> (25,000</w:t>
            </w:r>
            <w:r w:rsidRPr="00291E7A">
              <w:rPr>
                <w:rFonts w:cs="Tahoma"/>
                <w:sz w:val="22"/>
                <w:szCs w:val="22"/>
              </w:rPr>
              <w:t>)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</w:rPr>
              <w:t>Net cash flow</w:t>
            </w:r>
            <w:r w:rsidRPr="00291E7A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sz w:val="22"/>
                <w:szCs w:val="22"/>
              </w:rPr>
            </w:pP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173"/>
              <w:jc w:val="right"/>
              <w:rPr>
                <w:rFonts w:cs="Tahoma"/>
                <w:sz w:val="22"/>
                <w:szCs w:val="22"/>
              </w:rPr>
            </w:pPr>
            <w:r w:rsidRPr="00291E7A">
              <w:rPr>
                <w:rFonts w:cs="Tahoma"/>
                <w:sz w:val="22"/>
                <w:szCs w:val="22"/>
                <w:u w:val="double"/>
              </w:rPr>
              <w:t>$ 15,000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39" w:type="dxa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277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1321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</w:rPr>
            </w:pPr>
          </w:p>
        </w:tc>
        <w:tc>
          <w:tcPr>
            <w:tcW w:w="1375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sz w:val="22"/>
                <w:szCs w:val="22"/>
                <w:u w:val="double"/>
              </w:rPr>
            </w:pPr>
          </w:p>
        </w:tc>
      </w:tr>
    </w:tbl>
    <w:p w:rsidR="00291E7A" w:rsidRPr="00291E7A" w:rsidRDefault="00291E7A" w:rsidP="00291E7A">
      <w:pPr>
        <w:widowControl w:val="0"/>
        <w:spacing w:after="240" w:line="320" w:lineRule="atLeast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b/>
          <w:color w:val="000000"/>
          <w:spacing w:val="-3"/>
          <w:kern w:val="1"/>
          <w:sz w:val="22"/>
          <w:szCs w:val="22"/>
        </w:rPr>
        <w:t xml:space="preserve">Exercise 13-2 </w:t>
      </w: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6840"/>
        <w:gridCol w:w="1170"/>
        <w:gridCol w:w="450"/>
      </w:tblGrid>
      <w:tr w:rsidR="00291E7A" w:rsidRPr="00291E7A" w:rsidTr="00291E7A">
        <w:trPr>
          <w:gridAfter w:val="1"/>
          <w:wAfter w:w="429" w:type="dxa"/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  <w:r w:rsidRPr="00291E7A">
              <w:rPr>
                <w:rFonts w:cs="Tahoma"/>
                <w:color w:val="000000"/>
                <w:kern w:val="1"/>
                <w:sz w:val="22"/>
                <w:szCs w:val="22"/>
              </w:rPr>
              <w:tab/>
              <w:t>1.</w:t>
            </w:r>
          </w:p>
        </w:tc>
        <w:tc>
          <w:tcPr>
            <w:tcW w:w="682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663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Annual savings over present method of delivery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$5,400</w:t>
            </w:r>
          </w:p>
        </w:tc>
      </w:tr>
      <w:tr w:rsidR="00291E7A" w:rsidRPr="00291E7A" w:rsidTr="00291E7A">
        <w:trPr>
          <w:gridAfter w:val="1"/>
          <w:wAfter w:w="429" w:type="dxa"/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82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663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Added contribution margin from expanded deliveries (1,800 pizzas × $2 per pizza)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  <w:u w:val="single"/>
              </w:rPr>
            </w:pPr>
            <w:r w:rsidRPr="00291E7A">
              <w:rPr>
                <w:rFonts w:cs="Tahoma"/>
                <w:kern w:val="1"/>
                <w:sz w:val="22"/>
                <w:szCs w:val="22"/>
                <w:u w:val="single"/>
              </w:rPr>
              <w:t> 3,600</w:t>
            </w:r>
          </w:p>
        </w:tc>
      </w:tr>
      <w:tr w:rsidR="00291E7A" w:rsidRPr="00291E7A" w:rsidTr="00291E7A">
        <w:trPr>
          <w:gridAfter w:val="1"/>
          <w:wAfter w:w="429" w:type="dxa"/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682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663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Annual cash inflows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  <w:u w:val="double"/>
              </w:rPr>
            </w:pPr>
            <w:r w:rsidRPr="00291E7A">
              <w:rPr>
                <w:rFonts w:cs="Tahoma"/>
                <w:kern w:val="1"/>
                <w:sz w:val="22"/>
                <w:szCs w:val="22"/>
                <w:u w:val="double"/>
              </w:rPr>
              <w:t>$9,000</w:t>
            </w:r>
          </w:p>
        </w:tc>
      </w:tr>
      <w:tr w:rsidR="00291E7A" w:rsidRPr="00291E7A" w:rsidTr="00291E7A">
        <w:trPr>
          <w:gridAfter w:val="1"/>
          <w:wAfter w:w="429" w:type="dxa"/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682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  <w:u w:val="double"/>
              </w:rPr>
            </w:pPr>
          </w:p>
        </w:tc>
      </w:tr>
      <w:tr w:rsidR="00291E7A" w:rsidRPr="00291E7A" w:rsidTr="00D7256C">
        <w:trPr>
          <w:tblCellSpacing w:w="7" w:type="dxa"/>
        </w:trPr>
        <w:tc>
          <w:tcPr>
            <w:tcW w:w="360" w:type="dxa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  <w:r w:rsidRPr="00291E7A">
              <w:rPr>
                <w:rFonts w:cs="Tahoma"/>
                <w:color w:val="000000"/>
                <w:kern w:val="1"/>
                <w:sz w:val="22"/>
                <w:szCs w:val="22"/>
              </w:rPr>
              <w:tab/>
              <w:t>2.</w:t>
            </w:r>
          </w:p>
        </w:tc>
        <w:tc>
          <w:tcPr>
            <w:tcW w:w="8439" w:type="dxa"/>
            <w:gridSpan w:val="3"/>
            <w:vAlign w:val="bottom"/>
          </w:tcPr>
          <w:p w:rsidR="00291E7A" w:rsidRPr="00291E7A" w:rsidRDefault="00291E7A" w:rsidP="00291E7A">
            <w:pPr>
              <w:ind w:left="360"/>
              <w:rPr>
                <w:rFonts w:cs="Tahoma"/>
                <w:kern w:val="28"/>
                <w:position w:val="58"/>
                <w:sz w:val="22"/>
                <w:szCs w:val="22"/>
              </w:rPr>
            </w:pPr>
            <w:r w:rsidRPr="00291E7A">
              <w:rPr>
                <w:rFonts w:cs="Tahoma"/>
                <w:kern w:val="28"/>
                <w:position w:val="-78"/>
                <w:sz w:val="22"/>
                <w:szCs w:val="22"/>
              </w:rPr>
              <w:object w:dxaOrig="5679" w:dyaOrig="1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7.5pt;height:64.25pt" o:ole="">
                  <v:imagedata r:id="rId7" o:title=""/>
                </v:shape>
                <o:OLEObject Type="Embed" ProgID="Equation.DSMT4" ShapeID="_x0000_i1025" DrawAspect="Content" ObjectID="_1419999316" r:id="rId8"/>
              </w:object>
            </w:r>
          </w:p>
          <w:p w:rsidR="00291E7A" w:rsidRPr="00291E7A" w:rsidRDefault="00291E7A" w:rsidP="00291E7A">
            <w:pPr>
              <w:rPr>
                <w:rFonts w:cs="Tahoma"/>
                <w:kern w:val="1"/>
                <w:sz w:val="22"/>
                <w:szCs w:val="22"/>
              </w:rPr>
            </w:pPr>
          </w:p>
        </w:tc>
      </w:tr>
    </w:tbl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color w:val="000000"/>
          <w:kern w:val="1"/>
          <w:sz w:val="22"/>
          <w:szCs w:val="22"/>
        </w:rPr>
        <w:tab/>
      </w:r>
      <w:r w:rsidRPr="00291E7A">
        <w:rPr>
          <w:rFonts w:cs="Tahoma"/>
          <w:color w:val="000000"/>
          <w:kern w:val="1"/>
          <w:sz w:val="22"/>
          <w:szCs w:val="22"/>
        </w:rPr>
        <w:tab/>
        <w:t>Looking in Exhibit 13B-2, and scanning along the six-year line, we can see that the factor computed above, 5.000, is closest to 5.076, the factor for the 5% rate of return. Therefore, to the nearest whole percent, the internal rate of return is 5%.</w:t>
      </w:r>
    </w:p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color w:val="000000"/>
          <w:kern w:val="1"/>
          <w:sz w:val="22"/>
          <w:szCs w:val="22"/>
        </w:rPr>
        <w:tab/>
        <w:t>3.</w:t>
      </w:r>
      <w:r w:rsidRPr="00291E7A">
        <w:rPr>
          <w:rFonts w:cs="Tahoma"/>
          <w:color w:val="000000"/>
          <w:kern w:val="1"/>
          <w:sz w:val="22"/>
          <w:szCs w:val="22"/>
        </w:rPr>
        <w:tab/>
        <w:t>The cash flows are not even over the six-year life of the truck because of the extra $13,000 cash inflow that occurs in the sixth year. Therefore, the approach used above cannot be used to compute the internal rate of return. Using trial-and-error or some other method, the internal rate of return turns out to be about 11%:</w:t>
      </w:r>
    </w:p>
    <w:p w:rsidR="00291E7A" w:rsidRPr="00291E7A" w:rsidRDefault="00291E7A" w:rsidP="00291E7A">
      <w:pPr>
        <w:spacing w:line="120" w:lineRule="exact"/>
        <w:rPr>
          <w:rFonts w:cs="Tahoma"/>
          <w:kern w:val="1"/>
          <w:sz w:val="22"/>
          <w:szCs w:val="22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2700"/>
        <w:gridCol w:w="1080"/>
        <w:gridCol w:w="1620"/>
        <w:gridCol w:w="1080"/>
        <w:gridCol w:w="1980"/>
      </w:tblGrid>
      <w:tr w:rsidR="00291E7A" w:rsidRPr="00291E7A" w:rsidTr="00D7256C">
        <w:trPr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268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Year(s)</w:t>
            </w:r>
          </w:p>
        </w:tc>
        <w:tc>
          <w:tcPr>
            <w:tcW w:w="160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Amount of Cash Flows</w:t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11% Factor</w:t>
            </w:r>
          </w:p>
        </w:tc>
        <w:tc>
          <w:tcPr>
            <w:tcW w:w="1959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Present Value of Cash Flows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268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Initial investment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Now</w:t>
            </w:r>
          </w:p>
        </w:tc>
        <w:tc>
          <w:tcPr>
            <w:tcW w:w="160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1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$(45,000)</w:t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1.000</w:t>
            </w:r>
          </w:p>
        </w:tc>
        <w:tc>
          <w:tcPr>
            <w:tcW w:w="1959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21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$(45,000)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268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Annual cash inflows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1-6</w:t>
            </w:r>
          </w:p>
        </w:tc>
        <w:tc>
          <w:tcPr>
            <w:tcW w:w="160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259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$9,000</w:t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4.231</w:t>
            </w:r>
          </w:p>
        </w:tc>
        <w:tc>
          <w:tcPr>
            <w:tcW w:w="1959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51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38,079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268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Salvage value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6</w:t>
            </w:r>
          </w:p>
        </w:tc>
        <w:tc>
          <w:tcPr>
            <w:tcW w:w="160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259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$13,000</w:t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0.535</w:t>
            </w:r>
          </w:p>
        </w:tc>
        <w:tc>
          <w:tcPr>
            <w:tcW w:w="1959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518"/>
              <w:jc w:val="right"/>
              <w:rPr>
                <w:rFonts w:cs="Tahoma"/>
                <w:kern w:val="1"/>
                <w:sz w:val="22"/>
                <w:szCs w:val="22"/>
                <w:u w:val="single"/>
              </w:rPr>
            </w:pPr>
            <w:r w:rsidRPr="00291E7A">
              <w:rPr>
                <w:rFonts w:cs="Tahoma"/>
                <w:kern w:val="1"/>
                <w:sz w:val="22"/>
                <w:szCs w:val="22"/>
                <w:u w:val="single"/>
              </w:rPr>
              <w:t>    6,955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268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26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Net present value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60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259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959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518"/>
              <w:jc w:val="right"/>
              <w:rPr>
                <w:rFonts w:cs="Tahoma"/>
                <w:kern w:val="1"/>
                <w:sz w:val="22"/>
                <w:szCs w:val="22"/>
                <w:u w:val="double"/>
              </w:rPr>
            </w:pPr>
            <w:r w:rsidRPr="00291E7A">
              <w:rPr>
                <w:rFonts w:cs="Tahoma"/>
                <w:kern w:val="1"/>
                <w:sz w:val="22"/>
                <w:szCs w:val="22"/>
                <w:u w:val="double"/>
              </w:rPr>
              <w:t>$</w:t>
            </w:r>
            <w:r w:rsidRPr="00291E7A">
              <w:rPr>
                <w:rFonts w:cs="Tahoma"/>
                <w:spacing w:val="-20"/>
                <w:kern w:val="28"/>
                <w:sz w:val="22"/>
                <w:szCs w:val="22"/>
                <w:u w:val="double"/>
              </w:rPr>
              <w:t> </w:t>
            </w:r>
            <w:r w:rsidRPr="00291E7A">
              <w:rPr>
                <w:rFonts w:cs="Tahoma"/>
                <w:kern w:val="1"/>
                <w:sz w:val="22"/>
                <w:szCs w:val="22"/>
                <w:u w:val="double"/>
              </w:rPr>
              <w:t>      34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268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60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959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  <w:u w:val="double"/>
              </w:rPr>
            </w:pPr>
          </w:p>
        </w:tc>
      </w:tr>
    </w:tbl>
    <w:p w:rsidR="00291E7A" w:rsidRPr="00291E7A" w:rsidRDefault="00291E7A" w:rsidP="00291E7A">
      <w:pPr>
        <w:spacing w:line="120" w:lineRule="exact"/>
        <w:rPr>
          <w:rFonts w:cs="Tahoma"/>
          <w:kern w:val="1"/>
          <w:sz w:val="22"/>
          <w:szCs w:val="22"/>
        </w:rPr>
      </w:pPr>
    </w:p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color w:val="000000"/>
          <w:kern w:val="1"/>
          <w:sz w:val="22"/>
          <w:szCs w:val="22"/>
        </w:rPr>
        <w:tab/>
      </w:r>
      <w:r w:rsidRPr="00291E7A">
        <w:rPr>
          <w:rFonts w:cs="Tahoma"/>
          <w:color w:val="000000"/>
          <w:kern w:val="1"/>
          <w:sz w:val="22"/>
          <w:szCs w:val="22"/>
        </w:rPr>
        <w:tab/>
        <w:t>As expected, the extra cash inflow in the sixth year increases the internal rate of return.</w:t>
      </w:r>
    </w:p>
    <w:p w:rsidR="00291E7A" w:rsidRPr="00291E7A" w:rsidRDefault="00291E7A" w:rsidP="00291E7A">
      <w:pPr>
        <w:widowControl w:val="0"/>
        <w:spacing w:after="240" w:line="320" w:lineRule="atLeast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color w:val="000000"/>
          <w:sz w:val="22"/>
          <w:szCs w:val="22"/>
        </w:rPr>
        <w:br w:type="page"/>
      </w:r>
      <w:r w:rsidRPr="00291E7A">
        <w:rPr>
          <w:rFonts w:cs="Tahoma"/>
          <w:b/>
          <w:color w:val="000000"/>
          <w:spacing w:val="-3"/>
          <w:kern w:val="1"/>
          <w:sz w:val="22"/>
          <w:szCs w:val="22"/>
        </w:rPr>
        <w:lastRenderedPageBreak/>
        <w:t>Exercise 13-3</w:t>
      </w:r>
      <w:r w:rsidRPr="00291E7A">
        <w:rPr>
          <w:rFonts w:cs="Tahoma"/>
          <w:color w:val="000000"/>
          <w:spacing w:val="-3"/>
          <w:kern w:val="1"/>
          <w:sz w:val="22"/>
          <w:szCs w:val="22"/>
        </w:rPr>
        <w:t xml:space="preserve"> </w:t>
      </w:r>
    </w:p>
    <w:p w:rsidR="00291E7A" w:rsidRPr="00291E7A" w:rsidRDefault="00291E7A" w:rsidP="00291E7A">
      <w:pPr>
        <w:spacing w:line="320" w:lineRule="exact"/>
        <w:rPr>
          <w:rFonts w:cs="Tahoma"/>
          <w:kern w:val="1"/>
          <w:sz w:val="22"/>
          <w:szCs w:val="22"/>
        </w:rPr>
      </w:pPr>
      <w:r w:rsidRPr="00291E7A">
        <w:rPr>
          <w:rFonts w:cs="Tahoma"/>
          <w:kern w:val="1"/>
          <w:sz w:val="22"/>
          <w:szCs w:val="22"/>
        </w:rPr>
        <w:t>The equipment’s net present value without considering the intangible benefits would be:</w:t>
      </w:r>
    </w:p>
    <w:p w:rsidR="00291E7A" w:rsidRPr="00291E7A" w:rsidRDefault="00291E7A" w:rsidP="00291E7A">
      <w:pPr>
        <w:spacing w:line="120" w:lineRule="exact"/>
        <w:rPr>
          <w:rFonts w:cs="Tahoma"/>
          <w:kern w:val="1"/>
          <w:sz w:val="22"/>
          <w:szCs w:val="22"/>
        </w:rPr>
      </w:pPr>
    </w:p>
    <w:tbl>
      <w:tblPr>
        <w:tblW w:w="9476" w:type="dxa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0"/>
        <w:gridCol w:w="3149"/>
        <w:gridCol w:w="1080"/>
        <w:gridCol w:w="1800"/>
        <w:gridCol w:w="1080"/>
        <w:gridCol w:w="1961"/>
        <w:gridCol w:w="26"/>
      </w:tblGrid>
      <w:tr w:rsidR="00291E7A" w:rsidRPr="00291E7A" w:rsidTr="00D7256C">
        <w:trPr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  <w:r w:rsidRPr="00291E7A">
              <w:rPr>
                <w:rFonts w:cs="Tahoma"/>
                <w:color w:val="000000"/>
                <w:kern w:val="1"/>
                <w:sz w:val="22"/>
                <w:szCs w:val="22"/>
              </w:rPr>
              <w:tab/>
            </w:r>
          </w:p>
        </w:tc>
        <w:tc>
          <w:tcPr>
            <w:tcW w:w="313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Item</w:t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Year(s)</w:t>
            </w:r>
          </w:p>
        </w:tc>
        <w:tc>
          <w:tcPr>
            <w:tcW w:w="178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Amount of Cash Flows</w:t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15% Factor</w:t>
            </w:r>
          </w:p>
        </w:tc>
        <w:tc>
          <w:tcPr>
            <w:tcW w:w="1964" w:type="dxa"/>
            <w:gridSpan w:val="2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Present Value of Cash Flows</w:t>
            </w:r>
          </w:p>
        </w:tc>
      </w:tr>
      <w:tr w:rsidR="00291E7A" w:rsidRPr="00291E7A" w:rsidTr="00D7256C">
        <w:trPr>
          <w:gridAfter w:val="1"/>
          <w:wAfter w:w="3" w:type="dxa"/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3039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Cost of the equipment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Now</w:t>
            </w:r>
          </w:p>
        </w:tc>
        <w:tc>
          <w:tcPr>
            <w:tcW w:w="178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173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$(750,000)</w:t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96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1.000</w:t>
            </w:r>
          </w:p>
        </w:tc>
        <w:tc>
          <w:tcPr>
            <w:tcW w:w="1947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250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$(750,000)</w:t>
            </w:r>
          </w:p>
        </w:tc>
      </w:tr>
      <w:tr w:rsidR="00291E7A" w:rsidRPr="00291E7A" w:rsidTr="00D7256C">
        <w:trPr>
          <w:gridAfter w:val="1"/>
          <w:wAfter w:w="3" w:type="dxa"/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3039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Annual cash savings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1-10</w:t>
            </w:r>
          </w:p>
        </w:tc>
        <w:tc>
          <w:tcPr>
            <w:tcW w:w="178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276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$100,000</w:t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96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5.019</w:t>
            </w:r>
          </w:p>
        </w:tc>
        <w:tc>
          <w:tcPr>
            <w:tcW w:w="1947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346"/>
              <w:jc w:val="right"/>
              <w:rPr>
                <w:rFonts w:cs="Tahoma"/>
                <w:kern w:val="1"/>
                <w:sz w:val="22"/>
                <w:szCs w:val="22"/>
                <w:u w:val="single"/>
              </w:rPr>
            </w:pPr>
            <w:r w:rsidRPr="00291E7A">
              <w:rPr>
                <w:rFonts w:cs="Tahoma"/>
                <w:kern w:val="1"/>
                <w:sz w:val="22"/>
                <w:szCs w:val="22"/>
                <w:u w:val="single"/>
              </w:rPr>
              <w:t>   501,900</w:t>
            </w:r>
          </w:p>
        </w:tc>
      </w:tr>
      <w:tr w:rsidR="00291E7A" w:rsidRPr="00291E7A" w:rsidTr="00D7256C">
        <w:trPr>
          <w:gridAfter w:val="1"/>
          <w:wAfter w:w="3" w:type="dxa"/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cs="Tahoma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291E7A" w:rsidRPr="00291E7A" w:rsidRDefault="00291E7A" w:rsidP="00291E7A">
            <w:pPr>
              <w:tabs>
                <w:tab w:val="left" w:pos="216"/>
                <w:tab w:val="left" w:pos="432"/>
                <w:tab w:val="right" w:leader="dot" w:pos="3039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Net present value</w:t>
            </w:r>
            <w:r w:rsidRPr="00291E7A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78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276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96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947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250"/>
              <w:jc w:val="right"/>
              <w:rPr>
                <w:rFonts w:cs="Tahoma"/>
                <w:kern w:val="1"/>
                <w:sz w:val="22"/>
                <w:szCs w:val="22"/>
                <w:u w:val="double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</w:t>
            </w:r>
            <w:r w:rsidRPr="00291E7A">
              <w:rPr>
                <w:rFonts w:cs="Tahoma"/>
                <w:kern w:val="1"/>
                <w:sz w:val="22"/>
                <w:szCs w:val="22"/>
                <w:u w:val="double"/>
              </w:rPr>
              <w:t>(248,100</w:t>
            </w:r>
            <w:r w:rsidRPr="00291E7A">
              <w:rPr>
                <w:rFonts w:cs="Tahoma"/>
                <w:kern w:val="1"/>
                <w:sz w:val="22"/>
                <w:szCs w:val="22"/>
              </w:rPr>
              <w:t>)</w:t>
            </w:r>
          </w:p>
        </w:tc>
      </w:tr>
      <w:tr w:rsidR="00291E7A" w:rsidRPr="00291E7A" w:rsidTr="00D7256C">
        <w:trPr>
          <w:gridAfter w:val="1"/>
          <w:wAfter w:w="3" w:type="dxa"/>
          <w:tblCellSpacing w:w="7" w:type="dxa"/>
        </w:trPr>
        <w:tc>
          <w:tcPr>
            <w:tcW w:w="360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78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066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947" w:type="dxa"/>
            <w:vAlign w:val="bottom"/>
          </w:tcPr>
          <w:p w:rsidR="00291E7A" w:rsidRPr="00291E7A" w:rsidRDefault="00291E7A" w:rsidP="00291E7A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</w:tr>
    </w:tbl>
    <w:p w:rsidR="00291E7A" w:rsidRPr="00291E7A" w:rsidRDefault="00291E7A" w:rsidP="00291E7A">
      <w:pPr>
        <w:spacing w:line="120" w:lineRule="exact"/>
        <w:rPr>
          <w:rFonts w:cs="Tahoma"/>
          <w:kern w:val="1"/>
          <w:sz w:val="22"/>
          <w:szCs w:val="22"/>
        </w:rPr>
      </w:pPr>
    </w:p>
    <w:p w:rsidR="00291E7A" w:rsidRPr="00291E7A" w:rsidRDefault="00291E7A" w:rsidP="00291E7A">
      <w:pPr>
        <w:spacing w:line="320" w:lineRule="exact"/>
        <w:rPr>
          <w:rFonts w:cs="Tahoma"/>
          <w:kern w:val="1"/>
          <w:sz w:val="22"/>
          <w:szCs w:val="22"/>
        </w:rPr>
      </w:pPr>
      <w:r w:rsidRPr="00291E7A">
        <w:rPr>
          <w:rFonts w:cs="Tahoma"/>
          <w:kern w:val="1"/>
          <w:sz w:val="22"/>
          <w:szCs w:val="22"/>
        </w:rPr>
        <w:t>The annual value of the intangible benefits would have to be large enough to offset the $248,100 negative present value for the equipment. This annual value can be computed as follows:</w:t>
      </w:r>
    </w:p>
    <w:p w:rsidR="00291E7A" w:rsidRPr="00291E7A" w:rsidRDefault="00291E7A" w:rsidP="00291E7A">
      <w:pPr>
        <w:spacing w:before="120" w:after="120"/>
        <w:ind w:left="360"/>
        <w:rPr>
          <w:rFonts w:cs="Tahoma"/>
          <w:kern w:val="1"/>
          <w:sz w:val="22"/>
          <w:szCs w:val="22"/>
        </w:rPr>
      </w:pPr>
      <w:r w:rsidRPr="00291E7A">
        <w:rPr>
          <w:rFonts w:cs="Tahoma"/>
          <w:kern w:val="1"/>
          <w:position w:val="-32"/>
          <w:sz w:val="22"/>
          <w:szCs w:val="22"/>
        </w:rPr>
        <w:object w:dxaOrig="7500" w:dyaOrig="760">
          <v:shape id="_x0000_i1026" type="#_x0000_t75" style="width:342pt;height:33.9pt" o:ole="">
            <v:imagedata r:id="rId9" o:title=""/>
          </v:shape>
          <o:OLEObject Type="Embed" ProgID="Equation.DSMT4" ShapeID="_x0000_i1026" DrawAspect="Content" ObjectID="_1419999317" r:id="rId10"/>
        </w:object>
      </w:r>
    </w:p>
    <w:p w:rsidR="00291E7A" w:rsidRPr="00291E7A" w:rsidRDefault="00291E7A" w:rsidP="00291E7A">
      <w:pPr>
        <w:widowControl w:val="0"/>
        <w:spacing w:after="240" w:line="320" w:lineRule="atLeast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b/>
          <w:bCs/>
          <w:color w:val="000000"/>
          <w:kern w:val="1"/>
          <w:sz w:val="22"/>
          <w:szCs w:val="22"/>
        </w:rPr>
        <w:t>Exercise 13-4</w:t>
      </w:r>
      <w:r>
        <w:rPr>
          <w:rFonts w:cs="Tahoma"/>
          <w:color w:val="000000"/>
          <w:kern w:val="1"/>
          <w:sz w:val="22"/>
          <w:szCs w:val="22"/>
        </w:rPr>
        <w:t xml:space="preserve"> </w:t>
      </w:r>
    </w:p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color w:val="000000"/>
          <w:kern w:val="1"/>
          <w:sz w:val="22"/>
          <w:szCs w:val="22"/>
        </w:rPr>
        <w:tab/>
        <w:t>1.</w:t>
      </w:r>
      <w:r w:rsidRPr="00291E7A">
        <w:rPr>
          <w:rFonts w:cs="Tahoma"/>
          <w:color w:val="000000"/>
          <w:kern w:val="1"/>
          <w:sz w:val="22"/>
          <w:szCs w:val="22"/>
        </w:rPr>
        <w:tab/>
        <w:t>The project profitability index for each proposal is:</w:t>
      </w:r>
    </w:p>
    <w:p w:rsidR="00291E7A" w:rsidRPr="00291E7A" w:rsidRDefault="00291E7A" w:rsidP="00291E7A">
      <w:pPr>
        <w:spacing w:line="120" w:lineRule="exact"/>
        <w:rPr>
          <w:rFonts w:cs="Tahoma"/>
          <w:kern w:val="1"/>
          <w:sz w:val="22"/>
          <w:szCs w:val="22"/>
        </w:rPr>
      </w:pPr>
    </w:p>
    <w:tbl>
      <w:tblPr>
        <w:tblW w:w="0" w:type="auto"/>
        <w:tblCellSpacing w:w="7" w:type="dxa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"/>
        <w:gridCol w:w="1920"/>
        <w:gridCol w:w="1995"/>
        <w:gridCol w:w="1785"/>
      </w:tblGrid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 xml:space="preserve">Proposal </w:t>
            </w:r>
          </w:p>
        </w:tc>
        <w:tc>
          <w:tcPr>
            <w:tcW w:w="1906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Net Present Value</w:t>
            </w: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br/>
              <w:t>(a)</w:t>
            </w:r>
          </w:p>
        </w:tc>
        <w:tc>
          <w:tcPr>
            <w:tcW w:w="1981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 xml:space="preserve">Investment Required </w:t>
            </w: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br/>
              <w:t>(b)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 xml:space="preserve">Project </w:t>
            </w: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br/>
              <w:t xml:space="preserve">Profitability Index </w:t>
            </w: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br/>
              <w:t>(a) ÷ (b)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A</w:t>
            </w:r>
          </w:p>
        </w:tc>
        <w:tc>
          <w:tcPr>
            <w:tcW w:w="190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$34,000</w:t>
            </w:r>
          </w:p>
        </w:tc>
        <w:tc>
          <w:tcPr>
            <w:tcW w:w="198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$85,000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0.40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B</w:t>
            </w:r>
          </w:p>
        </w:tc>
        <w:tc>
          <w:tcPr>
            <w:tcW w:w="190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$50,000</w:t>
            </w:r>
          </w:p>
        </w:tc>
        <w:tc>
          <w:tcPr>
            <w:tcW w:w="198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$200,000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0.25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C</w:t>
            </w:r>
          </w:p>
        </w:tc>
        <w:tc>
          <w:tcPr>
            <w:tcW w:w="190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$45,000</w:t>
            </w:r>
          </w:p>
        </w:tc>
        <w:tc>
          <w:tcPr>
            <w:tcW w:w="198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$90,000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0.50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D</w:t>
            </w:r>
          </w:p>
        </w:tc>
        <w:tc>
          <w:tcPr>
            <w:tcW w:w="1906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$51,000</w:t>
            </w:r>
          </w:p>
        </w:tc>
        <w:tc>
          <w:tcPr>
            <w:tcW w:w="1981" w:type="dxa"/>
            <w:vAlign w:val="bottom"/>
          </w:tcPr>
          <w:p w:rsidR="00291E7A" w:rsidRPr="00291E7A" w:rsidRDefault="00291E7A" w:rsidP="00291E7A">
            <w:pPr>
              <w:spacing w:line="320" w:lineRule="exact"/>
              <w:ind w:right="458"/>
              <w:jc w:val="right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$170,000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0.30</w:t>
            </w:r>
          </w:p>
        </w:tc>
      </w:tr>
    </w:tbl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kern w:val="1"/>
          <w:sz w:val="22"/>
          <w:szCs w:val="22"/>
        </w:rPr>
      </w:pPr>
    </w:p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color w:val="000000"/>
          <w:kern w:val="1"/>
          <w:sz w:val="22"/>
          <w:szCs w:val="22"/>
        </w:rPr>
        <w:tab/>
        <w:t>2.</w:t>
      </w:r>
      <w:r w:rsidRPr="00291E7A">
        <w:rPr>
          <w:rFonts w:cs="Tahoma"/>
          <w:color w:val="000000"/>
          <w:kern w:val="1"/>
          <w:sz w:val="22"/>
          <w:szCs w:val="22"/>
        </w:rPr>
        <w:tab/>
        <w:t>The ranking is:</w:t>
      </w:r>
    </w:p>
    <w:p w:rsidR="00291E7A" w:rsidRPr="00291E7A" w:rsidRDefault="00291E7A" w:rsidP="00291E7A">
      <w:pPr>
        <w:spacing w:line="120" w:lineRule="exact"/>
        <w:rPr>
          <w:rFonts w:cs="Tahoma"/>
          <w:kern w:val="1"/>
          <w:sz w:val="22"/>
          <w:szCs w:val="22"/>
        </w:rPr>
      </w:pPr>
    </w:p>
    <w:tbl>
      <w:tblPr>
        <w:tblW w:w="0" w:type="auto"/>
        <w:tblCellSpacing w:w="7" w:type="dxa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"/>
        <w:gridCol w:w="1785"/>
      </w:tblGrid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 xml:space="preserve">Proposal 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ind w:left="72" w:right="72"/>
              <w:jc w:val="center"/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</w:pP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t>Project</w:t>
            </w:r>
            <w:r w:rsidRPr="00291E7A">
              <w:rPr>
                <w:rFonts w:cs="Tahoma"/>
                <w:bCs/>
                <w:i/>
                <w:iCs/>
                <w:kern w:val="1"/>
                <w:sz w:val="22"/>
                <w:szCs w:val="22"/>
              </w:rPr>
              <w:br/>
              <w:t>Profitability Index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C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0.50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A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0.40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D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0.30</w:t>
            </w:r>
          </w:p>
        </w:tc>
      </w:tr>
      <w:tr w:rsidR="00291E7A" w:rsidRPr="00291E7A" w:rsidTr="00D7256C">
        <w:trPr>
          <w:tblCellSpacing w:w="7" w:type="dxa"/>
        </w:trPr>
        <w:tc>
          <w:tcPr>
            <w:tcW w:w="1509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B</w:t>
            </w:r>
          </w:p>
        </w:tc>
        <w:tc>
          <w:tcPr>
            <w:tcW w:w="1764" w:type="dxa"/>
            <w:vAlign w:val="bottom"/>
          </w:tcPr>
          <w:p w:rsidR="00291E7A" w:rsidRPr="00291E7A" w:rsidRDefault="00291E7A" w:rsidP="00291E7A">
            <w:pPr>
              <w:spacing w:line="320" w:lineRule="exact"/>
              <w:jc w:val="center"/>
              <w:rPr>
                <w:rFonts w:cs="Tahoma"/>
                <w:kern w:val="1"/>
                <w:sz w:val="22"/>
                <w:szCs w:val="22"/>
              </w:rPr>
            </w:pPr>
            <w:r w:rsidRPr="00291E7A">
              <w:rPr>
                <w:rFonts w:cs="Tahoma"/>
                <w:kern w:val="1"/>
                <w:sz w:val="22"/>
                <w:szCs w:val="22"/>
              </w:rPr>
              <w:t>0.25</w:t>
            </w:r>
          </w:p>
        </w:tc>
      </w:tr>
    </w:tbl>
    <w:p w:rsidR="00291E7A" w:rsidRPr="00291E7A" w:rsidRDefault="00291E7A" w:rsidP="00291E7A">
      <w:pPr>
        <w:spacing w:line="120" w:lineRule="exact"/>
        <w:rPr>
          <w:rFonts w:cs="Tahoma"/>
          <w:kern w:val="1"/>
          <w:sz w:val="22"/>
          <w:szCs w:val="22"/>
        </w:rPr>
      </w:pPr>
    </w:p>
    <w:p w:rsidR="00291E7A" w:rsidRPr="00291E7A" w:rsidRDefault="00291E7A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kern w:val="1"/>
          <w:sz w:val="22"/>
          <w:szCs w:val="22"/>
        </w:rPr>
      </w:pPr>
      <w:r w:rsidRPr="00291E7A">
        <w:rPr>
          <w:rFonts w:cs="Tahoma"/>
          <w:color w:val="000000"/>
          <w:kern w:val="1"/>
          <w:sz w:val="22"/>
          <w:szCs w:val="22"/>
        </w:rPr>
        <w:tab/>
      </w:r>
      <w:r w:rsidRPr="00291E7A">
        <w:rPr>
          <w:rFonts w:cs="Tahoma"/>
          <w:color w:val="000000"/>
          <w:kern w:val="1"/>
          <w:sz w:val="22"/>
          <w:szCs w:val="22"/>
        </w:rPr>
        <w:tab/>
        <w:t>Note that proposals D and B have the highest net present values of the four proposals, but they rank at the bottom of the list in terms of the project profitability index.</w:t>
      </w:r>
    </w:p>
    <w:p w:rsidR="0068100E" w:rsidRPr="00291E7A" w:rsidRDefault="0068100E" w:rsidP="00291E7A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bCs/>
          <w:color w:val="000000"/>
          <w:sz w:val="22"/>
          <w:szCs w:val="22"/>
        </w:rPr>
      </w:pPr>
    </w:p>
    <w:sectPr w:rsidR="0068100E" w:rsidRPr="00291E7A" w:rsidSect="00AB3ABE">
      <w:headerReference w:type="default" r:id="rId11"/>
      <w:pgSz w:w="12240" w:h="15840" w:code="1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00E" w:rsidRDefault="0068100E" w:rsidP="00B267C0">
      <w:r>
        <w:separator/>
      </w:r>
    </w:p>
  </w:endnote>
  <w:endnote w:type="continuationSeparator" w:id="0">
    <w:p w:rsidR="0068100E" w:rsidRDefault="0068100E" w:rsidP="00B2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00E" w:rsidRDefault="0068100E" w:rsidP="00B267C0">
      <w:r>
        <w:separator/>
      </w:r>
    </w:p>
  </w:footnote>
  <w:footnote w:type="continuationSeparator" w:id="0">
    <w:p w:rsidR="0068100E" w:rsidRDefault="0068100E" w:rsidP="00B2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0E" w:rsidRDefault="0068100E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8852B19" wp14:editId="77D30E08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1057275" cy="190500"/>
              <wp:effectExtent l="0" t="0" r="0" b="0"/>
              <wp:wrapNone/>
              <wp:docPr id="476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7275" cy="190500"/>
                      </a:xfrm>
                      <a:prstGeom prst="rect">
                        <a:avLst/>
                      </a:prstGeom>
                      <a:noFill/>
                      <a:extLst/>
                    </wps:spPr>
                    <wps:txbx>
                      <w:txbxContent>
                        <w:p w:rsidR="0068100E" w:rsidRPr="00BD29C6" w:rsidRDefault="0068100E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BD29C6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instrText xml:space="preserve"> PAGE  \* Arabic  \* MERGEFORMAT </w:instrTex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8EA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  <w:r w:rsidRPr="00BD29C6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instrText xml:space="preserve"> NUMPAGES  \* Arabic  \* MERGEFORMAT </w:instrTex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8EA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32.05pt;margin-top:0;width:83.25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" o:allowincell="f" filled="f" stroked="f">
              <v:textbox inset=",0,,0">
                <w:txbxContent>
                  <w:p w:rsidR="0068100E" w:rsidRPr="00BD29C6" w:rsidRDefault="0068100E">
                    <w:pPr>
                      <w:rPr>
                        <w:sz w:val="18"/>
                        <w:szCs w:val="18"/>
                      </w:rPr>
                    </w:pPr>
                    <w:r w:rsidRPr="00BD29C6">
                      <w:rPr>
                        <w:sz w:val="18"/>
                        <w:szCs w:val="18"/>
                      </w:rPr>
                      <w:t xml:space="preserve">Page 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instrText xml:space="preserve"> PAGE  \* Arabic  \* MERGEFORMAT </w:instrTex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7208EA">
                      <w:rPr>
                        <w:b/>
                        <w:noProof/>
                        <w:sz w:val="18"/>
                        <w:szCs w:val="18"/>
                      </w:rPr>
                      <w:t>1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  <w:r w:rsidRPr="00BD29C6">
                      <w:rPr>
                        <w:sz w:val="18"/>
                        <w:szCs w:val="18"/>
                      </w:rPr>
                      <w:t xml:space="preserve"> of 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instrText xml:space="preserve"> NUMPAGES  \* Arabic  \* MERGEFORMAT </w:instrTex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7208EA">
                      <w:rPr>
                        <w:b/>
                        <w:noProof/>
                        <w:sz w:val="18"/>
                        <w:szCs w:val="18"/>
                      </w:rPr>
                      <w:t>2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6CE52B2" wp14:editId="6447785D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100E" w:rsidRPr="00267651" w:rsidRDefault="0068100E" w:rsidP="00267651">
                          <w:pPr>
                            <w:pStyle w:val="Header"/>
                            <w:rPr>
                              <w:rFonts w:cs="Tahom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Chapter 1</w:t>
                          </w:r>
                          <w:r w:rsidR="00291E7A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: </w:t>
                          </w:r>
                          <w:r w:rsidR="00291E7A">
                            <w:rPr>
                              <w:rFonts w:cs="Tahoma"/>
                              <w:b/>
                              <w:bCs/>
                              <w:sz w:val="20"/>
                              <w:szCs w:val="20"/>
                            </w:rPr>
                            <w:t>Capital Budgeting Decisions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" o:allowincell="f" filled="f" stroked="f">
              <v:textbox style="mso-fit-shape-to-text:t" inset=",0,,0">
                <w:txbxContent>
                  <w:p w:rsidR="0068100E" w:rsidRPr="00267651" w:rsidRDefault="0068100E" w:rsidP="00267651">
                    <w:pPr>
                      <w:pStyle w:val="Header"/>
                      <w:rPr>
                        <w:rFonts w:cs="Tahom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>Chapter 1</w:t>
                    </w:r>
                    <w:r w:rsidR="00291E7A">
                      <w:rPr>
                        <w:b/>
                        <w:color w:val="000000"/>
                        <w:sz w:val="18"/>
                        <w:szCs w:val="18"/>
                      </w:rPr>
                      <w:t>3</w:t>
                    </w: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: </w:t>
                    </w:r>
                    <w:r w:rsidR="00291E7A">
                      <w:rPr>
                        <w:rFonts w:cs="Tahoma"/>
                        <w:b/>
                        <w:bCs/>
                        <w:sz w:val="20"/>
                        <w:szCs w:val="20"/>
                      </w:rPr>
                      <w:t>Capital Budgeting Decisions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C0"/>
    <w:rsid w:val="00074B56"/>
    <w:rsid w:val="00077316"/>
    <w:rsid w:val="00081231"/>
    <w:rsid w:val="00082C15"/>
    <w:rsid w:val="000B0A41"/>
    <w:rsid w:val="000D6621"/>
    <w:rsid w:val="000E3501"/>
    <w:rsid w:val="0010598A"/>
    <w:rsid w:val="00151A30"/>
    <w:rsid w:val="00173572"/>
    <w:rsid w:val="00187B80"/>
    <w:rsid w:val="001B7936"/>
    <w:rsid w:val="001E396A"/>
    <w:rsid w:val="002060D6"/>
    <w:rsid w:val="002455FB"/>
    <w:rsid w:val="00247CA9"/>
    <w:rsid w:val="002549F9"/>
    <w:rsid w:val="00267651"/>
    <w:rsid w:val="00291E7A"/>
    <w:rsid w:val="002C7925"/>
    <w:rsid w:val="002D7D2C"/>
    <w:rsid w:val="002F77A9"/>
    <w:rsid w:val="00341538"/>
    <w:rsid w:val="003D2BE5"/>
    <w:rsid w:val="003F3EE8"/>
    <w:rsid w:val="00414AF2"/>
    <w:rsid w:val="004464B0"/>
    <w:rsid w:val="00493EB7"/>
    <w:rsid w:val="004E1A7B"/>
    <w:rsid w:val="00515715"/>
    <w:rsid w:val="00561506"/>
    <w:rsid w:val="005671AE"/>
    <w:rsid w:val="005A242E"/>
    <w:rsid w:val="005A7FDC"/>
    <w:rsid w:val="005E40EC"/>
    <w:rsid w:val="00603F4C"/>
    <w:rsid w:val="00611084"/>
    <w:rsid w:val="006516A6"/>
    <w:rsid w:val="00680931"/>
    <w:rsid w:val="0068100E"/>
    <w:rsid w:val="006B346B"/>
    <w:rsid w:val="007208EA"/>
    <w:rsid w:val="00747826"/>
    <w:rsid w:val="0078078D"/>
    <w:rsid w:val="007B1D06"/>
    <w:rsid w:val="007D136C"/>
    <w:rsid w:val="007D3E4C"/>
    <w:rsid w:val="008F5341"/>
    <w:rsid w:val="00904B62"/>
    <w:rsid w:val="00935A4B"/>
    <w:rsid w:val="009C1AF1"/>
    <w:rsid w:val="00A3556D"/>
    <w:rsid w:val="00A46C36"/>
    <w:rsid w:val="00AA0EE0"/>
    <w:rsid w:val="00AB3ABE"/>
    <w:rsid w:val="00AC50CE"/>
    <w:rsid w:val="00B267C0"/>
    <w:rsid w:val="00B33114"/>
    <w:rsid w:val="00B55B8B"/>
    <w:rsid w:val="00B95A45"/>
    <w:rsid w:val="00BD29C6"/>
    <w:rsid w:val="00BE3CF9"/>
    <w:rsid w:val="00C05AF1"/>
    <w:rsid w:val="00C12AF0"/>
    <w:rsid w:val="00C51C5F"/>
    <w:rsid w:val="00CC7397"/>
    <w:rsid w:val="00CF7027"/>
    <w:rsid w:val="00D03445"/>
    <w:rsid w:val="00D0565D"/>
    <w:rsid w:val="00D17EED"/>
    <w:rsid w:val="00D363A5"/>
    <w:rsid w:val="00D76B3B"/>
    <w:rsid w:val="00D82A49"/>
    <w:rsid w:val="00D872EC"/>
    <w:rsid w:val="00DD112F"/>
    <w:rsid w:val="00DE5A29"/>
    <w:rsid w:val="00E04847"/>
    <w:rsid w:val="00E14F89"/>
    <w:rsid w:val="00E22F1C"/>
    <w:rsid w:val="00E54BCE"/>
    <w:rsid w:val="00E83FEB"/>
    <w:rsid w:val="00EA207A"/>
    <w:rsid w:val="00EE5AA3"/>
    <w:rsid w:val="00F13283"/>
    <w:rsid w:val="00F95006"/>
    <w:rsid w:val="00FB49C0"/>
    <w:rsid w:val="00FC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rhL">
    <w:name w:val="rhL"/>
    <w:rsid w:val="00173572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173572"/>
  </w:style>
  <w:style w:type="paragraph" w:styleId="BalloonText">
    <w:name w:val="Balloon Text"/>
    <w:basedOn w:val="Normal"/>
    <w:link w:val="BalloonTextChar"/>
    <w:uiPriority w:val="99"/>
    <w:semiHidden/>
    <w:unhideWhenUsed/>
    <w:rsid w:val="00BE3CF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CF9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rhL">
    <w:name w:val="rhL"/>
    <w:rsid w:val="00173572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173572"/>
  </w:style>
  <w:style w:type="paragraph" w:styleId="BalloonText">
    <w:name w:val="Balloon Text"/>
    <w:basedOn w:val="Normal"/>
    <w:link w:val="BalloonTextChar"/>
    <w:uiPriority w:val="99"/>
    <w:semiHidden/>
    <w:unhideWhenUsed/>
    <w:rsid w:val="00BE3CF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CF9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Nontawan</dc:creator>
  <cp:lastModifiedBy>TBS</cp:lastModifiedBy>
  <cp:revision>4</cp:revision>
  <cp:lastPrinted>2013-01-18T00:26:00Z</cp:lastPrinted>
  <dcterms:created xsi:type="dcterms:W3CDTF">2012-02-21T17:45:00Z</dcterms:created>
  <dcterms:modified xsi:type="dcterms:W3CDTF">2013-01-18T00:29:00Z</dcterms:modified>
</cp:coreProperties>
</file>