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6BF" w:rsidRPr="00CC76BF" w:rsidRDefault="00CC76BF" w:rsidP="00CC76BF">
      <w:pPr>
        <w:pStyle w:val="NormalWeb"/>
        <w:spacing w:before="0" w:beforeAutospacing="0" w:after="0" w:afterAutospacing="0"/>
        <w:jc w:val="center"/>
        <w:rPr>
          <w:rFonts w:asciiTheme="majorBidi" w:hAnsiTheme="majorBidi" w:cstheme="majorBidi"/>
          <w:color w:val="000000"/>
          <w:sz w:val="32"/>
          <w:szCs w:val="32"/>
          <w:u w:val="single"/>
        </w:rPr>
      </w:pPr>
      <w:r w:rsidRPr="00CC76BF">
        <w:rPr>
          <w:rFonts w:asciiTheme="majorBidi" w:hAnsiTheme="majorBidi" w:cstheme="majorBidi"/>
          <w:color w:val="000000"/>
          <w:sz w:val="32"/>
          <w:szCs w:val="32"/>
          <w:u w:val="single"/>
        </w:rPr>
        <w:t>FN281 HW</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rPr>
        <w:t>1. Why do corporations sell bonds?</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rPr>
        <w:t>    The corporations sell bonds to raise money and finance operations. Corporations can also borrow money from bank but it will cost more when paying back interest rate to bank than selling the bond. Corporations can also sell bonds to refinance existing debt.</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rPr>
        <w:t>2.</w:t>
      </w:r>
      <w:r w:rsidRPr="00CC76BF">
        <w:rPr>
          <w:rStyle w:val="apple-converted-space"/>
          <w:rFonts w:asciiTheme="majorBidi" w:hAnsiTheme="majorBidi" w:cstheme="majorBidi"/>
          <w:color w:val="000000"/>
          <w:sz w:val="32"/>
          <w:szCs w:val="32"/>
        </w:rPr>
        <w:t> </w:t>
      </w:r>
      <w:r w:rsidRPr="00CC76BF">
        <w:rPr>
          <w:rFonts w:asciiTheme="majorBidi" w:hAnsiTheme="majorBidi" w:cstheme="majorBidi"/>
          <w:color w:val="000000"/>
          <w:sz w:val="32"/>
          <w:szCs w:val="32"/>
        </w:rPr>
        <w:t>What are the differences among a debenture, a mortgage bond, and a subordinated debenture?</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rPr>
        <w:t>    A debenture is a type of debt instrument that is not secured by physical assets or collateral. Debentures are backed only by the general creditworthiness and reputation of the issuer. Both corporations and governments frequently issue this type of bond in order to secure capital. Like other types of bonds, debentures are documented in an </w:t>
      </w:r>
      <w:hyperlink r:id="rId6" w:tgtFrame="_blank" w:history="1">
        <w:r w:rsidRPr="00CC76BF">
          <w:rPr>
            <w:rStyle w:val="Hyperlink"/>
            <w:rFonts w:asciiTheme="majorBidi" w:hAnsiTheme="majorBidi" w:cstheme="majorBidi"/>
            <w:color w:val="000000"/>
            <w:sz w:val="32"/>
            <w:szCs w:val="32"/>
            <w:u w:val="none"/>
          </w:rPr>
          <w:t>indenture</w:t>
        </w:r>
      </w:hyperlink>
      <w:r w:rsidRPr="00CC76BF">
        <w:rPr>
          <w:rFonts w:asciiTheme="majorBidi" w:hAnsiTheme="majorBidi" w:cstheme="majorBidi"/>
          <w:color w:val="000000"/>
          <w:sz w:val="32"/>
          <w:szCs w:val="32"/>
        </w:rPr>
        <w:t>.</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rPr>
        <w:t>    A mortgage bond is a bond secured by a mortgage on one or more assets. These bonds are typically backed by real estate holdings and real property such as equipment. In a default situation, mortgage bondholders have a claim to the underlying property and could sell it off to compensate for the default. </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rPr>
        <w:t>    </w:t>
      </w:r>
      <w:r w:rsidRPr="00CC76BF">
        <w:rPr>
          <w:rFonts w:asciiTheme="majorBidi" w:hAnsiTheme="majorBidi" w:cstheme="majorBidi"/>
          <w:color w:val="252324"/>
          <w:sz w:val="32"/>
          <w:szCs w:val="32"/>
        </w:rPr>
        <w:t>Subordinated debenture  is debt which ranks after other debts should a company fall into receivership or be closed. Such debt is referred to as subordinate, because the debt providers (the lenders) have subordinate status in relationship to the normal debt.</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252324"/>
          <w:sz w:val="32"/>
          <w:szCs w:val="32"/>
        </w:rPr>
        <w:t>    </w:t>
      </w:r>
      <w:r w:rsidRPr="00CC76BF">
        <w:rPr>
          <w:rFonts w:asciiTheme="majorBidi" w:hAnsiTheme="majorBidi" w:cstheme="majorBidi"/>
          <w:color w:val="222222"/>
          <w:sz w:val="32"/>
          <w:szCs w:val="32"/>
          <w:shd w:val="clear" w:color="auto" w:fill="FAFAFA"/>
        </w:rPr>
        <w:t>The main difference between mortgage bonds and debenture bonds is collateral. The mortgage bond is collateralized by something that has value and can be sold to pay the bondholders if the company defaults on payment of that bond or goes through bankruptcy. Debentures have no such collateralization. They are unsecured debt, backed only by the full faith and credit of the issuing company. If investors receive only the issuer's promise to pay, they typically require a higher interest rate than they would require to buy a collateral-backed bond.</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222222"/>
          <w:sz w:val="32"/>
          <w:szCs w:val="32"/>
        </w:rPr>
        <w:t>3. Why would an investor purchase a convertible bond or a high-yield bond?</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222222"/>
          <w:sz w:val="32"/>
          <w:szCs w:val="32"/>
        </w:rPr>
        <w:t>   </w:t>
      </w:r>
      <w:r w:rsidRPr="00CC76BF">
        <w:rPr>
          <w:rFonts w:asciiTheme="majorBidi" w:hAnsiTheme="majorBidi" w:cstheme="majorBidi"/>
          <w:color w:val="444B51"/>
          <w:sz w:val="32"/>
          <w:szCs w:val="32"/>
        </w:rPr>
        <w:t>A convertible bond is a bond that can be converted into a pre-determined number of shares of stock. This would happen during the life of the bond. The number of shares it can be converted to is determined by the issuer of the bond, the corporation. Convertible bonds are an attractive investment. They offer the for potential market appreciation like an equity. They also offer the conservative nature and safety of a bond. A convertible bond pays you interest and gives you the option to convert it to shares of stock.</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444B51"/>
          <w:sz w:val="32"/>
          <w:szCs w:val="32"/>
        </w:rPr>
        <w:lastRenderedPageBreak/>
        <w:t>    An investor purchase a high-yield bond because of higher rate of income, value of the bond itself may appreciate, takes precedence over stock during liquidation, income can be more dependable than stocks and high-yield bonds in a recession-resistant company may be underrated.</w:t>
      </w:r>
      <w:r w:rsidRPr="00CC76BF">
        <w:rPr>
          <w:rStyle w:val="apple-converted-space"/>
          <w:rFonts w:asciiTheme="majorBidi" w:hAnsiTheme="majorBidi" w:cstheme="majorBidi"/>
          <w:color w:val="444B51"/>
          <w:sz w:val="32"/>
          <w:szCs w:val="32"/>
        </w:rPr>
        <w:t> </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444B51"/>
          <w:sz w:val="32"/>
          <w:szCs w:val="32"/>
        </w:rPr>
        <w:t>4. Describe three reasons a corporation would sell convertible bonds.</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444B51"/>
          <w:sz w:val="32"/>
          <w:szCs w:val="32"/>
        </w:rPr>
        <w:t>      1. </w:t>
      </w:r>
      <w:r w:rsidRPr="00CC76BF">
        <w:rPr>
          <w:rFonts w:asciiTheme="majorBidi" w:hAnsiTheme="majorBidi" w:cstheme="majorBidi"/>
          <w:color w:val="252525"/>
          <w:sz w:val="32"/>
          <w:szCs w:val="32"/>
        </w:rPr>
        <w:t>Tax advantages. The market for convertibles is primarily pitched towards the non taxpaying investor. The price will substantially reflect (1) the value of the underlying shares, (2) the discounted gross income advantage of the convertible over the underlying shares, plus (3) some figure for the embedded optionality of the bond. The tax advantage is greatest with mandatory convertibles. Effectively a high tax-paying shareholder can benefit from the company securitising gross future income on the convertible, income which it can offset against taxable profits.</w:t>
      </w:r>
      <w:r w:rsidRPr="00CC76BF">
        <w:rPr>
          <w:rFonts w:asciiTheme="majorBidi" w:hAnsiTheme="majorBidi" w:cstheme="majorBidi"/>
          <w:color w:val="444B51"/>
          <w:sz w:val="32"/>
          <w:szCs w:val="32"/>
        </w:rPr>
        <w:t> </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444B51"/>
          <w:sz w:val="32"/>
          <w:szCs w:val="32"/>
        </w:rPr>
        <w:t>    2. </w:t>
      </w:r>
      <w:r w:rsidRPr="00CC76BF">
        <w:rPr>
          <w:rFonts w:asciiTheme="majorBidi" w:hAnsiTheme="majorBidi" w:cstheme="majorBidi"/>
          <w:color w:val="252525"/>
          <w:sz w:val="32"/>
          <w:szCs w:val="32"/>
        </w:rPr>
        <w:t>Locking into low fixed–rate long-term borrowing. For a finance director watching the trend in interest rates, there is an attraction in trying to catch the lowest point in the cycle to fund with fixed rate debt, or swap variable rate bank borrowings for fixed rate convertible borrowing. Even if the fixed market turns, it may still be possible for a company to borrow via a convertible carrying a lower coupon than ever would have been possible with straight debt funding. </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252525"/>
          <w:sz w:val="32"/>
          <w:szCs w:val="32"/>
        </w:rPr>
        <w:t>    3. Increasing the total level of debt gearing. Convertibles can be used to increase the total amount of debt a company has in issue. The market tends to expect that a company will not increase straight debt beyond certain limits, without it negatively impacting upon the credit rating and the cost of debt. Convertibles can provide additional funding when the straight debt “window” may not be open. Subordination of convertible debt is often regarded as an acceptable risk by investors if the conversion rights are attractive by way of compensation.</w:t>
      </w:r>
      <w:r w:rsidRPr="00CC76BF">
        <w:rPr>
          <w:rFonts w:asciiTheme="majorBidi" w:hAnsiTheme="majorBidi" w:cstheme="majorBidi"/>
          <w:color w:val="252525"/>
          <w:sz w:val="32"/>
          <w:szCs w:val="32"/>
        </w:rPr>
        <w:br/>
      </w:r>
      <w:r w:rsidRPr="00CC76BF">
        <w:rPr>
          <w:rFonts w:asciiTheme="majorBidi" w:hAnsiTheme="majorBidi" w:cstheme="majorBidi"/>
          <w:color w:val="252525"/>
          <w:sz w:val="32"/>
          <w:szCs w:val="32"/>
        </w:rPr>
        <w:br/>
      </w:r>
      <w:r w:rsidRPr="00CC76BF">
        <w:rPr>
          <w:rFonts w:asciiTheme="majorBidi" w:hAnsiTheme="majorBidi" w:cstheme="majorBidi"/>
          <w:color w:val="444B51"/>
          <w:sz w:val="32"/>
          <w:szCs w:val="32"/>
          <w:shd w:val="clear" w:color="auto" w:fill="FFFFFF"/>
        </w:rPr>
        <w:t>5. Explain the methods that corporations can use to repay a bond issue.</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shd w:val="clear" w:color="auto" w:fill="FFFFFF"/>
        </w:rPr>
        <w:t>    A callable bond is a bond that can be redeemed by the issue prior to its maturity. Usually a premium is paid to the bond owner when the bond is called.</w:t>
      </w:r>
    </w:p>
    <w:p w:rsidR="00CC76BF" w:rsidRPr="00CC76BF" w:rsidRDefault="00CC76BF" w:rsidP="00CC76BF">
      <w:pPr>
        <w:pStyle w:val="NormalWeb"/>
        <w:spacing w:before="0" w:beforeAutospacing="0" w:after="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shd w:val="clear" w:color="auto" w:fill="FFFFFF"/>
        </w:rPr>
        <w:t>    A sinking fund is a means of repaying funds that were borrowed through a bond issue. The issuer makes periodic payments to a trustee who retires part of the issue by purchasing the bonds in the open market. A sinking fund is a fund in which the company makes annual or semi-annual deposits over the life of the bond. The money is used to redeem the bonds at maturity. Sinking fund is another way for the company to save up the money to repay the bonds. This makes the bond safer, and they generally have a lower interest rate than bonds without a sinking fund.</w:t>
      </w:r>
    </w:p>
    <w:p w:rsidR="00CC76BF" w:rsidRPr="00CC76BF" w:rsidRDefault="00CC76BF" w:rsidP="00CC76BF">
      <w:pPr>
        <w:pStyle w:val="NormalWeb"/>
        <w:spacing w:before="0" w:beforeAutospacing="0" w:after="240" w:afterAutospacing="0"/>
        <w:rPr>
          <w:rFonts w:asciiTheme="majorBidi" w:hAnsiTheme="majorBidi" w:cstheme="majorBidi"/>
          <w:color w:val="000000"/>
          <w:sz w:val="32"/>
          <w:szCs w:val="32"/>
        </w:rPr>
      </w:pPr>
      <w:r w:rsidRPr="00CC76BF">
        <w:rPr>
          <w:rFonts w:asciiTheme="majorBidi" w:hAnsiTheme="majorBidi" w:cstheme="majorBidi"/>
          <w:color w:val="000000"/>
          <w:sz w:val="32"/>
          <w:szCs w:val="32"/>
          <w:shd w:val="clear" w:color="auto" w:fill="FFFFFF"/>
        </w:rPr>
        <w:lastRenderedPageBreak/>
        <w:t>    Call feature is provision in an </w:t>
      </w:r>
      <w:hyperlink r:id="rId7" w:tgtFrame="_blank" w:history="1">
        <w:r w:rsidRPr="00CC76BF">
          <w:rPr>
            <w:rStyle w:val="Hyperlink"/>
            <w:rFonts w:asciiTheme="majorBidi" w:hAnsiTheme="majorBidi" w:cstheme="majorBidi"/>
            <w:color w:val="000000"/>
            <w:sz w:val="32"/>
            <w:szCs w:val="32"/>
            <w:u w:val="none"/>
            <w:shd w:val="clear" w:color="auto" w:fill="FFFFFF"/>
          </w:rPr>
          <w:t>indenture</w:t>
        </w:r>
      </w:hyperlink>
      <w:r w:rsidRPr="00CC76BF">
        <w:rPr>
          <w:rFonts w:asciiTheme="majorBidi" w:hAnsiTheme="majorBidi" w:cstheme="majorBidi"/>
          <w:color w:val="000000"/>
          <w:sz w:val="32"/>
          <w:szCs w:val="32"/>
          <w:shd w:val="clear" w:color="auto" w:fill="FFFFFF"/>
        </w:rPr>
        <w:t> that makes a </w:t>
      </w:r>
      <w:hyperlink r:id="rId8" w:tgtFrame="_blank" w:history="1">
        <w:r w:rsidRPr="00CC76BF">
          <w:rPr>
            <w:rStyle w:val="Hyperlink"/>
            <w:rFonts w:asciiTheme="majorBidi" w:hAnsiTheme="majorBidi" w:cstheme="majorBidi"/>
            <w:color w:val="000000"/>
            <w:sz w:val="32"/>
            <w:szCs w:val="32"/>
            <w:u w:val="none"/>
            <w:shd w:val="clear" w:color="auto" w:fill="FFFFFF"/>
          </w:rPr>
          <w:t>bond</w:t>
        </w:r>
      </w:hyperlink>
      <w:r w:rsidRPr="00CC76BF">
        <w:rPr>
          <w:rFonts w:asciiTheme="majorBidi" w:hAnsiTheme="majorBidi" w:cstheme="majorBidi"/>
          <w:color w:val="000000"/>
          <w:sz w:val="32"/>
          <w:szCs w:val="32"/>
          <w:shd w:val="clear" w:color="auto" w:fill="FFFFFF"/>
        </w:rPr>
        <w:t> </w:t>
      </w:r>
      <w:hyperlink r:id="rId9" w:tgtFrame="_blank" w:history="1">
        <w:r w:rsidRPr="00CC76BF">
          <w:rPr>
            <w:rStyle w:val="Hyperlink"/>
            <w:rFonts w:asciiTheme="majorBidi" w:hAnsiTheme="majorBidi" w:cstheme="majorBidi"/>
            <w:color w:val="000000"/>
            <w:sz w:val="32"/>
            <w:szCs w:val="32"/>
            <w:u w:val="none"/>
            <w:shd w:val="clear" w:color="auto" w:fill="FFFFFF"/>
          </w:rPr>
          <w:t>callable</w:t>
        </w:r>
      </w:hyperlink>
      <w:r w:rsidRPr="00CC76BF">
        <w:rPr>
          <w:rFonts w:asciiTheme="majorBidi" w:hAnsiTheme="majorBidi" w:cstheme="majorBidi"/>
          <w:color w:val="000000"/>
          <w:sz w:val="32"/>
          <w:szCs w:val="32"/>
          <w:shd w:val="clear" w:color="auto" w:fill="FFFFFF"/>
        </w:rPr>
        <w:t>. A callable bond allows the </w:t>
      </w:r>
      <w:hyperlink r:id="rId10" w:tgtFrame="_blank" w:history="1">
        <w:r w:rsidRPr="00CC76BF">
          <w:rPr>
            <w:rStyle w:val="Hyperlink"/>
            <w:rFonts w:asciiTheme="majorBidi" w:hAnsiTheme="majorBidi" w:cstheme="majorBidi"/>
            <w:color w:val="000000"/>
            <w:sz w:val="32"/>
            <w:szCs w:val="32"/>
            <w:u w:val="none"/>
            <w:shd w:val="clear" w:color="auto" w:fill="FFFFFF"/>
          </w:rPr>
          <w:t>issuer</w:t>
        </w:r>
      </w:hyperlink>
      <w:r w:rsidRPr="00CC76BF">
        <w:rPr>
          <w:rFonts w:asciiTheme="majorBidi" w:hAnsiTheme="majorBidi" w:cstheme="majorBidi"/>
          <w:color w:val="000000"/>
          <w:sz w:val="32"/>
          <w:szCs w:val="32"/>
          <w:shd w:val="clear" w:color="auto" w:fill="FFFFFF"/>
        </w:rPr>
        <w:t> to </w:t>
      </w:r>
      <w:hyperlink r:id="rId11" w:tgtFrame="_blank" w:history="1">
        <w:r w:rsidRPr="00CC76BF">
          <w:rPr>
            <w:rStyle w:val="Hyperlink"/>
            <w:rFonts w:asciiTheme="majorBidi" w:hAnsiTheme="majorBidi" w:cstheme="majorBidi"/>
            <w:color w:val="000000"/>
            <w:sz w:val="32"/>
            <w:szCs w:val="32"/>
            <w:u w:val="none"/>
            <w:shd w:val="clear" w:color="auto" w:fill="FFFFFF"/>
          </w:rPr>
          <w:t>redeem</w:t>
        </w:r>
      </w:hyperlink>
      <w:r w:rsidRPr="00CC76BF">
        <w:rPr>
          <w:rFonts w:asciiTheme="majorBidi" w:hAnsiTheme="majorBidi" w:cstheme="majorBidi"/>
          <w:color w:val="000000"/>
          <w:sz w:val="32"/>
          <w:szCs w:val="32"/>
          <w:shd w:val="clear" w:color="auto" w:fill="FFFFFF"/>
        </w:rPr>
        <w:t> the bond before </w:t>
      </w:r>
      <w:hyperlink r:id="rId12" w:tgtFrame="_blank" w:history="1">
        <w:r w:rsidRPr="00CC76BF">
          <w:rPr>
            <w:rStyle w:val="Hyperlink"/>
            <w:rFonts w:asciiTheme="majorBidi" w:hAnsiTheme="majorBidi" w:cstheme="majorBidi"/>
            <w:color w:val="000000"/>
            <w:sz w:val="32"/>
            <w:szCs w:val="32"/>
            <w:u w:val="none"/>
            <w:shd w:val="clear" w:color="auto" w:fill="FFFFFF"/>
          </w:rPr>
          <w:t>maturity</w:t>
        </w:r>
      </w:hyperlink>
      <w:r w:rsidRPr="00CC76BF">
        <w:rPr>
          <w:rFonts w:asciiTheme="majorBidi" w:hAnsiTheme="majorBidi" w:cstheme="majorBidi"/>
          <w:color w:val="000000"/>
          <w:sz w:val="32"/>
          <w:szCs w:val="32"/>
          <w:shd w:val="clear" w:color="auto" w:fill="FFFFFF"/>
        </w:rPr>
        <w:t>. When the bond is called, the </w:t>
      </w:r>
      <w:hyperlink r:id="rId13" w:tgtFrame="_blank" w:history="1">
        <w:r w:rsidRPr="00CC76BF">
          <w:rPr>
            <w:rStyle w:val="Hyperlink"/>
            <w:rFonts w:asciiTheme="majorBidi" w:hAnsiTheme="majorBidi" w:cstheme="majorBidi"/>
            <w:color w:val="000000"/>
            <w:sz w:val="32"/>
            <w:szCs w:val="32"/>
            <w:u w:val="none"/>
            <w:shd w:val="clear" w:color="auto" w:fill="FFFFFF"/>
          </w:rPr>
          <w:t>bondholder</w:t>
        </w:r>
      </w:hyperlink>
      <w:r w:rsidRPr="00CC76BF">
        <w:rPr>
          <w:rFonts w:asciiTheme="majorBidi" w:hAnsiTheme="majorBidi" w:cstheme="majorBidi"/>
          <w:color w:val="000000"/>
          <w:sz w:val="32"/>
          <w:szCs w:val="32"/>
          <w:shd w:val="clear" w:color="auto" w:fill="FFFFFF"/>
        </w:rPr>
        <w:t> receives the </w:t>
      </w:r>
      <w:hyperlink r:id="rId14" w:tgtFrame="_blank" w:history="1">
        <w:r w:rsidRPr="00CC76BF">
          <w:rPr>
            <w:rStyle w:val="Hyperlink"/>
            <w:rFonts w:asciiTheme="majorBidi" w:hAnsiTheme="majorBidi" w:cstheme="majorBidi"/>
            <w:color w:val="000000"/>
            <w:sz w:val="32"/>
            <w:szCs w:val="32"/>
            <w:u w:val="none"/>
            <w:shd w:val="clear" w:color="auto" w:fill="FFFFFF"/>
          </w:rPr>
          <w:t>par value</w:t>
        </w:r>
      </w:hyperlink>
      <w:r w:rsidRPr="00CC76BF">
        <w:rPr>
          <w:rFonts w:asciiTheme="majorBidi" w:hAnsiTheme="majorBidi" w:cstheme="majorBidi"/>
          <w:color w:val="000000"/>
          <w:sz w:val="32"/>
          <w:szCs w:val="32"/>
          <w:shd w:val="clear" w:color="auto" w:fill="FFFFFF"/>
        </w:rPr>
        <w:t> (or sometimes more) and does not receive any more </w:t>
      </w:r>
      <w:hyperlink r:id="rId15" w:tgtFrame="_blank" w:history="1">
        <w:r w:rsidRPr="00CC76BF">
          <w:rPr>
            <w:rStyle w:val="Hyperlink"/>
            <w:rFonts w:asciiTheme="majorBidi" w:hAnsiTheme="majorBidi" w:cstheme="majorBidi"/>
            <w:color w:val="000000"/>
            <w:sz w:val="32"/>
            <w:szCs w:val="32"/>
            <w:u w:val="none"/>
            <w:shd w:val="clear" w:color="auto" w:fill="FFFFFF"/>
          </w:rPr>
          <w:t>coupons</w:t>
        </w:r>
      </w:hyperlink>
      <w:r w:rsidRPr="00CC76BF">
        <w:rPr>
          <w:rFonts w:asciiTheme="majorBidi" w:hAnsiTheme="majorBidi" w:cstheme="majorBidi"/>
          <w:color w:val="000000"/>
          <w:sz w:val="32"/>
          <w:szCs w:val="32"/>
          <w:shd w:val="clear" w:color="auto" w:fill="FFFFFF"/>
        </w:rPr>
        <w:t>. Callable bonds are issued to allow the issuers to </w:t>
      </w:r>
      <w:hyperlink r:id="rId16" w:tgtFrame="_blank" w:history="1">
        <w:r w:rsidRPr="00CC76BF">
          <w:rPr>
            <w:rStyle w:val="Hyperlink"/>
            <w:rFonts w:asciiTheme="majorBidi" w:hAnsiTheme="majorBidi" w:cstheme="majorBidi"/>
            <w:color w:val="000000"/>
            <w:sz w:val="32"/>
            <w:szCs w:val="32"/>
            <w:u w:val="none"/>
            <w:shd w:val="clear" w:color="auto" w:fill="FFFFFF"/>
          </w:rPr>
          <w:t>hedge</w:t>
        </w:r>
      </w:hyperlink>
      <w:r w:rsidRPr="00CC76BF">
        <w:rPr>
          <w:rFonts w:asciiTheme="majorBidi" w:hAnsiTheme="majorBidi" w:cstheme="majorBidi"/>
          <w:color w:val="000000"/>
          <w:sz w:val="32"/>
          <w:szCs w:val="32"/>
          <w:shd w:val="clear" w:color="auto" w:fill="FFFFFF"/>
        </w:rPr>
        <w:t> against </w:t>
      </w:r>
      <w:hyperlink r:id="rId17" w:tgtFrame="_blank" w:history="1">
        <w:r w:rsidRPr="00CC76BF">
          <w:rPr>
            <w:rStyle w:val="Hyperlink"/>
            <w:rFonts w:asciiTheme="majorBidi" w:hAnsiTheme="majorBidi" w:cstheme="majorBidi"/>
            <w:color w:val="000000"/>
            <w:sz w:val="32"/>
            <w:szCs w:val="32"/>
            <w:u w:val="none"/>
            <w:shd w:val="clear" w:color="auto" w:fill="FFFFFF"/>
          </w:rPr>
          <w:t>interest rate risk</w:t>
        </w:r>
      </w:hyperlink>
      <w:r w:rsidRPr="00CC76BF">
        <w:rPr>
          <w:rFonts w:asciiTheme="majorBidi" w:hAnsiTheme="majorBidi" w:cstheme="majorBidi"/>
          <w:color w:val="000000"/>
          <w:sz w:val="32"/>
          <w:szCs w:val="32"/>
          <w:shd w:val="clear" w:color="auto" w:fill="FFFFFF"/>
        </w:rPr>
        <w:t>. That is, if interest rates fall significantly, the issuers can call the bond and issue a new bond at a lower interest rate, reducing their liabilities. However, to protect the bondholder, most callable bonds also include </w:t>
      </w:r>
      <w:hyperlink r:id="rId18" w:tgtFrame="_blank" w:history="1">
        <w:r w:rsidRPr="00CC76BF">
          <w:rPr>
            <w:rStyle w:val="Hyperlink"/>
            <w:rFonts w:asciiTheme="majorBidi" w:hAnsiTheme="majorBidi" w:cstheme="majorBidi"/>
            <w:color w:val="000000"/>
            <w:sz w:val="32"/>
            <w:szCs w:val="32"/>
            <w:u w:val="none"/>
            <w:shd w:val="clear" w:color="auto" w:fill="FFFFFF"/>
          </w:rPr>
          <w:t>call protection</w:t>
        </w:r>
      </w:hyperlink>
      <w:r w:rsidRPr="00CC76BF">
        <w:rPr>
          <w:rFonts w:asciiTheme="majorBidi" w:hAnsiTheme="majorBidi" w:cstheme="majorBidi"/>
          <w:color w:val="000000"/>
          <w:sz w:val="32"/>
          <w:szCs w:val="32"/>
          <w:shd w:val="clear" w:color="auto" w:fill="FFFFFF"/>
        </w:rPr>
        <w:t>, which prevents the bonds from being called for a certain period of time, and thereby guarantees the current </w:t>
      </w:r>
      <w:hyperlink r:id="rId19" w:tgtFrame="_blank" w:history="1">
        <w:r w:rsidRPr="00CC76BF">
          <w:rPr>
            <w:rStyle w:val="Hyperlink"/>
            <w:rFonts w:asciiTheme="majorBidi" w:hAnsiTheme="majorBidi" w:cstheme="majorBidi"/>
            <w:color w:val="000000"/>
            <w:sz w:val="32"/>
            <w:szCs w:val="32"/>
            <w:u w:val="none"/>
            <w:shd w:val="clear" w:color="auto" w:fill="FFFFFF"/>
          </w:rPr>
          <w:t>interest rate</w:t>
        </w:r>
      </w:hyperlink>
      <w:r w:rsidRPr="00CC76BF">
        <w:rPr>
          <w:rFonts w:asciiTheme="majorBidi" w:hAnsiTheme="majorBidi" w:cstheme="majorBidi"/>
          <w:color w:val="000000"/>
          <w:sz w:val="32"/>
          <w:szCs w:val="32"/>
          <w:shd w:val="clear" w:color="auto" w:fill="FFFFFF"/>
        </w:rPr>
        <w:t> for that time.</w:t>
      </w:r>
    </w:p>
    <w:p w:rsidR="00B2041A" w:rsidRDefault="00B2041A"/>
    <w:sectPr w:rsidR="00B2041A" w:rsidSect="00B2041A">
      <w:head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E4F" w:rsidRDefault="00B14E4F" w:rsidP="00CC76BF">
      <w:pPr>
        <w:spacing w:after="0" w:line="240" w:lineRule="auto"/>
      </w:pPr>
      <w:r>
        <w:separator/>
      </w:r>
    </w:p>
  </w:endnote>
  <w:endnote w:type="continuationSeparator" w:id="0">
    <w:p w:rsidR="00B14E4F" w:rsidRDefault="00B14E4F" w:rsidP="00CC76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E4F" w:rsidRDefault="00B14E4F" w:rsidP="00CC76BF">
      <w:pPr>
        <w:spacing w:after="0" w:line="240" w:lineRule="auto"/>
      </w:pPr>
      <w:r>
        <w:separator/>
      </w:r>
    </w:p>
  </w:footnote>
  <w:footnote w:type="continuationSeparator" w:id="0">
    <w:p w:rsidR="00B14E4F" w:rsidRDefault="00B14E4F" w:rsidP="00CC76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6BF" w:rsidRDefault="00CC76BF" w:rsidP="00CC76BF">
    <w:pPr>
      <w:pStyle w:val="NormalWeb"/>
      <w:spacing w:before="0" w:beforeAutospacing="0" w:after="0" w:afterAutospacing="0"/>
      <w:jc w:val="right"/>
      <w:rPr>
        <w:rFonts w:ascii="Calibri" w:hAnsi="Calibri" w:cs="Calibri"/>
        <w:color w:val="000000"/>
        <w:sz w:val="24"/>
        <w:szCs w:val="24"/>
      </w:rPr>
    </w:pPr>
    <w:r>
      <w:rPr>
        <w:rFonts w:ascii="Times New Roman" w:hAnsi="Times New Roman" w:cs="Times New Roman"/>
        <w:color w:val="000000"/>
        <w:sz w:val="22"/>
        <w:szCs w:val="22"/>
      </w:rPr>
      <w:t>Tanomkiat Thianboonsong</w:t>
    </w:r>
  </w:p>
  <w:p w:rsidR="00CC76BF" w:rsidRDefault="00CC76BF" w:rsidP="00CC76BF">
    <w:pPr>
      <w:pStyle w:val="NormalWeb"/>
      <w:spacing w:before="0" w:beforeAutospacing="0" w:after="0" w:afterAutospacing="0"/>
      <w:jc w:val="right"/>
      <w:rPr>
        <w:rFonts w:ascii="Calibri" w:hAnsi="Calibri" w:cs="Calibri"/>
        <w:color w:val="000000"/>
        <w:sz w:val="24"/>
        <w:szCs w:val="24"/>
      </w:rPr>
    </w:pPr>
    <w:r>
      <w:rPr>
        <w:rFonts w:ascii="Times New Roman" w:hAnsi="Times New Roman" w:cs="Times New Roman"/>
        <w:color w:val="000000"/>
        <w:sz w:val="22"/>
        <w:szCs w:val="22"/>
      </w:rPr>
      <w:t>5604641778</w:t>
    </w:r>
  </w:p>
  <w:p w:rsidR="00CC76BF" w:rsidRDefault="00CC76BF" w:rsidP="00CC76BF">
    <w:pPr>
      <w:pStyle w:val="Header"/>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compat>
  <w:rsids>
    <w:rsidRoot w:val="00CC76BF"/>
    <w:rsid w:val="00B14E4F"/>
    <w:rsid w:val="00B2041A"/>
    <w:rsid w:val="00CC76B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76BF"/>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CC76BF"/>
  </w:style>
  <w:style w:type="character" w:styleId="Hyperlink">
    <w:name w:val="Hyperlink"/>
    <w:basedOn w:val="DefaultParagraphFont"/>
    <w:uiPriority w:val="99"/>
    <w:semiHidden/>
    <w:unhideWhenUsed/>
    <w:rsid w:val="00CC76BF"/>
    <w:rPr>
      <w:color w:val="0000FF"/>
      <w:u w:val="single"/>
    </w:rPr>
  </w:style>
  <w:style w:type="paragraph" w:styleId="Header">
    <w:name w:val="header"/>
    <w:basedOn w:val="Normal"/>
    <w:link w:val="HeaderChar"/>
    <w:uiPriority w:val="99"/>
    <w:semiHidden/>
    <w:unhideWhenUsed/>
    <w:rsid w:val="00CC76B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C76BF"/>
  </w:style>
  <w:style w:type="paragraph" w:styleId="Footer">
    <w:name w:val="footer"/>
    <w:basedOn w:val="Normal"/>
    <w:link w:val="FooterChar"/>
    <w:uiPriority w:val="99"/>
    <w:semiHidden/>
    <w:unhideWhenUsed/>
    <w:rsid w:val="00CC76B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C76BF"/>
  </w:style>
</w:styles>
</file>

<file path=word/webSettings.xml><?xml version="1.0" encoding="utf-8"?>
<w:webSettings xmlns:r="http://schemas.openxmlformats.org/officeDocument/2006/relationships" xmlns:w="http://schemas.openxmlformats.org/wordprocessingml/2006/main">
  <w:divs>
    <w:div w:id="917179108">
      <w:bodyDiv w:val="1"/>
      <w:marLeft w:val="0"/>
      <w:marRight w:val="0"/>
      <w:marTop w:val="0"/>
      <w:marBottom w:val="0"/>
      <w:divBdr>
        <w:top w:val="none" w:sz="0" w:space="0" w:color="auto"/>
        <w:left w:val="none" w:sz="0" w:space="0" w:color="auto"/>
        <w:bottom w:val="none" w:sz="0" w:space="0" w:color="auto"/>
        <w:right w:val="none" w:sz="0" w:space="0" w:color="auto"/>
      </w:divBdr>
    </w:div>
    <w:div w:id="99603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inancial-dictionary.thefreedictionary.com/bond" TargetMode="External"/><Relationship Id="rId13" Type="http://schemas.openxmlformats.org/officeDocument/2006/relationships/hyperlink" Target="http://financial-dictionary.thefreedictionary.com/Bondholder" TargetMode="External"/><Relationship Id="rId18" Type="http://schemas.openxmlformats.org/officeDocument/2006/relationships/hyperlink" Target="http://financial-dictionary.thefreedictionary.com/call+protection"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financial-dictionary.thefreedictionary.com/Indenture" TargetMode="External"/><Relationship Id="rId12" Type="http://schemas.openxmlformats.org/officeDocument/2006/relationships/hyperlink" Target="http://financial-dictionary.thefreedictionary.com/Maturity" TargetMode="External"/><Relationship Id="rId17" Type="http://schemas.openxmlformats.org/officeDocument/2006/relationships/hyperlink" Target="http://financial-dictionary.thefreedictionary.com/interest+rate+risk" TargetMode="External"/><Relationship Id="rId2" Type="http://schemas.openxmlformats.org/officeDocument/2006/relationships/settings" Target="settings.xml"/><Relationship Id="rId16" Type="http://schemas.openxmlformats.org/officeDocument/2006/relationships/hyperlink" Target="http://financial-dictionary.thefreedictionary.com/Hedge"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investopedia.com/terms/i/indenture.asp" TargetMode="External"/><Relationship Id="rId11" Type="http://schemas.openxmlformats.org/officeDocument/2006/relationships/hyperlink" Target="http://financial-dictionary.thefreedictionary.com/redeem" TargetMode="External"/><Relationship Id="rId5" Type="http://schemas.openxmlformats.org/officeDocument/2006/relationships/endnotes" Target="endnotes.xml"/><Relationship Id="rId15" Type="http://schemas.openxmlformats.org/officeDocument/2006/relationships/hyperlink" Target="http://financial-dictionary.thefreedictionary.com/coupon" TargetMode="External"/><Relationship Id="rId10" Type="http://schemas.openxmlformats.org/officeDocument/2006/relationships/hyperlink" Target="http://financial-dictionary.thefreedictionary.com/Issuer" TargetMode="External"/><Relationship Id="rId19" Type="http://schemas.openxmlformats.org/officeDocument/2006/relationships/hyperlink" Target="http://financial-dictionary.thefreedictionary.com/interest+rate" TargetMode="External"/><Relationship Id="rId4" Type="http://schemas.openxmlformats.org/officeDocument/2006/relationships/footnotes" Target="footnotes.xml"/><Relationship Id="rId9" Type="http://schemas.openxmlformats.org/officeDocument/2006/relationships/hyperlink" Target="http://financial-dictionary.thefreedictionary.com/Callable" TargetMode="External"/><Relationship Id="rId14" Type="http://schemas.openxmlformats.org/officeDocument/2006/relationships/hyperlink" Target="http://financial-dictionary.thefreedictionary.com/par+value" TargetMode="External"/><Relationship Id="rId22"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1071</Words>
  <Characters>6110</Characters>
  <Application>Microsoft Office Word</Application>
  <DocSecurity>0</DocSecurity>
  <Lines>50</Lines>
  <Paragraphs>14</Paragraphs>
  <ScaleCrop>false</ScaleCrop>
  <Company/>
  <LinksUpToDate>false</LinksUpToDate>
  <CharactersWithSpaces>7167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Windows7</cp:lastModifiedBy>
  <cp:revision>1</cp:revision>
  <dcterms:created xsi:type="dcterms:W3CDTF">2016-04-22T14:07:00Z</dcterms:created>
  <dcterms:modified xsi:type="dcterms:W3CDTF">2016-04-22T14:10:00Z</dcterms:modified>
</cp:coreProperties>
</file>