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3B8D47" w14:textId="77777777" w:rsidR="00E44071" w:rsidRPr="00BD4638" w:rsidRDefault="00E44071" w:rsidP="00C027E6">
      <w:pPr>
        <w:pStyle w:val="HeadingA"/>
        <w:spacing w:after="0"/>
        <w:rPr>
          <w:rFonts w:ascii="Cambria" w:hAnsi="Cambria" w:cstheme="majorHAnsi"/>
          <w:b/>
          <w:szCs w:val="40"/>
        </w:rPr>
      </w:pPr>
      <w:r w:rsidRPr="00BD4638">
        <w:rPr>
          <w:rFonts w:ascii="Cambria" w:hAnsi="Cambria" w:cstheme="majorHAnsi"/>
          <w:b/>
          <w:szCs w:val="40"/>
        </w:rPr>
        <w:t>Chapter 15</w:t>
      </w:r>
    </w:p>
    <w:p w14:paraId="2BA7C6F8" w14:textId="77777777" w:rsidR="00E44071" w:rsidRPr="00BD4638" w:rsidRDefault="00E44071" w:rsidP="00C027E6">
      <w:pPr>
        <w:pStyle w:val="HeadingA"/>
        <w:spacing w:after="0"/>
        <w:rPr>
          <w:rFonts w:ascii="Cambria" w:hAnsi="Cambria" w:cstheme="majorHAnsi"/>
          <w:b/>
          <w:szCs w:val="40"/>
        </w:rPr>
      </w:pPr>
      <w:r w:rsidRPr="00BD4638">
        <w:rPr>
          <w:rFonts w:ascii="Cambria" w:hAnsi="Cambria" w:cstheme="majorHAnsi"/>
          <w:b/>
          <w:szCs w:val="40"/>
        </w:rPr>
        <w:t>Risk and Information</w:t>
      </w:r>
    </w:p>
    <w:p w14:paraId="5E88DA67" w14:textId="77777777" w:rsidR="00E44071" w:rsidRPr="00BD4638" w:rsidRDefault="00E44071" w:rsidP="00C027E6">
      <w:pPr>
        <w:pBdr>
          <w:top w:val="single" w:sz="18" w:space="1" w:color="auto"/>
        </w:pBdr>
        <w:rPr>
          <w:rFonts w:ascii="Cambria" w:hAnsi="Cambria" w:cstheme="majorHAnsi"/>
          <w:sz w:val="40"/>
          <w:szCs w:val="40"/>
        </w:rPr>
      </w:pPr>
    </w:p>
    <w:p w14:paraId="432F981B" w14:textId="1F7A0792" w:rsidR="00E44071" w:rsidRPr="00BD4638" w:rsidRDefault="00E44071" w:rsidP="00C027E6">
      <w:pPr>
        <w:pStyle w:val="HeadingB"/>
        <w:spacing w:after="0"/>
        <w:rPr>
          <w:rFonts w:ascii="Cambria" w:hAnsi="Cambria" w:cstheme="majorHAnsi"/>
          <w:sz w:val="40"/>
          <w:szCs w:val="40"/>
        </w:rPr>
      </w:pPr>
      <w:r w:rsidRPr="00BD4638">
        <w:rPr>
          <w:rFonts w:ascii="Cambria" w:hAnsi="Cambria" w:cstheme="majorHAnsi"/>
          <w:sz w:val="40"/>
          <w:szCs w:val="40"/>
        </w:rPr>
        <w:t xml:space="preserve">Solutions to </w:t>
      </w:r>
      <w:r w:rsidR="00136627" w:rsidRPr="00BD4638">
        <w:rPr>
          <w:rFonts w:ascii="Cambria" w:hAnsi="Cambria" w:cstheme="majorHAnsi"/>
          <w:sz w:val="40"/>
          <w:szCs w:val="40"/>
        </w:rPr>
        <w:t>Problems</w:t>
      </w:r>
    </w:p>
    <w:p w14:paraId="27814176" w14:textId="77777777" w:rsidR="00BD4638" w:rsidRPr="00BD4638" w:rsidRDefault="00BD4638" w:rsidP="00C027E6">
      <w:pPr>
        <w:rPr>
          <w:rFonts w:ascii="Cambria" w:hAnsi="Cambria" w:cstheme="majorHAnsi"/>
          <w:sz w:val="28"/>
          <w:szCs w:val="28"/>
        </w:rPr>
      </w:pPr>
    </w:p>
    <w:p w14:paraId="13EB12DC" w14:textId="77777777" w:rsidR="00935964" w:rsidRPr="00BD4638" w:rsidRDefault="00136627" w:rsidP="00C027E6">
      <w:pPr>
        <w:autoSpaceDE w:val="0"/>
        <w:autoSpaceDN w:val="0"/>
        <w:adjustRightInd w:val="0"/>
        <w:rPr>
          <w:rFonts w:ascii="Cambria" w:hAnsi="Cambria" w:cstheme="majorHAnsi"/>
          <w:b/>
          <w:sz w:val="28"/>
          <w:szCs w:val="28"/>
        </w:rPr>
      </w:pPr>
      <w:r w:rsidRPr="00BD4638">
        <w:rPr>
          <w:rFonts w:ascii="Cambria" w:hAnsi="Cambria" w:cstheme="majorHAnsi"/>
          <w:b/>
          <w:bCs/>
          <w:sz w:val="28"/>
          <w:szCs w:val="28"/>
        </w:rPr>
        <w:t>1</w:t>
      </w:r>
      <w:r w:rsidR="00935964" w:rsidRPr="00BD4638">
        <w:rPr>
          <w:rFonts w:ascii="Cambria" w:hAnsi="Cambria" w:cstheme="majorHAnsi"/>
          <w:b/>
          <w:bCs/>
          <w:sz w:val="28"/>
          <w:szCs w:val="28"/>
        </w:rPr>
        <w:t xml:space="preserve">. </w:t>
      </w:r>
      <w:r w:rsidR="00935964" w:rsidRPr="00BD4638">
        <w:rPr>
          <w:rFonts w:ascii="Cambria" w:hAnsi="Cambria" w:cstheme="majorHAnsi"/>
          <w:b/>
          <w:sz w:val="28"/>
          <w:szCs w:val="28"/>
        </w:rPr>
        <w:t>What is the difference between the expected value of a lottery and the expected utility of a lottery?</w:t>
      </w:r>
    </w:p>
    <w:p w14:paraId="3C3F4D9A" w14:textId="77777777" w:rsidR="00935964" w:rsidRPr="00BD4638" w:rsidRDefault="00935964" w:rsidP="00C027E6">
      <w:pPr>
        <w:pStyle w:val="Question"/>
        <w:spacing w:before="0" w:after="0"/>
        <w:ind w:left="0" w:firstLine="0"/>
        <w:rPr>
          <w:rFonts w:ascii="Cambria" w:hAnsi="Cambria" w:cstheme="majorHAnsi"/>
          <w:sz w:val="28"/>
          <w:szCs w:val="28"/>
        </w:rPr>
      </w:pPr>
    </w:p>
    <w:p w14:paraId="45D362A5" w14:textId="3E280A2C" w:rsidR="00935964" w:rsidRPr="00BD4638" w:rsidRDefault="00E44071" w:rsidP="00C027E6">
      <w:pPr>
        <w:pStyle w:val="Question"/>
        <w:spacing w:before="0" w:after="0"/>
        <w:ind w:left="0" w:firstLine="0"/>
        <w:rPr>
          <w:rFonts w:ascii="Cambria" w:hAnsi="Cambria" w:cstheme="majorHAnsi"/>
          <w:sz w:val="28"/>
          <w:szCs w:val="28"/>
        </w:rPr>
      </w:pPr>
      <w:r w:rsidRPr="00BD4638">
        <w:rPr>
          <w:rFonts w:ascii="Cambria" w:hAnsi="Cambria" w:cstheme="majorHAnsi"/>
          <w:sz w:val="28"/>
          <w:szCs w:val="28"/>
        </w:rPr>
        <w:t>The expected value of a lottery measures the average payoff of the lottery in monetary terms.  The expected utility of a lottery takes into account how much the decision maker values the expected payoff, particularly in terms of the risk associated with the expected payoff.  For example, while the expected payoff from one lottery may exceed the expected payoff from a second lottery, if the second lottery has less risk associated with it, a decision maker might prefer the second lottery to the first.</w:t>
      </w:r>
    </w:p>
    <w:p w14:paraId="597C2816" w14:textId="77777777" w:rsidR="0041148B" w:rsidRPr="00BD4638" w:rsidRDefault="0041148B" w:rsidP="00C027E6">
      <w:pPr>
        <w:pStyle w:val="MTDisplayEquation"/>
        <w:ind w:left="0"/>
        <w:rPr>
          <w:rFonts w:ascii="Cambria" w:hAnsi="Cambria" w:cstheme="majorHAnsi"/>
          <w:sz w:val="28"/>
          <w:szCs w:val="28"/>
        </w:rPr>
      </w:pPr>
    </w:p>
    <w:p w14:paraId="0B1AAD29" w14:textId="77777777" w:rsidR="0041148B" w:rsidRPr="00BD4638" w:rsidRDefault="00EF3D7A" w:rsidP="00C027E6">
      <w:pPr>
        <w:autoSpaceDE w:val="0"/>
        <w:autoSpaceDN w:val="0"/>
        <w:adjustRightInd w:val="0"/>
        <w:rPr>
          <w:rFonts w:ascii="Cambria" w:hAnsi="Cambria" w:cstheme="majorHAnsi"/>
          <w:b/>
          <w:sz w:val="28"/>
          <w:szCs w:val="28"/>
        </w:rPr>
      </w:pPr>
      <w:r w:rsidRPr="00BD4638">
        <w:rPr>
          <w:rFonts w:ascii="Cambria" w:hAnsi="Cambria" w:cstheme="majorHAnsi"/>
          <w:b/>
          <w:bCs/>
          <w:sz w:val="28"/>
          <w:szCs w:val="28"/>
        </w:rPr>
        <w:t>11</w:t>
      </w:r>
      <w:r w:rsidR="0041148B" w:rsidRPr="00BD4638">
        <w:rPr>
          <w:rFonts w:ascii="Cambria" w:hAnsi="Cambria" w:cstheme="majorHAnsi"/>
          <w:b/>
          <w:bCs/>
          <w:sz w:val="28"/>
          <w:szCs w:val="28"/>
        </w:rPr>
        <w:t xml:space="preserve">. </w:t>
      </w:r>
      <w:r w:rsidR="0041148B" w:rsidRPr="00BD4638">
        <w:rPr>
          <w:rFonts w:ascii="Cambria" w:hAnsi="Cambria" w:cstheme="majorHAnsi"/>
          <w:b/>
          <w:sz w:val="28"/>
          <w:szCs w:val="28"/>
        </w:rPr>
        <w:t>You have a utility function given by U = 2I + 10√I. You are considering two job opportunities. The first pays a salary of $40,000 for sure. The other pays a base salary of $20,000, but offers the possibility of a $40,000 bonus on top of your base salary. You believe that there is a 0.50 probability that you will earn the bonus.</w:t>
      </w:r>
    </w:p>
    <w:p w14:paraId="1971B738" w14:textId="77777777" w:rsidR="0041148B" w:rsidRPr="00BD4638" w:rsidRDefault="0041148B" w:rsidP="00C027E6">
      <w:pPr>
        <w:autoSpaceDE w:val="0"/>
        <w:autoSpaceDN w:val="0"/>
        <w:adjustRightInd w:val="0"/>
        <w:rPr>
          <w:rFonts w:ascii="Cambria" w:hAnsi="Cambria" w:cstheme="majorHAnsi"/>
          <w:b/>
          <w:sz w:val="28"/>
          <w:szCs w:val="28"/>
        </w:rPr>
      </w:pPr>
      <w:r w:rsidRPr="00BD4638">
        <w:rPr>
          <w:rFonts w:ascii="Cambria" w:hAnsi="Cambria" w:cstheme="majorHAnsi"/>
          <w:b/>
          <w:sz w:val="28"/>
          <w:szCs w:val="28"/>
        </w:rPr>
        <w:t>a) What is the expected salary under each offer?</w:t>
      </w:r>
    </w:p>
    <w:p w14:paraId="3A8E9119" w14:textId="77777777" w:rsidR="0041148B" w:rsidRPr="00BD4638" w:rsidRDefault="0041148B" w:rsidP="00C027E6">
      <w:pPr>
        <w:autoSpaceDE w:val="0"/>
        <w:autoSpaceDN w:val="0"/>
        <w:adjustRightInd w:val="0"/>
        <w:rPr>
          <w:rFonts w:ascii="Cambria" w:hAnsi="Cambria" w:cstheme="majorHAnsi"/>
          <w:b/>
          <w:sz w:val="28"/>
          <w:szCs w:val="28"/>
        </w:rPr>
      </w:pPr>
      <w:r w:rsidRPr="00BD4638">
        <w:rPr>
          <w:rFonts w:ascii="Cambria" w:hAnsi="Cambria" w:cstheme="majorHAnsi"/>
          <w:b/>
          <w:sz w:val="28"/>
          <w:szCs w:val="28"/>
        </w:rPr>
        <w:t>b) Which offer gives you the higher expected utility?</w:t>
      </w:r>
    </w:p>
    <w:p w14:paraId="0A6136F0" w14:textId="77777777" w:rsidR="0041148B" w:rsidRPr="00BD4638" w:rsidRDefault="0041148B" w:rsidP="00C027E6">
      <w:pPr>
        <w:autoSpaceDE w:val="0"/>
        <w:autoSpaceDN w:val="0"/>
        <w:adjustRightInd w:val="0"/>
        <w:rPr>
          <w:rFonts w:ascii="Cambria" w:hAnsi="Cambria" w:cstheme="majorHAnsi"/>
          <w:b/>
          <w:sz w:val="28"/>
          <w:szCs w:val="28"/>
        </w:rPr>
      </w:pPr>
      <w:r w:rsidRPr="00BD4638">
        <w:rPr>
          <w:rFonts w:ascii="Cambria" w:hAnsi="Cambria" w:cstheme="majorHAnsi"/>
          <w:b/>
          <w:sz w:val="28"/>
          <w:szCs w:val="28"/>
        </w:rPr>
        <w:t>c) Based on your answer to (a) and (b), are you risk averse?</w:t>
      </w:r>
    </w:p>
    <w:p w14:paraId="4E855A45" w14:textId="77777777" w:rsidR="0041148B" w:rsidRPr="00BD4638" w:rsidRDefault="0041148B" w:rsidP="00C027E6">
      <w:pPr>
        <w:pStyle w:val="Question"/>
        <w:tabs>
          <w:tab w:val="left" w:pos="720"/>
        </w:tabs>
        <w:spacing w:before="0" w:after="0"/>
        <w:ind w:left="0" w:firstLine="0"/>
        <w:rPr>
          <w:rFonts w:ascii="Cambria" w:hAnsi="Cambria" w:cstheme="majorHAnsi"/>
          <w:sz w:val="28"/>
          <w:szCs w:val="28"/>
        </w:rPr>
      </w:pPr>
    </w:p>
    <w:p w14:paraId="6CE4F509" w14:textId="77777777" w:rsidR="007F3571" w:rsidRPr="00BD4638" w:rsidRDefault="002E3E17" w:rsidP="00C027E6">
      <w:pPr>
        <w:pStyle w:val="Question"/>
        <w:tabs>
          <w:tab w:val="left" w:pos="720"/>
        </w:tabs>
        <w:spacing w:before="0" w:after="0"/>
        <w:ind w:left="0" w:firstLine="0"/>
        <w:rPr>
          <w:rFonts w:ascii="Cambria" w:hAnsi="Cambria" w:cstheme="majorHAnsi"/>
          <w:sz w:val="28"/>
          <w:szCs w:val="28"/>
        </w:rPr>
      </w:pPr>
      <w:r w:rsidRPr="00BD4638">
        <w:rPr>
          <w:rFonts w:ascii="Cambria" w:hAnsi="Cambria" w:cstheme="majorHAnsi"/>
          <w:sz w:val="28"/>
          <w:szCs w:val="28"/>
        </w:rPr>
        <w:t>a)</w:t>
      </w:r>
      <w:r w:rsidRPr="00BD4638">
        <w:rPr>
          <w:rFonts w:ascii="Cambria" w:hAnsi="Cambria" w:cstheme="majorHAnsi"/>
          <w:sz w:val="28"/>
          <w:szCs w:val="28"/>
        </w:rPr>
        <w:tab/>
      </w:r>
      <w:r w:rsidR="007F3571" w:rsidRPr="00BD4638">
        <w:rPr>
          <w:rFonts w:ascii="Cambria" w:hAnsi="Cambria" w:cstheme="majorHAnsi"/>
          <w:sz w:val="28"/>
          <w:szCs w:val="28"/>
        </w:rPr>
        <w:t>The expected salary under the first job offer is $40,000. The expected salary under the second jo</w:t>
      </w:r>
      <w:r w:rsidRPr="00BD4638">
        <w:rPr>
          <w:rFonts w:ascii="Cambria" w:hAnsi="Cambria" w:cstheme="majorHAnsi"/>
          <w:sz w:val="28"/>
          <w:szCs w:val="28"/>
        </w:rPr>
        <w:t>b offer is also $40,000: 0.5($20,000) + 0.5($60</w:t>
      </w:r>
      <w:r w:rsidR="007F3571" w:rsidRPr="00BD4638">
        <w:rPr>
          <w:rFonts w:ascii="Cambria" w:hAnsi="Cambria" w:cstheme="majorHAnsi"/>
          <w:sz w:val="28"/>
          <w:szCs w:val="28"/>
        </w:rPr>
        <w:t>,000) = $40,000.</w:t>
      </w:r>
    </w:p>
    <w:p w14:paraId="269950A8" w14:textId="77777777" w:rsidR="007F3571" w:rsidRPr="00BD4638" w:rsidRDefault="007F3571" w:rsidP="00C027E6">
      <w:pPr>
        <w:pStyle w:val="Answer"/>
        <w:spacing w:after="0"/>
        <w:ind w:left="0" w:firstLine="0"/>
        <w:rPr>
          <w:rFonts w:ascii="Cambria" w:hAnsi="Cambria" w:cstheme="majorHAnsi"/>
          <w:sz w:val="28"/>
          <w:szCs w:val="28"/>
        </w:rPr>
      </w:pPr>
      <w:r w:rsidRPr="00BD4638">
        <w:rPr>
          <w:rFonts w:ascii="Cambria" w:hAnsi="Cambria" w:cstheme="majorHAnsi"/>
          <w:sz w:val="28"/>
          <w:szCs w:val="28"/>
        </w:rPr>
        <w:t>b)</w:t>
      </w:r>
      <w:r w:rsidRPr="00BD4638">
        <w:rPr>
          <w:rFonts w:ascii="Cambria" w:hAnsi="Cambria" w:cstheme="majorHAnsi"/>
          <w:sz w:val="28"/>
          <w:szCs w:val="28"/>
        </w:rPr>
        <w:tab/>
        <w:t xml:space="preserve">Your expected utility under the first offer is </w:t>
      </w:r>
    </w:p>
    <w:p w14:paraId="62B81692" w14:textId="77777777" w:rsidR="007F3571" w:rsidRPr="00BD4638" w:rsidRDefault="007F3571" w:rsidP="00C027E6">
      <w:pPr>
        <w:pStyle w:val="Answer"/>
        <w:spacing w:after="0"/>
        <w:ind w:left="0" w:firstLine="0"/>
        <w:jc w:val="center"/>
        <w:rPr>
          <w:rFonts w:ascii="Cambria" w:hAnsi="Cambria" w:cstheme="majorHAnsi"/>
          <w:sz w:val="28"/>
          <w:szCs w:val="28"/>
        </w:rPr>
      </w:pPr>
      <w:r w:rsidRPr="00BD4638">
        <w:rPr>
          <w:rFonts w:ascii="Cambria" w:hAnsi="Cambria" w:cstheme="majorHAnsi"/>
          <w:position w:val="-10"/>
          <w:sz w:val="28"/>
          <w:szCs w:val="28"/>
        </w:rPr>
        <w:object w:dxaOrig="3540" w:dyaOrig="380" w14:anchorId="084996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76.85pt;height:19pt" o:ole="">
            <v:imagedata r:id="rId8" o:title=""/>
          </v:shape>
          <o:OLEObject Type="Embed" ProgID="Equation.3" ShapeID="_x0000_i1031" DrawAspect="Content" ObjectID="_1631147571" r:id="rId9"/>
        </w:object>
      </w:r>
    </w:p>
    <w:p w14:paraId="4B46BB33" w14:textId="77777777" w:rsidR="007F3571" w:rsidRPr="00BD4638" w:rsidRDefault="007F3571" w:rsidP="00C027E6">
      <w:pPr>
        <w:pStyle w:val="Answer"/>
        <w:spacing w:after="0"/>
        <w:ind w:left="0" w:firstLine="0"/>
        <w:rPr>
          <w:rFonts w:ascii="Cambria" w:hAnsi="Cambria" w:cstheme="majorHAnsi"/>
          <w:sz w:val="28"/>
          <w:szCs w:val="28"/>
        </w:rPr>
      </w:pPr>
      <w:r w:rsidRPr="00BD4638">
        <w:rPr>
          <w:rFonts w:ascii="Cambria" w:hAnsi="Cambria" w:cstheme="majorHAnsi"/>
          <w:sz w:val="28"/>
          <w:szCs w:val="28"/>
        </w:rPr>
        <w:t xml:space="preserve">Your expected utility under the second offer is  </w:t>
      </w:r>
    </w:p>
    <w:p w14:paraId="73887D66" w14:textId="77777777" w:rsidR="007F3571" w:rsidRPr="00BD4638" w:rsidRDefault="002E3E17" w:rsidP="00C027E6">
      <w:pPr>
        <w:pStyle w:val="Answer"/>
        <w:spacing w:after="0"/>
        <w:ind w:left="0" w:firstLine="0"/>
        <w:jc w:val="center"/>
        <w:rPr>
          <w:rFonts w:ascii="Cambria" w:hAnsi="Cambria" w:cstheme="majorHAnsi"/>
          <w:sz w:val="28"/>
          <w:szCs w:val="28"/>
        </w:rPr>
      </w:pPr>
      <w:r w:rsidRPr="00BD4638">
        <w:rPr>
          <w:rFonts w:ascii="Cambria" w:hAnsi="Cambria" w:cstheme="majorHAnsi"/>
          <w:position w:val="-10"/>
          <w:sz w:val="28"/>
          <w:szCs w:val="28"/>
        </w:rPr>
        <w:object w:dxaOrig="6440" w:dyaOrig="380" w14:anchorId="0A3086B4">
          <v:shape id="_x0000_i1032" type="#_x0000_t75" style="width:322pt;height:19pt" o:ole="">
            <v:imagedata r:id="rId10" o:title=""/>
          </v:shape>
          <o:OLEObject Type="Embed" ProgID="Equation.3" ShapeID="_x0000_i1032" DrawAspect="Content" ObjectID="_1631147572" r:id="rId11"/>
        </w:object>
      </w:r>
    </w:p>
    <w:p w14:paraId="563FA525" w14:textId="77777777" w:rsidR="007F3571" w:rsidRPr="00BD4638" w:rsidRDefault="007F3571" w:rsidP="00C027E6">
      <w:pPr>
        <w:pStyle w:val="Answer"/>
        <w:spacing w:after="0"/>
        <w:ind w:left="0" w:firstLine="0"/>
        <w:rPr>
          <w:rFonts w:ascii="Cambria" w:hAnsi="Cambria" w:cstheme="majorHAnsi"/>
          <w:sz w:val="28"/>
          <w:szCs w:val="28"/>
        </w:rPr>
      </w:pPr>
      <w:r w:rsidRPr="00BD4638">
        <w:rPr>
          <w:rFonts w:ascii="Cambria" w:hAnsi="Cambria" w:cstheme="majorHAnsi"/>
          <w:sz w:val="28"/>
          <w:szCs w:val="28"/>
        </w:rPr>
        <w:t>The first offer gives you the higher expected utility.</w:t>
      </w:r>
    </w:p>
    <w:p w14:paraId="62AF5647" w14:textId="77777777" w:rsidR="007F3571" w:rsidRPr="00BD4638" w:rsidRDefault="007F3571" w:rsidP="00C027E6">
      <w:pPr>
        <w:pStyle w:val="Answer"/>
        <w:spacing w:after="0"/>
        <w:ind w:left="0" w:firstLine="0"/>
        <w:rPr>
          <w:rFonts w:ascii="Cambria" w:hAnsi="Cambria" w:cstheme="majorHAnsi"/>
          <w:sz w:val="28"/>
          <w:szCs w:val="28"/>
        </w:rPr>
      </w:pPr>
      <w:r w:rsidRPr="00BD4638">
        <w:rPr>
          <w:rFonts w:ascii="Cambria" w:hAnsi="Cambria" w:cstheme="majorHAnsi"/>
          <w:sz w:val="28"/>
          <w:szCs w:val="28"/>
        </w:rPr>
        <w:t>c)</w:t>
      </w:r>
      <w:r w:rsidRPr="00BD4638">
        <w:rPr>
          <w:rFonts w:ascii="Cambria" w:hAnsi="Cambria" w:cstheme="majorHAnsi"/>
          <w:sz w:val="28"/>
          <w:szCs w:val="28"/>
        </w:rPr>
        <w:tab/>
        <w:t>The two offers have the same expected value. Since you prefer the certain salary to the risky salary, it follows that you are risk averse.</w:t>
      </w:r>
    </w:p>
    <w:p w14:paraId="3C5A2B15" w14:textId="77777777" w:rsidR="005F791B" w:rsidRPr="00BD4638" w:rsidRDefault="005F791B" w:rsidP="00C027E6">
      <w:pPr>
        <w:pStyle w:val="NormalIndent"/>
        <w:ind w:left="0"/>
        <w:rPr>
          <w:rFonts w:ascii="Cambria" w:hAnsi="Cambria" w:cstheme="majorHAnsi"/>
          <w:sz w:val="28"/>
          <w:szCs w:val="28"/>
        </w:rPr>
      </w:pPr>
    </w:p>
    <w:p w14:paraId="6A339759" w14:textId="77777777" w:rsidR="0041148B" w:rsidRPr="00BD4638" w:rsidRDefault="0031436B" w:rsidP="00C027E6">
      <w:pPr>
        <w:autoSpaceDE w:val="0"/>
        <w:autoSpaceDN w:val="0"/>
        <w:adjustRightInd w:val="0"/>
        <w:rPr>
          <w:rFonts w:ascii="Cambria" w:hAnsi="Cambria" w:cstheme="majorHAnsi"/>
          <w:b/>
          <w:sz w:val="28"/>
          <w:szCs w:val="28"/>
        </w:rPr>
      </w:pPr>
      <w:r w:rsidRPr="00BD4638">
        <w:rPr>
          <w:rFonts w:ascii="Cambria" w:hAnsi="Cambria" w:cstheme="majorHAnsi"/>
          <w:b/>
          <w:bCs/>
          <w:sz w:val="28"/>
          <w:szCs w:val="28"/>
        </w:rPr>
        <w:t>13</w:t>
      </w:r>
      <w:r w:rsidR="0041148B" w:rsidRPr="00BD4638">
        <w:rPr>
          <w:rFonts w:ascii="Cambria" w:hAnsi="Cambria" w:cstheme="majorHAnsi"/>
          <w:b/>
          <w:bCs/>
          <w:sz w:val="28"/>
          <w:szCs w:val="28"/>
        </w:rPr>
        <w:t xml:space="preserve">. </w:t>
      </w:r>
      <w:r w:rsidR="0041148B" w:rsidRPr="00BD4638">
        <w:rPr>
          <w:rFonts w:ascii="Cambria" w:hAnsi="Cambria" w:cstheme="majorHAnsi"/>
          <w:b/>
          <w:sz w:val="28"/>
          <w:szCs w:val="28"/>
        </w:rPr>
        <w:t xml:space="preserve">Sketch the graphs of the following utility functions as </w:t>
      </w:r>
      <w:r w:rsidR="0041148B" w:rsidRPr="00BD4638">
        <w:rPr>
          <w:rFonts w:ascii="Cambria" w:hAnsi="Cambria" w:cstheme="majorHAnsi"/>
          <w:b/>
          <w:i/>
          <w:iCs/>
          <w:sz w:val="28"/>
          <w:szCs w:val="28"/>
        </w:rPr>
        <w:t xml:space="preserve">I </w:t>
      </w:r>
      <w:proofErr w:type="gramStart"/>
      <w:r w:rsidR="0041148B" w:rsidRPr="00BD4638">
        <w:rPr>
          <w:rFonts w:ascii="Cambria" w:hAnsi="Cambria" w:cstheme="majorHAnsi"/>
          <w:b/>
          <w:sz w:val="28"/>
          <w:szCs w:val="28"/>
        </w:rPr>
        <w:t>varies</w:t>
      </w:r>
      <w:proofErr w:type="gramEnd"/>
      <w:r w:rsidR="0041148B" w:rsidRPr="00BD4638">
        <w:rPr>
          <w:rFonts w:ascii="Cambria" w:hAnsi="Cambria" w:cstheme="majorHAnsi"/>
          <w:b/>
          <w:sz w:val="28"/>
          <w:szCs w:val="28"/>
        </w:rPr>
        <w:t xml:space="preserve"> over the range $0 to $100. Based on these graphs, indicate whether the decision maker is risk averse, risk neutral, or risk loving:</w:t>
      </w:r>
    </w:p>
    <w:p w14:paraId="58421F8D" w14:textId="77777777" w:rsidR="0041148B" w:rsidRPr="00BD4638" w:rsidRDefault="0041148B" w:rsidP="00C027E6">
      <w:pPr>
        <w:autoSpaceDE w:val="0"/>
        <w:autoSpaceDN w:val="0"/>
        <w:adjustRightInd w:val="0"/>
        <w:rPr>
          <w:rFonts w:ascii="Cambria" w:hAnsi="Cambria" w:cstheme="majorHAnsi"/>
          <w:b/>
          <w:sz w:val="28"/>
          <w:szCs w:val="28"/>
        </w:rPr>
      </w:pPr>
      <w:r w:rsidRPr="00BD4638">
        <w:rPr>
          <w:rFonts w:ascii="Cambria" w:hAnsi="Cambria" w:cstheme="majorHAnsi"/>
          <w:b/>
          <w:sz w:val="28"/>
          <w:szCs w:val="28"/>
        </w:rPr>
        <w:t>a) U = 10I – (1/</w:t>
      </w:r>
      <w:proofErr w:type="gramStart"/>
      <w:r w:rsidRPr="00BD4638">
        <w:rPr>
          <w:rFonts w:ascii="Cambria" w:hAnsi="Cambria" w:cstheme="majorHAnsi"/>
          <w:b/>
          <w:sz w:val="28"/>
          <w:szCs w:val="28"/>
        </w:rPr>
        <w:t>8)I</w:t>
      </w:r>
      <w:proofErr w:type="gramEnd"/>
      <w:r w:rsidRPr="00BD4638">
        <w:rPr>
          <w:rFonts w:ascii="Cambria" w:hAnsi="Cambria" w:cstheme="majorHAnsi"/>
          <w:b/>
          <w:sz w:val="28"/>
          <w:szCs w:val="28"/>
          <w:vertAlign w:val="superscript"/>
        </w:rPr>
        <w:t>2</w:t>
      </w:r>
    </w:p>
    <w:p w14:paraId="7BC1457A" w14:textId="77777777" w:rsidR="0041148B" w:rsidRPr="00BD4638" w:rsidRDefault="0041148B" w:rsidP="00C027E6">
      <w:pPr>
        <w:autoSpaceDE w:val="0"/>
        <w:autoSpaceDN w:val="0"/>
        <w:adjustRightInd w:val="0"/>
        <w:rPr>
          <w:rFonts w:ascii="Cambria" w:hAnsi="Cambria" w:cstheme="majorHAnsi"/>
          <w:b/>
          <w:sz w:val="28"/>
          <w:szCs w:val="28"/>
        </w:rPr>
      </w:pPr>
      <w:r w:rsidRPr="00BD4638">
        <w:rPr>
          <w:rFonts w:ascii="Cambria" w:hAnsi="Cambria" w:cstheme="majorHAnsi"/>
          <w:b/>
          <w:sz w:val="28"/>
          <w:szCs w:val="28"/>
        </w:rPr>
        <w:t>b) U = (1/</w:t>
      </w:r>
      <w:proofErr w:type="gramStart"/>
      <w:r w:rsidRPr="00BD4638">
        <w:rPr>
          <w:rFonts w:ascii="Cambria" w:hAnsi="Cambria" w:cstheme="majorHAnsi"/>
          <w:b/>
          <w:sz w:val="28"/>
          <w:szCs w:val="28"/>
        </w:rPr>
        <w:t>8)I</w:t>
      </w:r>
      <w:proofErr w:type="gramEnd"/>
      <w:r w:rsidRPr="00BD4638">
        <w:rPr>
          <w:rFonts w:ascii="Cambria" w:hAnsi="Cambria" w:cstheme="majorHAnsi"/>
          <w:b/>
          <w:sz w:val="28"/>
          <w:szCs w:val="28"/>
          <w:vertAlign w:val="superscript"/>
        </w:rPr>
        <w:t>2</w:t>
      </w:r>
    </w:p>
    <w:p w14:paraId="409350AE" w14:textId="77777777" w:rsidR="0041148B" w:rsidRPr="00BD4638" w:rsidRDefault="0041148B" w:rsidP="00C027E6">
      <w:pPr>
        <w:autoSpaceDE w:val="0"/>
        <w:autoSpaceDN w:val="0"/>
        <w:adjustRightInd w:val="0"/>
        <w:rPr>
          <w:rFonts w:ascii="Cambria" w:hAnsi="Cambria" w:cstheme="majorHAnsi"/>
          <w:b/>
          <w:sz w:val="28"/>
          <w:szCs w:val="28"/>
        </w:rPr>
      </w:pPr>
      <w:r w:rsidRPr="00BD4638">
        <w:rPr>
          <w:rFonts w:ascii="Cambria" w:hAnsi="Cambria" w:cstheme="majorHAnsi"/>
          <w:b/>
          <w:sz w:val="28"/>
          <w:szCs w:val="28"/>
        </w:rPr>
        <w:t>c) U = ln (I + 1)</w:t>
      </w:r>
    </w:p>
    <w:p w14:paraId="6E8B0AAF" w14:textId="77777777" w:rsidR="0041148B" w:rsidRPr="00BD4638" w:rsidRDefault="0041148B" w:rsidP="00C027E6">
      <w:pPr>
        <w:autoSpaceDE w:val="0"/>
        <w:autoSpaceDN w:val="0"/>
        <w:adjustRightInd w:val="0"/>
        <w:rPr>
          <w:rFonts w:ascii="Cambria" w:hAnsi="Cambria" w:cstheme="majorHAnsi"/>
          <w:b/>
          <w:i/>
          <w:iCs/>
          <w:sz w:val="28"/>
          <w:szCs w:val="28"/>
        </w:rPr>
      </w:pPr>
      <w:r w:rsidRPr="00BD4638">
        <w:rPr>
          <w:rFonts w:ascii="Cambria" w:hAnsi="Cambria" w:cstheme="majorHAnsi"/>
          <w:b/>
          <w:sz w:val="28"/>
          <w:szCs w:val="28"/>
        </w:rPr>
        <w:t xml:space="preserve">d) </w:t>
      </w:r>
      <w:r w:rsidRPr="00BD4638">
        <w:rPr>
          <w:rFonts w:ascii="Cambria" w:hAnsi="Cambria" w:cstheme="majorHAnsi"/>
          <w:b/>
          <w:i/>
          <w:iCs/>
          <w:sz w:val="28"/>
          <w:szCs w:val="28"/>
        </w:rPr>
        <w:t xml:space="preserve">U </w:t>
      </w:r>
      <w:r w:rsidRPr="00BD4638">
        <w:rPr>
          <w:rFonts w:ascii="Cambria" w:hAnsi="Cambria" w:cstheme="majorHAnsi"/>
          <w:b/>
          <w:sz w:val="28"/>
          <w:szCs w:val="28"/>
        </w:rPr>
        <w:t>= 5</w:t>
      </w:r>
      <w:r w:rsidRPr="00BD4638">
        <w:rPr>
          <w:rFonts w:ascii="Cambria" w:hAnsi="Cambria" w:cstheme="majorHAnsi"/>
          <w:b/>
          <w:i/>
          <w:iCs/>
          <w:sz w:val="28"/>
          <w:szCs w:val="28"/>
        </w:rPr>
        <w:t>I</w:t>
      </w:r>
    </w:p>
    <w:p w14:paraId="6725D5DB" w14:textId="211B1E3E" w:rsidR="0041148B" w:rsidRDefault="0041148B" w:rsidP="00C027E6">
      <w:pPr>
        <w:pStyle w:val="Question"/>
        <w:spacing w:before="0" w:after="0"/>
        <w:ind w:left="0" w:firstLine="0"/>
        <w:rPr>
          <w:rFonts w:ascii="Cambria" w:hAnsi="Cambria" w:cstheme="majorHAnsi"/>
          <w:sz w:val="28"/>
          <w:szCs w:val="28"/>
        </w:rPr>
      </w:pPr>
    </w:p>
    <w:p w14:paraId="2863E55A" w14:textId="098DA10C" w:rsidR="00BD4638" w:rsidRDefault="00BD4638" w:rsidP="00C027E6">
      <w:pPr>
        <w:pStyle w:val="NormalIndent"/>
        <w:ind w:left="0"/>
      </w:pPr>
    </w:p>
    <w:p w14:paraId="19680A53" w14:textId="77777777" w:rsidR="00BD4638" w:rsidRPr="00BD4638" w:rsidRDefault="00BD4638" w:rsidP="00C027E6">
      <w:pPr>
        <w:pStyle w:val="NormalIndent"/>
        <w:ind w:left="0"/>
      </w:pPr>
    </w:p>
    <w:p w14:paraId="318A1D2F" w14:textId="77777777" w:rsidR="00E44071" w:rsidRPr="00BD4638" w:rsidRDefault="00E44071" w:rsidP="00C027E6">
      <w:pPr>
        <w:pStyle w:val="Question"/>
        <w:spacing w:before="0" w:after="0"/>
        <w:ind w:left="0" w:firstLine="0"/>
        <w:rPr>
          <w:rFonts w:ascii="Cambria" w:hAnsi="Cambria" w:cstheme="majorHAnsi"/>
          <w:sz w:val="28"/>
          <w:szCs w:val="28"/>
        </w:rPr>
      </w:pPr>
      <w:r w:rsidRPr="00BD4638">
        <w:rPr>
          <w:rFonts w:ascii="Cambria" w:hAnsi="Cambria" w:cstheme="majorHAnsi"/>
          <w:sz w:val="28"/>
          <w:szCs w:val="28"/>
        </w:rPr>
        <w:lastRenderedPageBreak/>
        <w:t>a)</w:t>
      </w:r>
    </w:p>
    <w:p w14:paraId="1A8E59C3" w14:textId="77777777" w:rsidR="00E44071" w:rsidRPr="00BD4638" w:rsidRDefault="008B0007" w:rsidP="00C027E6">
      <w:pPr>
        <w:pStyle w:val="BodyTextIndent"/>
        <w:ind w:left="0"/>
        <w:rPr>
          <w:rFonts w:ascii="Cambria" w:hAnsi="Cambria" w:cstheme="majorHAnsi"/>
          <w:sz w:val="28"/>
          <w:szCs w:val="28"/>
        </w:rPr>
      </w:pPr>
      <w:r w:rsidRPr="00BD4638">
        <w:rPr>
          <w:rFonts w:ascii="Cambria" w:hAnsi="Cambria" w:cstheme="majorHAnsi"/>
          <w:noProof/>
          <w:sz w:val="28"/>
          <w:szCs w:val="28"/>
        </w:rPr>
        <w:drawing>
          <wp:inline distT="0" distB="0" distL="0" distR="0" wp14:anchorId="02AC5121" wp14:editId="27B11922">
            <wp:extent cx="4806315" cy="2406650"/>
            <wp:effectExtent l="0" t="0" r="0" b="0"/>
            <wp:docPr id="16" name="Object 1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2163E77" w14:textId="77777777" w:rsidR="00E44071" w:rsidRPr="00BD4638" w:rsidRDefault="00E44071" w:rsidP="00C027E6">
      <w:pPr>
        <w:pStyle w:val="BodyTextIndent"/>
        <w:ind w:left="0"/>
        <w:rPr>
          <w:rFonts w:ascii="Cambria" w:hAnsi="Cambria" w:cstheme="majorHAnsi"/>
          <w:sz w:val="28"/>
          <w:szCs w:val="28"/>
        </w:rPr>
      </w:pPr>
      <w:r w:rsidRPr="00BD4638">
        <w:rPr>
          <w:rFonts w:ascii="Cambria" w:hAnsi="Cambria" w:cstheme="majorHAnsi"/>
          <w:sz w:val="28"/>
          <w:szCs w:val="28"/>
        </w:rPr>
        <w:t>Since this utility function increases at a decreasing rate, the decision maker will prefer a sure thing to a lottery with the same expected value.  Thus, this utility function corresponds to a risk-averse decision maker.</w:t>
      </w:r>
    </w:p>
    <w:p w14:paraId="0A675704" w14:textId="77777777" w:rsidR="005F791B" w:rsidRPr="00BD4638" w:rsidRDefault="005F791B" w:rsidP="00C027E6">
      <w:pPr>
        <w:pStyle w:val="Answer"/>
        <w:spacing w:after="0"/>
        <w:ind w:left="0" w:firstLine="0"/>
        <w:rPr>
          <w:rFonts w:ascii="Cambria" w:hAnsi="Cambria" w:cstheme="majorHAnsi"/>
          <w:sz w:val="28"/>
          <w:szCs w:val="28"/>
        </w:rPr>
      </w:pPr>
    </w:p>
    <w:p w14:paraId="3981EAA1" w14:textId="77777777" w:rsidR="00E44071" w:rsidRPr="00BD4638" w:rsidRDefault="00E44071" w:rsidP="00C027E6">
      <w:pPr>
        <w:pStyle w:val="Answer"/>
        <w:spacing w:after="0"/>
        <w:ind w:left="0" w:firstLine="0"/>
        <w:rPr>
          <w:rFonts w:ascii="Cambria" w:hAnsi="Cambria" w:cstheme="majorHAnsi"/>
          <w:sz w:val="28"/>
          <w:szCs w:val="28"/>
        </w:rPr>
      </w:pPr>
      <w:r w:rsidRPr="00BD4638">
        <w:rPr>
          <w:rFonts w:ascii="Cambria" w:hAnsi="Cambria" w:cstheme="majorHAnsi"/>
          <w:sz w:val="28"/>
          <w:szCs w:val="28"/>
        </w:rPr>
        <w:t>b)</w:t>
      </w:r>
    </w:p>
    <w:p w14:paraId="4812E27A" w14:textId="77777777" w:rsidR="00E44071" w:rsidRPr="00BD4638" w:rsidRDefault="008B0007" w:rsidP="00C027E6">
      <w:pPr>
        <w:pStyle w:val="BodyTextIndent"/>
        <w:ind w:left="0"/>
        <w:rPr>
          <w:rFonts w:ascii="Cambria" w:hAnsi="Cambria" w:cstheme="majorHAnsi"/>
          <w:sz w:val="28"/>
          <w:szCs w:val="28"/>
        </w:rPr>
      </w:pPr>
      <w:r w:rsidRPr="00BD4638">
        <w:rPr>
          <w:rFonts w:ascii="Cambria" w:hAnsi="Cambria" w:cstheme="majorHAnsi"/>
          <w:noProof/>
          <w:sz w:val="28"/>
          <w:szCs w:val="28"/>
        </w:rPr>
        <w:drawing>
          <wp:inline distT="0" distB="0" distL="0" distR="0" wp14:anchorId="501E0565" wp14:editId="2AC1CE95">
            <wp:extent cx="4513580" cy="2560320"/>
            <wp:effectExtent l="0" t="0" r="0" b="0"/>
            <wp:docPr id="17" name="Object 1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78740CF" w14:textId="77777777" w:rsidR="00E44071" w:rsidRPr="00BD4638" w:rsidRDefault="00E44071" w:rsidP="00C027E6">
      <w:pPr>
        <w:pStyle w:val="BodyTextIndent"/>
        <w:ind w:left="0"/>
        <w:rPr>
          <w:rFonts w:ascii="Cambria" w:hAnsi="Cambria" w:cstheme="majorHAnsi"/>
          <w:sz w:val="28"/>
          <w:szCs w:val="28"/>
        </w:rPr>
      </w:pPr>
    </w:p>
    <w:p w14:paraId="3ACDFA8C" w14:textId="77777777" w:rsidR="00E44071" w:rsidRPr="00BD4638" w:rsidRDefault="00E44071" w:rsidP="00C027E6">
      <w:pPr>
        <w:pStyle w:val="BodyTextIndent"/>
        <w:ind w:left="0"/>
        <w:rPr>
          <w:rFonts w:ascii="Cambria" w:hAnsi="Cambria" w:cstheme="majorHAnsi"/>
          <w:sz w:val="28"/>
          <w:szCs w:val="28"/>
        </w:rPr>
      </w:pPr>
      <w:r w:rsidRPr="00BD4638">
        <w:rPr>
          <w:rFonts w:ascii="Cambria" w:hAnsi="Cambria" w:cstheme="majorHAnsi"/>
          <w:sz w:val="28"/>
          <w:szCs w:val="28"/>
        </w:rPr>
        <w:t>Since this utility function increases at an increasing rate, the decision maker will prefer a lottery to a sure thing with the same payoff.  Thus, this utility function corresponds to a risk-loving decision maker.</w:t>
      </w:r>
    </w:p>
    <w:p w14:paraId="0B11B34A" w14:textId="77777777" w:rsidR="008D5E57" w:rsidRPr="00BD4638" w:rsidRDefault="008D5E57" w:rsidP="00C027E6">
      <w:pPr>
        <w:pStyle w:val="BodyTextIndent"/>
        <w:ind w:left="0"/>
        <w:rPr>
          <w:rFonts w:ascii="Cambria" w:hAnsi="Cambria" w:cstheme="majorHAnsi"/>
          <w:sz w:val="28"/>
          <w:szCs w:val="28"/>
        </w:rPr>
      </w:pPr>
    </w:p>
    <w:p w14:paraId="4117DCF9" w14:textId="77777777" w:rsidR="00E44071" w:rsidRPr="00BD4638" w:rsidRDefault="00E44071" w:rsidP="00C027E6">
      <w:pPr>
        <w:pStyle w:val="Answer"/>
        <w:spacing w:after="0"/>
        <w:ind w:left="0" w:firstLine="0"/>
        <w:rPr>
          <w:rFonts w:ascii="Cambria" w:hAnsi="Cambria" w:cstheme="majorHAnsi"/>
          <w:sz w:val="28"/>
          <w:szCs w:val="28"/>
        </w:rPr>
      </w:pPr>
      <w:r w:rsidRPr="00BD4638">
        <w:rPr>
          <w:rFonts w:ascii="Cambria" w:hAnsi="Cambria" w:cstheme="majorHAnsi"/>
          <w:sz w:val="28"/>
          <w:szCs w:val="28"/>
        </w:rPr>
        <w:t>c)</w:t>
      </w:r>
    </w:p>
    <w:p w14:paraId="4B85140C" w14:textId="77777777" w:rsidR="00E44071" w:rsidRPr="00BD4638" w:rsidRDefault="008B0007" w:rsidP="00C027E6">
      <w:pPr>
        <w:pStyle w:val="BodyTextIndent"/>
        <w:ind w:left="0"/>
        <w:rPr>
          <w:rFonts w:ascii="Cambria" w:hAnsi="Cambria" w:cstheme="majorHAnsi"/>
          <w:sz w:val="28"/>
          <w:szCs w:val="28"/>
        </w:rPr>
      </w:pPr>
      <w:r w:rsidRPr="00BD4638">
        <w:rPr>
          <w:rFonts w:ascii="Cambria" w:hAnsi="Cambria" w:cstheme="majorHAnsi"/>
          <w:noProof/>
          <w:sz w:val="28"/>
          <w:szCs w:val="28"/>
        </w:rPr>
        <w:lastRenderedPageBreak/>
        <w:drawing>
          <wp:inline distT="0" distB="0" distL="0" distR="0" wp14:anchorId="681EEA44" wp14:editId="050E1F21">
            <wp:extent cx="4513580" cy="2560320"/>
            <wp:effectExtent l="0" t="0" r="0" b="0"/>
            <wp:docPr id="18" name="Object 1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B5EF729" w14:textId="77777777" w:rsidR="00E44071" w:rsidRPr="00BD4638" w:rsidRDefault="00E44071" w:rsidP="00C027E6">
      <w:pPr>
        <w:pStyle w:val="BodyTextIndent"/>
        <w:ind w:left="0"/>
        <w:rPr>
          <w:rFonts w:ascii="Cambria" w:hAnsi="Cambria" w:cstheme="majorHAnsi"/>
          <w:sz w:val="28"/>
          <w:szCs w:val="28"/>
        </w:rPr>
      </w:pPr>
    </w:p>
    <w:p w14:paraId="153CC1D4" w14:textId="77777777" w:rsidR="00E44071" w:rsidRPr="00BD4638" w:rsidRDefault="00E44071" w:rsidP="00C027E6">
      <w:pPr>
        <w:pStyle w:val="BodyTextIndent"/>
        <w:ind w:left="0"/>
        <w:rPr>
          <w:rFonts w:ascii="Cambria" w:hAnsi="Cambria" w:cstheme="majorHAnsi"/>
          <w:sz w:val="28"/>
          <w:szCs w:val="28"/>
        </w:rPr>
      </w:pPr>
      <w:r w:rsidRPr="00BD4638">
        <w:rPr>
          <w:rFonts w:ascii="Cambria" w:hAnsi="Cambria" w:cstheme="majorHAnsi"/>
          <w:sz w:val="28"/>
          <w:szCs w:val="28"/>
        </w:rPr>
        <w:t>Since this utility function increases at a decreasing rate, the decision maker will prefer a sure thing to a lottery with the same expected value.  Thus, this utility function corresponds to a risk-averse decision maker.</w:t>
      </w:r>
    </w:p>
    <w:p w14:paraId="56E4A500" w14:textId="77777777" w:rsidR="00E44071" w:rsidRPr="00BD4638" w:rsidRDefault="00E44071" w:rsidP="00C027E6">
      <w:pPr>
        <w:pStyle w:val="BodyTextIndent"/>
        <w:ind w:left="0"/>
        <w:rPr>
          <w:rFonts w:ascii="Cambria" w:hAnsi="Cambria" w:cstheme="majorHAnsi"/>
          <w:sz w:val="28"/>
          <w:szCs w:val="28"/>
        </w:rPr>
      </w:pPr>
    </w:p>
    <w:p w14:paraId="1C9AD9AD" w14:textId="77777777" w:rsidR="00E44071" w:rsidRPr="00BD4638" w:rsidRDefault="00E44071" w:rsidP="00C027E6">
      <w:pPr>
        <w:pStyle w:val="Answer"/>
        <w:spacing w:after="0"/>
        <w:ind w:left="0" w:firstLine="0"/>
        <w:rPr>
          <w:rFonts w:ascii="Cambria" w:hAnsi="Cambria" w:cstheme="majorHAnsi"/>
          <w:sz w:val="28"/>
          <w:szCs w:val="28"/>
        </w:rPr>
      </w:pPr>
      <w:r w:rsidRPr="00BD4638">
        <w:rPr>
          <w:rFonts w:ascii="Cambria" w:hAnsi="Cambria" w:cstheme="majorHAnsi"/>
          <w:sz w:val="28"/>
          <w:szCs w:val="28"/>
        </w:rPr>
        <w:t>d)</w:t>
      </w:r>
    </w:p>
    <w:p w14:paraId="7B9D922B" w14:textId="77777777" w:rsidR="00E44071" w:rsidRPr="00BD4638" w:rsidRDefault="008B0007" w:rsidP="00C027E6">
      <w:pPr>
        <w:pStyle w:val="BodyTextIndent"/>
        <w:ind w:left="0"/>
        <w:rPr>
          <w:rFonts w:ascii="Cambria" w:hAnsi="Cambria" w:cstheme="majorHAnsi"/>
          <w:sz w:val="28"/>
          <w:szCs w:val="28"/>
        </w:rPr>
      </w:pPr>
      <w:r w:rsidRPr="00BD4638">
        <w:rPr>
          <w:rFonts w:ascii="Cambria" w:hAnsi="Cambria" w:cstheme="majorHAnsi"/>
          <w:noProof/>
          <w:sz w:val="28"/>
          <w:szCs w:val="28"/>
        </w:rPr>
        <w:drawing>
          <wp:inline distT="0" distB="0" distL="0" distR="0" wp14:anchorId="09CCE219" wp14:editId="140A99E6">
            <wp:extent cx="4513580" cy="2560320"/>
            <wp:effectExtent l="0" t="0" r="0" b="0"/>
            <wp:docPr id="19" name="Object 1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6FD7108" w14:textId="77777777" w:rsidR="00E44071" w:rsidRPr="00BD4638" w:rsidRDefault="00E44071" w:rsidP="00C027E6">
      <w:pPr>
        <w:pStyle w:val="BodyTextIndent"/>
        <w:ind w:left="0"/>
        <w:rPr>
          <w:rFonts w:ascii="Cambria" w:hAnsi="Cambria" w:cstheme="majorHAnsi"/>
          <w:sz w:val="28"/>
          <w:szCs w:val="28"/>
        </w:rPr>
      </w:pPr>
    </w:p>
    <w:p w14:paraId="23E63206" w14:textId="77777777" w:rsidR="00E44071" w:rsidRPr="00BD4638" w:rsidRDefault="00E44071" w:rsidP="00C027E6">
      <w:pPr>
        <w:pStyle w:val="BodyTextIndent"/>
        <w:ind w:left="0"/>
        <w:rPr>
          <w:rFonts w:ascii="Cambria" w:hAnsi="Cambria" w:cstheme="majorHAnsi"/>
          <w:sz w:val="28"/>
          <w:szCs w:val="28"/>
        </w:rPr>
      </w:pPr>
      <w:r w:rsidRPr="00BD4638">
        <w:rPr>
          <w:rFonts w:ascii="Cambria" w:hAnsi="Cambria" w:cstheme="majorHAnsi"/>
          <w:sz w:val="28"/>
          <w:szCs w:val="28"/>
        </w:rPr>
        <w:t>Since this utility function increases at a constant rate, the decision maker will be indifferent between a sure thing and a lottery with the same expected value.  Thus, this utility function corresponds to a risk-neutral decision maker.</w:t>
      </w:r>
    </w:p>
    <w:p w14:paraId="5119DC28" w14:textId="77777777" w:rsidR="00E44071" w:rsidRPr="00BD4638" w:rsidRDefault="00E44071" w:rsidP="00C027E6">
      <w:pPr>
        <w:pStyle w:val="BodyTextIndent"/>
        <w:ind w:left="0"/>
        <w:rPr>
          <w:rFonts w:ascii="Cambria" w:hAnsi="Cambria" w:cstheme="majorHAnsi"/>
          <w:sz w:val="28"/>
          <w:szCs w:val="28"/>
        </w:rPr>
      </w:pPr>
    </w:p>
    <w:p w14:paraId="3488BC84" w14:textId="77777777" w:rsidR="0041148B" w:rsidRPr="00BD4638" w:rsidRDefault="0031436B" w:rsidP="00C027E6">
      <w:pPr>
        <w:autoSpaceDE w:val="0"/>
        <w:autoSpaceDN w:val="0"/>
        <w:adjustRightInd w:val="0"/>
        <w:rPr>
          <w:rFonts w:ascii="Cambria" w:hAnsi="Cambria" w:cstheme="majorHAnsi"/>
          <w:b/>
          <w:sz w:val="28"/>
          <w:szCs w:val="28"/>
        </w:rPr>
      </w:pPr>
      <w:r w:rsidRPr="00BD4638">
        <w:rPr>
          <w:rFonts w:ascii="Cambria" w:hAnsi="Cambria" w:cstheme="majorHAnsi"/>
          <w:b/>
          <w:bCs/>
          <w:sz w:val="28"/>
          <w:szCs w:val="28"/>
        </w:rPr>
        <w:t>14</w:t>
      </w:r>
      <w:r w:rsidR="0041148B" w:rsidRPr="00BD4638">
        <w:rPr>
          <w:rFonts w:ascii="Cambria" w:hAnsi="Cambria" w:cstheme="majorHAnsi"/>
          <w:b/>
          <w:bCs/>
          <w:sz w:val="28"/>
          <w:szCs w:val="28"/>
        </w:rPr>
        <w:t xml:space="preserve">. </w:t>
      </w:r>
      <w:r w:rsidR="0041148B" w:rsidRPr="00BD4638">
        <w:rPr>
          <w:rFonts w:ascii="Cambria" w:hAnsi="Cambria" w:cstheme="majorHAnsi"/>
          <w:b/>
          <w:sz w:val="28"/>
          <w:szCs w:val="28"/>
        </w:rPr>
        <w:t>Suppose that your utility function is U = √ I. Compute the risk premium of the lotter</w:t>
      </w:r>
      <w:r w:rsidR="00BD4638" w:rsidRPr="00BD4638">
        <w:rPr>
          <w:rFonts w:ascii="Cambria" w:hAnsi="Cambria" w:cstheme="majorHAnsi"/>
          <w:b/>
          <w:sz w:val="28"/>
          <w:szCs w:val="28"/>
        </w:rPr>
        <w:t>y</w:t>
      </w:r>
      <w:r w:rsidR="0041148B" w:rsidRPr="00BD4638">
        <w:rPr>
          <w:rFonts w:ascii="Cambria" w:hAnsi="Cambria" w:cstheme="majorHAnsi"/>
          <w:b/>
          <w:sz w:val="28"/>
          <w:szCs w:val="28"/>
        </w:rPr>
        <w:t xml:space="preserve"> </w:t>
      </w:r>
      <w:r w:rsidR="00BD4638" w:rsidRPr="00BD4638">
        <w:rPr>
          <w:rFonts w:ascii="Cambria" w:hAnsi="Cambria" w:cstheme="majorHAnsi"/>
          <w:sz w:val="28"/>
          <w:szCs w:val="28"/>
        </w:rPr>
        <w:t>where there is a 0.90 chance that you receive a payoff of $0 and a 0.10 chance that you receive a payoff of $400.</w:t>
      </w:r>
    </w:p>
    <w:p w14:paraId="7CB4EDF0" w14:textId="77777777" w:rsidR="0041148B" w:rsidRPr="00BD4638" w:rsidRDefault="0041148B" w:rsidP="00C027E6">
      <w:pPr>
        <w:pStyle w:val="Question"/>
        <w:spacing w:before="0" w:after="0"/>
        <w:ind w:left="0" w:firstLine="0"/>
        <w:rPr>
          <w:rFonts w:ascii="Cambria" w:hAnsi="Cambria" w:cstheme="majorHAnsi"/>
          <w:sz w:val="28"/>
          <w:szCs w:val="28"/>
        </w:rPr>
      </w:pPr>
    </w:p>
    <w:p w14:paraId="44191629" w14:textId="77777777" w:rsidR="00E44071" w:rsidRPr="00BD4638" w:rsidRDefault="00E44071" w:rsidP="00C027E6">
      <w:pPr>
        <w:pStyle w:val="Question"/>
        <w:spacing w:before="0" w:after="0"/>
        <w:ind w:left="0" w:firstLine="0"/>
        <w:rPr>
          <w:rFonts w:ascii="Cambria" w:hAnsi="Cambria" w:cstheme="majorHAnsi"/>
          <w:sz w:val="28"/>
          <w:szCs w:val="28"/>
        </w:rPr>
      </w:pPr>
      <w:r w:rsidRPr="00BD4638">
        <w:rPr>
          <w:rFonts w:ascii="Cambria" w:hAnsi="Cambria" w:cstheme="majorHAnsi"/>
          <w:sz w:val="28"/>
          <w:szCs w:val="28"/>
        </w:rPr>
        <w:t xml:space="preserve">If your utility function were </w:t>
      </w:r>
      <w:r w:rsidRPr="00BD4638">
        <w:rPr>
          <w:rFonts w:ascii="Cambria" w:hAnsi="Cambria" w:cstheme="majorHAnsi"/>
          <w:position w:val="-6"/>
          <w:sz w:val="28"/>
          <w:szCs w:val="28"/>
        </w:rPr>
        <w:object w:dxaOrig="800" w:dyaOrig="340" w14:anchorId="75BEC499">
          <v:shape id="_x0000_i1038" type="#_x0000_t75" style="width:39.75pt;height:17.3pt" o:ole="">
            <v:imagedata r:id="rId16" o:title=""/>
          </v:shape>
          <o:OLEObject Type="Embed" ProgID="Equation.DSMT4" ShapeID="_x0000_i1038" DrawAspect="Content" ObjectID="_1631147573" r:id="rId17"/>
        </w:object>
      </w:r>
      <w:r w:rsidRPr="00BD4638">
        <w:rPr>
          <w:rFonts w:ascii="Cambria" w:hAnsi="Cambria" w:cstheme="majorHAnsi"/>
          <w:sz w:val="28"/>
          <w:szCs w:val="28"/>
        </w:rPr>
        <w:t xml:space="preserve">, then the risk premium associated with Lottery </w:t>
      </w:r>
      <w:r w:rsidRPr="00BD4638">
        <w:rPr>
          <w:rFonts w:ascii="Cambria" w:hAnsi="Cambria" w:cstheme="majorHAnsi"/>
          <w:i/>
          <w:sz w:val="28"/>
          <w:szCs w:val="28"/>
        </w:rPr>
        <w:t xml:space="preserve">A </w:t>
      </w:r>
      <w:r w:rsidRPr="00BD4638">
        <w:rPr>
          <w:rFonts w:ascii="Cambria" w:hAnsi="Cambria" w:cstheme="majorHAnsi"/>
          <w:sz w:val="28"/>
          <w:szCs w:val="28"/>
        </w:rPr>
        <w:t>would be</w:t>
      </w:r>
    </w:p>
    <w:p w14:paraId="1173F40C" w14:textId="77777777" w:rsidR="00E44071" w:rsidRPr="00BD4638" w:rsidRDefault="00E44071" w:rsidP="00C027E6">
      <w:pPr>
        <w:pStyle w:val="MTDisplayEquation"/>
        <w:ind w:left="0"/>
        <w:rPr>
          <w:rFonts w:ascii="Cambria" w:hAnsi="Cambria" w:cstheme="majorHAnsi"/>
          <w:sz w:val="28"/>
          <w:szCs w:val="28"/>
        </w:rPr>
      </w:pPr>
      <w:r w:rsidRPr="00BD4638">
        <w:rPr>
          <w:rFonts w:ascii="Cambria" w:hAnsi="Cambria" w:cstheme="majorHAnsi"/>
          <w:sz w:val="28"/>
          <w:szCs w:val="28"/>
        </w:rPr>
        <w:tab/>
      </w:r>
      <w:r w:rsidRPr="00BD4638">
        <w:rPr>
          <w:rFonts w:ascii="Cambria" w:hAnsi="Cambria" w:cstheme="majorHAnsi"/>
          <w:position w:val="-72"/>
          <w:sz w:val="28"/>
          <w:szCs w:val="28"/>
        </w:rPr>
        <w:object w:dxaOrig="3220" w:dyaOrig="1560" w14:anchorId="32891CB1">
          <v:shape id="_x0000_i1039" type="#_x0000_t75" style="width:161.3pt;height:77.75pt" o:ole="">
            <v:imagedata r:id="rId18" o:title=""/>
          </v:shape>
          <o:OLEObject Type="Embed" ProgID="Equation.DSMT4" ShapeID="_x0000_i1039" DrawAspect="Content" ObjectID="_1631147574" r:id="rId19"/>
        </w:object>
      </w:r>
    </w:p>
    <w:p w14:paraId="1F53B162" w14:textId="77777777" w:rsidR="00342B5C" w:rsidRPr="00BD4638" w:rsidRDefault="0031436B" w:rsidP="00C027E6">
      <w:pPr>
        <w:autoSpaceDE w:val="0"/>
        <w:autoSpaceDN w:val="0"/>
        <w:adjustRightInd w:val="0"/>
        <w:rPr>
          <w:rFonts w:ascii="Cambria" w:hAnsi="Cambria" w:cstheme="majorHAnsi"/>
          <w:b/>
          <w:sz w:val="28"/>
          <w:szCs w:val="28"/>
        </w:rPr>
      </w:pPr>
      <w:r w:rsidRPr="00BD4638">
        <w:rPr>
          <w:rFonts w:ascii="Cambria" w:hAnsi="Cambria" w:cstheme="majorHAnsi"/>
          <w:b/>
          <w:bCs/>
          <w:sz w:val="28"/>
          <w:szCs w:val="28"/>
        </w:rPr>
        <w:lastRenderedPageBreak/>
        <w:t>17</w:t>
      </w:r>
      <w:r w:rsidR="00342B5C" w:rsidRPr="00BD4638">
        <w:rPr>
          <w:rFonts w:ascii="Cambria" w:hAnsi="Cambria" w:cstheme="majorHAnsi"/>
          <w:b/>
          <w:bCs/>
          <w:sz w:val="28"/>
          <w:szCs w:val="28"/>
        </w:rPr>
        <w:t xml:space="preserve">. </w:t>
      </w:r>
      <w:r w:rsidR="00342B5C" w:rsidRPr="00BD4638">
        <w:rPr>
          <w:rFonts w:ascii="Cambria" w:hAnsi="Cambria" w:cstheme="majorHAnsi"/>
          <w:b/>
          <w:sz w:val="28"/>
          <w:szCs w:val="28"/>
        </w:rPr>
        <w:t>Consider a household that possesses $100,000 worth of valuables (computers, stereo equipment, jewelry, and so forth). This household faces a 0.10 probability of a burglary. If a burglary were to occur, the household would have to spend $20,000 to replace the stolen items. Suppose it can buy an insurance policy for $500 that would fully reimburse it for the amount of the loss.</w:t>
      </w:r>
    </w:p>
    <w:p w14:paraId="68C8ADFA" w14:textId="77777777" w:rsidR="00342B5C" w:rsidRPr="00BD4638" w:rsidRDefault="00342B5C" w:rsidP="00C027E6">
      <w:pPr>
        <w:autoSpaceDE w:val="0"/>
        <w:autoSpaceDN w:val="0"/>
        <w:adjustRightInd w:val="0"/>
        <w:rPr>
          <w:rFonts w:ascii="Cambria" w:hAnsi="Cambria" w:cstheme="majorHAnsi"/>
          <w:b/>
          <w:sz w:val="28"/>
          <w:szCs w:val="28"/>
        </w:rPr>
      </w:pPr>
      <w:r w:rsidRPr="00BD4638">
        <w:rPr>
          <w:rFonts w:ascii="Cambria" w:hAnsi="Cambria" w:cstheme="majorHAnsi"/>
          <w:b/>
          <w:sz w:val="28"/>
          <w:szCs w:val="28"/>
        </w:rPr>
        <w:t xml:space="preserve">a) Should the household buy this insurance policy? </w:t>
      </w:r>
    </w:p>
    <w:p w14:paraId="75C7448E" w14:textId="77777777" w:rsidR="00342B5C" w:rsidRPr="00BD4638" w:rsidRDefault="00342B5C" w:rsidP="00C027E6">
      <w:pPr>
        <w:autoSpaceDE w:val="0"/>
        <w:autoSpaceDN w:val="0"/>
        <w:adjustRightInd w:val="0"/>
        <w:rPr>
          <w:rFonts w:ascii="Cambria" w:hAnsi="Cambria" w:cstheme="majorHAnsi"/>
          <w:b/>
          <w:sz w:val="28"/>
          <w:szCs w:val="28"/>
        </w:rPr>
      </w:pPr>
      <w:r w:rsidRPr="00BD4638">
        <w:rPr>
          <w:rFonts w:ascii="Cambria" w:hAnsi="Cambria" w:cstheme="majorHAnsi"/>
          <w:b/>
          <w:sz w:val="28"/>
          <w:szCs w:val="28"/>
        </w:rPr>
        <w:t>c) What is the most the household would be willing to pay for this insurance policy? How does your answer relate to the concept of risk premium discussed in the text?</w:t>
      </w:r>
    </w:p>
    <w:p w14:paraId="789DFBA3" w14:textId="77777777" w:rsidR="00342B5C" w:rsidRPr="00BD4638" w:rsidRDefault="00342B5C" w:rsidP="00C027E6">
      <w:pPr>
        <w:pStyle w:val="Question"/>
        <w:tabs>
          <w:tab w:val="left" w:pos="720"/>
        </w:tabs>
        <w:spacing w:before="0" w:after="0"/>
        <w:ind w:left="0" w:firstLine="0"/>
        <w:rPr>
          <w:rFonts w:ascii="Cambria" w:hAnsi="Cambria" w:cstheme="majorHAnsi"/>
          <w:sz w:val="28"/>
          <w:szCs w:val="28"/>
        </w:rPr>
      </w:pPr>
    </w:p>
    <w:p w14:paraId="5FCB8663" w14:textId="77777777" w:rsidR="00E44071" w:rsidRPr="00BD4638" w:rsidRDefault="00E44071" w:rsidP="00C027E6">
      <w:pPr>
        <w:pStyle w:val="Question"/>
        <w:tabs>
          <w:tab w:val="left" w:pos="720"/>
        </w:tabs>
        <w:spacing w:before="0" w:after="0"/>
        <w:ind w:left="0" w:firstLine="0"/>
        <w:rPr>
          <w:rFonts w:ascii="Cambria" w:hAnsi="Cambria" w:cstheme="majorHAnsi"/>
          <w:sz w:val="28"/>
          <w:szCs w:val="28"/>
        </w:rPr>
      </w:pPr>
      <w:r w:rsidRPr="00BD4638">
        <w:rPr>
          <w:rFonts w:ascii="Cambria" w:hAnsi="Cambria" w:cstheme="majorHAnsi"/>
          <w:sz w:val="28"/>
          <w:szCs w:val="28"/>
        </w:rPr>
        <w:t>a)</w:t>
      </w:r>
      <w:r w:rsidR="00342B5C" w:rsidRPr="00BD4638">
        <w:rPr>
          <w:rFonts w:ascii="Cambria" w:hAnsi="Cambria" w:cstheme="majorHAnsi"/>
          <w:sz w:val="28"/>
          <w:szCs w:val="28"/>
        </w:rPr>
        <w:t xml:space="preserve">  </w:t>
      </w:r>
      <w:r w:rsidR="002E5BDB" w:rsidRPr="00BD4638">
        <w:rPr>
          <w:rFonts w:ascii="Cambria" w:hAnsi="Cambria" w:cstheme="majorHAnsi"/>
          <w:sz w:val="28"/>
          <w:szCs w:val="28"/>
        </w:rPr>
        <w:t>I</w:t>
      </w:r>
      <w:r w:rsidRPr="00BD4638">
        <w:rPr>
          <w:rFonts w:ascii="Cambria" w:hAnsi="Cambria" w:cstheme="majorHAnsi"/>
          <w:sz w:val="28"/>
          <w:szCs w:val="28"/>
        </w:rPr>
        <w:t>f you remain uninsured, you face a lottery in which you have 10% chance of $80,000 in valuables and a 90% chance of $100,000 in valuables.  The expected value of valuables is thus $98,000.</w:t>
      </w:r>
    </w:p>
    <w:p w14:paraId="1DEF6CA4" w14:textId="77777777" w:rsidR="00E44071" w:rsidRPr="00BD4638" w:rsidRDefault="00E44071" w:rsidP="00C027E6">
      <w:pPr>
        <w:pStyle w:val="BodyTextIndent"/>
        <w:ind w:left="0"/>
        <w:rPr>
          <w:rFonts w:ascii="Cambria" w:hAnsi="Cambria" w:cstheme="majorHAnsi"/>
          <w:sz w:val="28"/>
          <w:szCs w:val="28"/>
        </w:rPr>
      </w:pPr>
      <w:r w:rsidRPr="00BD4638">
        <w:rPr>
          <w:rFonts w:ascii="Cambria" w:hAnsi="Cambria" w:cstheme="majorHAnsi"/>
          <w:sz w:val="28"/>
          <w:szCs w:val="28"/>
        </w:rPr>
        <w:t xml:space="preserve">If you purchase the insurance policy for $500, then with no burglary you have </w:t>
      </w:r>
      <w:r w:rsidRPr="00BD4638">
        <w:rPr>
          <w:rFonts w:ascii="Cambria" w:hAnsi="Cambria" w:cstheme="majorHAnsi"/>
          <w:position w:val="-10"/>
          <w:sz w:val="28"/>
          <w:szCs w:val="28"/>
        </w:rPr>
        <w:object w:dxaOrig="2439" w:dyaOrig="320" w14:anchorId="511E768F">
          <v:shape id="_x0000_i1041" type="#_x0000_t75" style="width:122.1pt;height:16.15pt" o:ole="">
            <v:imagedata r:id="rId20" o:title=""/>
          </v:shape>
          <o:OLEObject Type="Embed" ProgID="Equation.DSMT4" ShapeID="_x0000_i1041" DrawAspect="Content" ObjectID="_1631147575" r:id="rId21"/>
        </w:object>
      </w:r>
      <w:r w:rsidRPr="00BD4638">
        <w:rPr>
          <w:rFonts w:ascii="Cambria" w:hAnsi="Cambria" w:cstheme="majorHAnsi"/>
          <w:sz w:val="28"/>
          <w:szCs w:val="28"/>
        </w:rPr>
        <w:t xml:space="preserve"> and with a burglary you have </w:t>
      </w:r>
      <w:r w:rsidRPr="00BD4638">
        <w:rPr>
          <w:rFonts w:ascii="Cambria" w:hAnsi="Cambria" w:cstheme="majorHAnsi"/>
          <w:position w:val="-10"/>
          <w:sz w:val="28"/>
          <w:szCs w:val="28"/>
        </w:rPr>
        <w:object w:dxaOrig="4239" w:dyaOrig="320" w14:anchorId="18B73800">
          <v:shape id="_x0000_i1042" type="#_x0000_t75" style="width:211.95pt;height:16.15pt" o:ole="">
            <v:imagedata r:id="rId22" o:title=""/>
          </v:shape>
          <o:OLEObject Type="Embed" ProgID="Equation.DSMT4" ShapeID="_x0000_i1042" DrawAspect="Content" ObjectID="_1631147576" r:id="rId23"/>
        </w:object>
      </w:r>
      <w:r w:rsidRPr="00BD4638">
        <w:rPr>
          <w:rFonts w:ascii="Cambria" w:hAnsi="Cambria" w:cstheme="majorHAnsi"/>
          <w:sz w:val="28"/>
          <w:szCs w:val="28"/>
        </w:rPr>
        <w:t>.  The expected value if you purchase the policy is therefore $99,500.  Since the expected value at year end with insurance exceeds the expected value at year end without insurance, you should purchase the insurance policy for $500.</w:t>
      </w:r>
    </w:p>
    <w:p w14:paraId="05279FE8" w14:textId="77777777" w:rsidR="00E44071" w:rsidRPr="00BD4638" w:rsidRDefault="00E44071" w:rsidP="00C027E6">
      <w:pPr>
        <w:pStyle w:val="BodyTextIndent"/>
        <w:ind w:left="0"/>
        <w:rPr>
          <w:rFonts w:ascii="Cambria" w:hAnsi="Cambria" w:cstheme="majorHAnsi"/>
          <w:sz w:val="28"/>
          <w:szCs w:val="28"/>
        </w:rPr>
      </w:pPr>
    </w:p>
    <w:p w14:paraId="5C2E2FF7" w14:textId="77777777" w:rsidR="00E44071" w:rsidRPr="00BD4638" w:rsidRDefault="00E44071" w:rsidP="00C027E6">
      <w:pPr>
        <w:pStyle w:val="Answer"/>
        <w:spacing w:after="0"/>
        <w:ind w:left="0" w:firstLine="0"/>
        <w:rPr>
          <w:rFonts w:ascii="Cambria" w:hAnsi="Cambria" w:cstheme="majorHAnsi"/>
          <w:sz w:val="28"/>
          <w:szCs w:val="28"/>
        </w:rPr>
      </w:pPr>
      <w:r w:rsidRPr="00BD4638">
        <w:rPr>
          <w:rFonts w:ascii="Cambria" w:hAnsi="Cambria" w:cstheme="majorHAnsi"/>
          <w:sz w:val="28"/>
          <w:szCs w:val="28"/>
        </w:rPr>
        <w:t>c)</w:t>
      </w:r>
      <w:r w:rsidR="00342B5C" w:rsidRPr="00BD4638">
        <w:rPr>
          <w:rFonts w:ascii="Cambria" w:hAnsi="Cambria" w:cstheme="majorHAnsi"/>
          <w:sz w:val="28"/>
          <w:szCs w:val="28"/>
        </w:rPr>
        <w:t xml:space="preserve">  </w:t>
      </w:r>
      <w:r w:rsidRPr="00BD4638">
        <w:rPr>
          <w:rFonts w:ascii="Cambria" w:hAnsi="Cambria" w:cstheme="majorHAnsi"/>
          <w:sz w:val="28"/>
          <w:szCs w:val="28"/>
        </w:rPr>
        <w:t>Since without the policy you would have an expected value $2,000 less than the value of the valuables, the most you would be willing to pay for an insurance policy that fully reimburses for loss is $2,000.</w:t>
      </w:r>
    </w:p>
    <w:p w14:paraId="70A458F0" w14:textId="77777777" w:rsidR="0041148B" w:rsidRPr="00BD4638" w:rsidRDefault="0041148B" w:rsidP="00C027E6">
      <w:pPr>
        <w:pStyle w:val="Question"/>
        <w:spacing w:before="0" w:after="0"/>
        <w:ind w:left="0" w:firstLine="0"/>
        <w:rPr>
          <w:rFonts w:ascii="Cambria" w:hAnsi="Cambria" w:cstheme="majorHAnsi"/>
          <w:sz w:val="28"/>
          <w:szCs w:val="28"/>
        </w:rPr>
      </w:pPr>
    </w:p>
    <w:p w14:paraId="6BF4D443" w14:textId="77777777" w:rsidR="00342B5C" w:rsidRPr="00BD4638" w:rsidRDefault="00342B5C" w:rsidP="00C027E6">
      <w:pPr>
        <w:autoSpaceDE w:val="0"/>
        <w:autoSpaceDN w:val="0"/>
        <w:adjustRightInd w:val="0"/>
        <w:rPr>
          <w:rFonts w:ascii="Cambria" w:hAnsi="Cambria" w:cstheme="majorHAnsi"/>
          <w:b/>
          <w:sz w:val="28"/>
          <w:szCs w:val="28"/>
        </w:rPr>
      </w:pPr>
      <w:r w:rsidRPr="00BD4638">
        <w:rPr>
          <w:rFonts w:ascii="Cambria" w:hAnsi="Cambria" w:cstheme="majorHAnsi"/>
          <w:b/>
          <w:bCs/>
          <w:sz w:val="28"/>
          <w:szCs w:val="28"/>
        </w:rPr>
        <w:t xml:space="preserve">19. </w:t>
      </w:r>
      <w:r w:rsidRPr="00BD4638">
        <w:rPr>
          <w:rFonts w:ascii="Cambria" w:hAnsi="Cambria" w:cstheme="majorHAnsi"/>
          <w:b/>
          <w:sz w:val="28"/>
          <w:szCs w:val="28"/>
        </w:rPr>
        <w:t xml:space="preserve">You are a relatively safe driver. The probability that you will have an accident is only 1 percent. If you do have an accident, the cost of repairs and alternative transportation would reduce your disposable income from $120,000 to $60,000. Auto collision insurance that will fully insure you against your loss is being sold at a price of $0.10 for every $1 of coverage. Finally, suppose that your utility function is </w:t>
      </w:r>
      <w:r w:rsidRPr="00BD4638">
        <w:rPr>
          <w:rFonts w:ascii="Cambria" w:hAnsi="Cambria" w:cstheme="majorHAnsi"/>
          <w:b/>
          <w:i/>
          <w:iCs/>
          <w:sz w:val="28"/>
          <w:szCs w:val="28"/>
        </w:rPr>
        <w:t xml:space="preserve">U </w:t>
      </w:r>
      <w:r w:rsidRPr="00BD4638">
        <w:rPr>
          <w:rFonts w:ascii="Cambria" w:hAnsi="Cambria" w:cstheme="majorHAnsi"/>
          <w:b/>
          <w:sz w:val="28"/>
          <w:szCs w:val="28"/>
        </w:rPr>
        <w:t>= √</w:t>
      </w:r>
      <w:r w:rsidRPr="00BD4638">
        <w:rPr>
          <w:rFonts w:ascii="Cambria" w:hAnsi="Cambria" w:cstheme="majorHAnsi"/>
          <w:b/>
          <w:i/>
          <w:iCs/>
          <w:sz w:val="28"/>
          <w:szCs w:val="28"/>
        </w:rPr>
        <w:t>I</w:t>
      </w:r>
      <w:r w:rsidRPr="00BD4638">
        <w:rPr>
          <w:rFonts w:ascii="Cambria" w:hAnsi="Cambria" w:cstheme="majorHAnsi"/>
          <w:b/>
          <w:sz w:val="28"/>
          <w:szCs w:val="28"/>
        </w:rPr>
        <w:t>.</w:t>
      </w:r>
    </w:p>
    <w:p w14:paraId="2A800FE4" w14:textId="77777777" w:rsidR="00342B5C" w:rsidRPr="00BD4638" w:rsidRDefault="00342B5C" w:rsidP="00C027E6">
      <w:pPr>
        <w:autoSpaceDE w:val="0"/>
        <w:autoSpaceDN w:val="0"/>
        <w:adjustRightInd w:val="0"/>
        <w:rPr>
          <w:rFonts w:ascii="Cambria" w:hAnsi="Cambria" w:cstheme="majorHAnsi"/>
          <w:b/>
          <w:sz w:val="28"/>
          <w:szCs w:val="28"/>
        </w:rPr>
      </w:pPr>
      <w:r w:rsidRPr="00BD4638">
        <w:rPr>
          <w:rFonts w:ascii="Cambria" w:hAnsi="Cambria" w:cstheme="majorHAnsi"/>
          <w:b/>
          <w:sz w:val="28"/>
          <w:szCs w:val="28"/>
        </w:rPr>
        <w:t>You are considering two alternatives: buying a policy with a $1,000 deductible that essentially provides just $59,000 worth of coverage, or buying a policy that fully insures you against damage. The price of the first policy is $5,900. The price of the second policy is $6,000. Which policy do you prefer?</w:t>
      </w:r>
    </w:p>
    <w:p w14:paraId="0DEE79EB" w14:textId="77777777" w:rsidR="00342B5C" w:rsidRPr="00BD4638" w:rsidRDefault="00342B5C" w:rsidP="00C027E6">
      <w:pPr>
        <w:pStyle w:val="Question"/>
        <w:spacing w:before="0" w:after="0"/>
        <w:ind w:left="0" w:firstLine="0"/>
        <w:rPr>
          <w:rFonts w:ascii="Cambria" w:hAnsi="Cambria" w:cstheme="majorHAnsi"/>
          <w:sz w:val="28"/>
          <w:szCs w:val="28"/>
        </w:rPr>
      </w:pPr>
    </w:p>
    <w:p w14:paraId="10C7E8EB" w14:textId="77777777" w:rsidR="002C796D" w:rsidRPr="00BD4638" w:rsidRDefault="002C796D" w:rsidP="00C027E6">
      <w:pPr>
        <w:pStyle w:val="Question"/>
        <w:spacing w:before="0" w:after="0"/>
        <w:ind w:left="0" w:firstLine="0"/>
        <w:rPr>
          <w:rFonts w:ascii="Cambria" w:hAnsi="Cambria" w:cstheme="majorHAnsi"/>
          <w:sz w:val="28"/>
          <w:szCs w:val="28"/>
        </w:rPr>
      </w:pPr>
      <w:r w:rsidRPr="00BD4638">
        <w:rPr>
          <w:rFonts w:ascii="Cambria" w:hAnsi="Cambria" w:cstheme="majorHAnsi"/>
          <w:sz w:val="28"/>
          <w:szCs w:val="28"/>
        </w:rPr>
        <w:t xml:space="preserve">Your expected utility if you buy the </w:t>
      </w:r>
      <w:r w:rsidR="007C4B9A" w:rsidRPr="00BD4638">
        <w:rPr>
          <w:rFonts w:ascii="Cambria" w:hAnsi="Cambria" w:cstheme="majorHAnsi"/>
          <w:sz w:val="28"/>
          <w:szCs w:val="28"/>
        </w:rPr>
        <w:t xml:space="preserve">first </w:t>
      </w:r>
      <w:r w:rsidRPr="00BD4638">
        <w:rPr>
          <w:rFonts w:ascii="Cambria" w:hAnsi="Cambria" w:cstheme="majorHAnsi"/>
          <w:sz w:val="28"/>
          <w:szCs w:val="28"/>
        </w:rPr>
        <w:t xml:space="preserve">policy is </w:t>
      </w:r>
    </w:p>
    <w:p w14:paraId="603F29DB" w14:textId="77777777" w:rsidR="002C796D" w:rsidRPr="00BD4638" w:rsidRDefault="007C4B9A" w:rsidP="00C027E6">
      <w:pPr>
        <w:jc w:val="center"/>
        <w:rPr>
          <w:rFonts w:ascii="Cambria" w:hAnsi="Cambria" w:cstheme="majorHAnsi"/>
          <w:sz w:val="28"/>
          <w:szCs w:val="28"/>
        </w:rPr>
      </w:pPr>
      <w:r w:rsidRPr="00BD4638">
        <w:rPr>
          <w:rFonts w:ascii="Cambria" w:hAnsi="Cambria" w:cstheme="majorHAnsi"/>
          <w:position w:val="-12"/>
          <w:sz w:val="28"/>
          <w:szCs w:val="28"/>
        </w:rPr>
        <w:object w:dxaOrig="6960" w:dyaOrig="400" w14:anchorId="47EC08A1">
          <v:shape id="_x0000_i1043" type="#_x0000_t75" style="width:347.9pt;height:20.15pt" o:ole="">
            <v:imagedata r:id="rId24" o:title=""/>
          </v:shape>
          <o:OLEObject Type="Embed" ProgID="Equation.3" ShapeID="_x0000_i1043" DrawAspect="Content" ObjectID="_1631147577" r:id="rId25"/>
        </w:object>
      </w:r>
      <w:r w:rsidR="002C796D" w:rsidRPr="00BD4638">
        <w:rPr>
          <w:rFonts w:ascii="Cambria" w:hAnsi="Cambria" w:cstheme="majorHAnsi"/>
          <w:sz w:val="28"/>
          <w:szCs w:val="28"/>
        </w:rPr>
        <w:t>.</w:t>
      </w:r>
    </w:p>
    <w:p w14:paraId="72359005" w14:textId="77777777" w:rsidR="002C796D" w:rsidRPr="00BD4638" w:rsidRDefault="002C796D" w:rsidP="00C027E6">
      <w:pPr>
        <w:pStyle w:val="Answer"/>
        <w:spacing w:after="0"/>
        <w:ind w:left="0" w:firstLine="0"/>
        <w:rPr>
          <w:rFonts w:ascii="Cambria" w:hAnsi="Cambria" w:cstheme="majorHAnsi"/>
          <w:sz w:val="28"/>
          <w:szCs w:val="28"/>
        </w:rPr>
      </w:pPr>
      <w:r w:rsidRPr="00BD4638">
        <w:rPr>
          <w:rFonts w:ascii="Cambria" w:hAnsi="Cambria" w:cstheme="majorHAnsi"/>
          <w:sz w:val="28"/>
          <w:szCs w:val="28"/>
        </w:rPr>
        <w:t xml:space="preserve">If you buy </w:t>
      </w:r>
      <w:r w:rsidR="007C4B9A" w:rsidRPr="00BD4638">
        <w:rPr>
          <w:rFonts w:ascii="Cambria" w:hAnsi="Cambria" w:cstheme="majorHAnsi"/>
          <w:sz w:val="28"/>
          <w:szCs w:val="28"/>
        </w:rPr>
        <w:t>the second policy</w:t>
      </w:r>
      <w:r w:rsidRPr="00BD4638">
        <w:rPr>
          <w:rFonts w:ascii="Cambria" w:hAnsi="Cambria" w:cstheme="majorHAnsi"/>
          <w:sz w:val="28"/>
          <w:szCs w:val="28"/>
        </w:rPr>
        <w:t>, your expected utility is</w:t>
      </w:r>
    </w:p>
    <w:p w14:paraId="0BE30B60" w14:textId="77777777" w:rsidR="002C796D" w:rsidRPr="00BD4638" w:rsidRDefault="007C4B9A" w:rsidP="00C027E6">
      <w:pPr>
        <w:pStyle w:val="Answer"/>
        <w:spacing w:after="0"/>
        <w:ind w:left="0" w:firstLine="0"/>
        <w:jc w:val="center"/>
        <w:rPr>
          <w:rFonts w:ascii="Cambria" w:hAnsi="Cambria" w:cstheme="majorHAnsi"/>
          <w:sz w:val="28"/>
          <w:szCs w:val="28"/>
        </w:rPr>
      </w:pPr>
      <w:r w:rsidRPr="00BD4638">
        <w:rPr>
          <w:rFonts w:ascii="Cambria" w:hAnsi="Cambria" w:cstheme="majorHAnsi"/>
          <w:position w:val="-12"/>
          <w:sz w:val="28"/>
          <w:szCs w:val="28"/>
        </w:rPr>
        <w:object w:dxaOrig="6960" w:dyaOrig="400" w14:anchorId="4513DDE8">
          <v:shape id="_x0000_i1044" type="#_x0000_t75" style="width:347.9pt;height:20.15pt" o:ole="">
            <v:imagedata r:id="rId26" o:title=""/>
          </v:shape>
          <o:OLEObject Type="Embed" ProgID="Equation.3" ShapeID="_x0000_i1044" DrawAspect="Content" ObjectID="_1631147578" r:id="rId27"/>
        </w:object>
      </w:r>
    </w:p>
    <w:p w14:paraId="20382995" w14:textId="77777777" w:rsidR="002C796D" w:rsidRPr="00BD4638" w:rsidRDefault="002C796D" w:rsidP="00C027E6">
      <w:pPr>
        <w:pStyle w:val="Answer"/>
        <w:spacing w:after="0"/>
        <w:ind w:left="0" w:firstLine="0"/>
        <w:rPr>
          <w:rFonts w:ascii="Cambria" w:hAnsi="Cambria" w:cstheme="majorHAnsi"/>
          <w:sz w:val="28"/>
          <w:szCs w:val="28"/>
        </w:rPr>
      </w:pPr>
      <w:r w:rsidRPr="00BD4638">
        <w:rPr>
          <w:rFonts w:ascii="Cambria" w:hAnsi="Cambria" w:cstheme="majorHAnsi"/>
          <w:sz w:val="28"/>
          <w:szCs w:val="28"/>
        </w:rPr>
        <w:t xml:space="preserve">Your expected utility is higher when you buy the </w:t>
      </w:r>
      <w:r w:rsidR="007C4B9A" w:rsidRPr="00BD4638">
        <w:rPr>
          <w:rFonts w:ascii="Cambria" w:hAnsi="Cambria" w:cstheme="majorHAnsi"/>
          <w:sz w:val="28"/>
          <w:szCs w:val="28"/>
        </w:rPr>
        <w:t xml:space="preserve">first </w:t>
      </w:r>
      <w:r w:rsidRPr="00BD4638">
        <w:rPr>
          <w:rFonts w:ascii="Cambria" w:hAnsi="Cambria" w:cstheme="majorHAnsi"/>
          <w:sz w:val="28"/>
          <w:szCs w:val="28"/>
        </w:rPr>
        <w:t>policy.</w:t>
      </w:r>
    </w:p>
    <w:p w14:paraId="080A7105" w14:textId="77777777" w:rsidR="00BB4588" w:rsidRPr="00BD4638" w:rsidRDefault="00BB4588" w:rsidP="00C027E6">
      <w:pPr>
        <w:pStyle w:val="BodyTextIndent"/>
        <w:ind w:left="0"/>
        <w:rPr>
          <w:rFonts w:ascii="Cambria" w:hAnsi="Cambria" w:cstheme="majorHAnsi"/>
          <w:sz w:val="28"/>
          <w:szCs w:val="28"/>
        </w:rPr>
      </w:pPr>
    </w:p>
    <w:p w14:paraId="139E8D1C" w14:textId="77777777" w:rsidR="00342B5C" w:rsidRPr="00BD4638" w:rsidRDefault="00342B5C" w:rsidP="00C027E6">
      <w:pPr>
        <w:autoSpaceDE w:val="0"/>
        <w:autoSpaceDN w:val="0"/>
        <w:adjustRightInd w:val="0"/>
        <w:rPr>
          <w:rFonts w:ascii="Cambria" w:hAnsi="Cambria" w:cstheme="majorHAnsi"/>
          <w:b/>
          <w:sz w:val="28"/>
          <w:szCs w:val="28"/>
        </w:rPr>
      </w:pPr>
      <w:r w:rsidRPr="00BD4638">
        <w:rPr>
          <w:rFonts w:ascii="Cambria" w:hAnsi="Cambria" w:cstheme="majorHAnsi"/>
          <w:b/>
          <w:bCs/>
          <w:sz w:val="28"/>
          <w:szCs w:val="28"/>
        </w:rPr>
        <w:t xml:space="preserve">20. </w:t>
      </w:r>
      <w:r w:rsidRPr="00BD4638">
        <w:rPr>
          <w:rFonts w:ascii="Cambria" w:hAnsi="Cambria" w:cstheme="majorHAnsi"/>
          <w:b/>
          <w:sz w:val="28"/>
          <w:szCs w:val="28"/>
        </w:rPr>
        <w:t xml:space="preserve">Consider a market of risk-averse decision makers, each with a utility function </w:t>
      </w:r>
      <w:r w:rsidRPr="00BD4638">
        <w:rPr>
          <w:rFonts w:ascii="Cambria" w:hAnsi="Cambria" w:cstheme="majorHAnsi"/>
          <w:b/>
          <w:i/>
          <w:iCs/>
          <w:sz w:val="28"/>
          <w:szCs w:val="28"/>
        </w:rPr>
        <w:t xml:space="preserve">U </w:t>
      </w:r>
      <w:r w:rsidRPr="00BD4638">
        <w:rPr>
          <w:rFonts w:ascii="Cambria" w:hAnsi="Cambria" w:cstheme="majorHAnsi"/>
          <w:b/>
          <w:sz w:val="28"/>
          <w:szCs w:val="28"/>
        </w:rPr>
        <w:t>= √</w:t>
      </w:r>
      <w:r w:rsidRPr="00BD4638">
        <w:rPr>
          <w:rFonts w:ascii="Cambria" w:hAnsi="Cambria" w:cstheme="majorHAnsi"/>
          <w:b/>
          <w:i/>
          <w:iCs/>
          <w:sz w:val="28"/>
          <w:szCs w:val="28"/>
        </w:rPr>
        <w:t>I</w:t>
      </w:r>
      <w:r w:rsidRPr="00BD4638">
        <w:rPr>
          <w:rFonts w:ascii="Cambria" w:hAnsi="Cambria" w:cstheme="majorHAnsi"/>
          <w:b/>
          <w:sz w:val="28"/>
          <w:szCs w:val="28"/>
        </w:rPr>
        <w:t xml:space="preserve">. Each decision maker has an income of $90,000, but faces the possibility of a catastrophic loss of $50,000 in income. Each decision maker can purchase an insurance policy that fully compensates her for her loss. This insurance policy has a cost of $5,900. Suppose each decision maker potentially has a different probability </w:t>
      </w:r>
      <w:r w:rsidRPr="00BD4638">
        <w:rPr>
          <w:rFonts w:ascii="Cambria" w:hAnsi="Cambria" w:cstheme="majorHAnsi"/>
          <w:b/>
          <w:i/>
          <w:iCs/>
          <w:sz w:val="28"/>
          <w:szCs w:val="28"/>
        </w:rPr>
        <w:t xml:space="preserve">q </w:t>
      </w:r>
      <w:r w:rsidRPr="00BD4638">
        <w:rPr>
          <w:rFonts w:ascii="Cambria" w:hAnsi="Cambria" w:cstheme="majorHAnsi"/>
          <w:b/>
          <w:sz w:val="28"/>
          <w:szCs w:val="28"/>
        </w:rPr>
        <w:t>of experiencing the loss.</w:t>
      </w:r>
    </w:p>
    <w:p w14:paraId="449818CE" w14:textId="77777777" w:rsidR="00342B5C" w:rsidRPr="00BD4638" w:rsidRDefault="00342B5C" w:rsidP="00C027E6">
      <w:pPr>
        <w:autoSpaceDE w:val="0"/>
        <w:autoSpaceDN w:val="0"/>
        <w:adjustRightInd w:val="0"/>
        <w:rPr>
          <w:rFonts w:ascii="Cambria" w:hAnsi="Cambria" w:cstheme="majorHAnsi"/>
          <w:b/>
          <w:sz w:val="28"/>
          <w:szCs w:val="28"/>
        </w:rPr>
      </w:pPr>
      <w:r w:rsidRPr="00BD4638">
        <w:rPr>
          <w:rFonts w:ascii="Cambria" w:hAnsi="Cambria" w:cstheme="majorHAnsi"/>
          <w:b/>
          <w:sz w:val="28"/>
          <w:szCs w:val="28"/>
        </w:rPr>
        <w:lastRenderedPageBreak/>
        <w:t xml:space="preserve">a) What is the smallest value of </w:t>
      </w:r>
      <w:r w:rsidRPr="00BD4638">
        <w:rPr>
          <w:rFonts w:ascii="Cambria" w:hAnsi="Cambria" w:cstheme="majorHAnsi"/>
          <w:b/>
          <w:i/>
          <w:iCs/>
          <w:sz w:val="28"/>
          <w:szCs w:val="28"/>
        </w:rPr>
        <w:t xml:space="preserve">q </w:t>
      </w:r>
      <w:r w:rsidRPr="00BD4638">
        <w:rPr>
          <w:rFonts w:ascii="Cambria" w:hAnsi="Cambria" w:cstheme="majorHAnsi"/>
          <w:b/>
          <w:sz w:val="28"/>
          <w:szCs w:val="28"/>
        </w:rPr>
        <w:t>so that a decision maker purchases insurance?</w:t>
      </w:r>
    </w:p>
    <w:p w14:paraId="19FC6211" w14:textId="77777777" w:rsidR="00342B5C" w:rsidRPr="00BD4638" w:rsidRDefault="00342B5C" w:rsidP="00C027E6">
      <w:pPr>
        <w:pStyle w:val="Question"/>
        <w:spacing w:before="0" w:after="0"/>
        <w:ind w:left="0" w:firstLine="0"/>
        <w:rPr>
          <w:rFonts w:ascii="Cambria" w:hAnsi="Cambria" w:cstheme="majorHAnsi"/>
          <w:sz w:val="28"/>
          <w:szCs w:val="28"/>
        </w:rPr>
      </w:pPr>
    </w:p>
    <w:p w14:paraId="024AE7BE" w14:textId="77777777" w:rsidR="007C4B9A" w:rsidRPr="00BD4638" w:rsidRDefault="007C4B9A" w:rsidP="00C027E6">
      <w:pPr>
        <w:pStyle w:val="Question"/>
        <w:spacing w:before="0" w:after="0"/>
        <w:ind w:left="0" w:firstLine="0"/>
        <w:rPr>
          <w:rFonts w:ascii="Cambria" w:hAnsi="Cambria" w:cstheme="majorHAnsi"/>
          <w:sz w:val="28"/>
          <w:szCs w:val="28"/>
        </w:rPr>
      </w:pPr>
      <w:r w:rsidRPr="00BD4638">
        <w:rPr>
          <w:rFonts w:ascii="Cambria" w:hAnsi="Cambria" w:cstheme="majorHAnsi"/>
          <w:sz w:val="28"/>
          <w:szCs w:val="28"/>
        </w:rPr>
        <w:t xml:space="preserve">a) </w:t>
      </w:r>
      <w:r w:rsidRPr="00BD4638">
        <w:rPr>
          <w:rFonts w:ascii="Cambria" w:hAnsi="Cambria" w:cstheme="majorHAnsi"/>
          <w:sz w:val="28"/>
          <w:szCs w:val="28"/>
        </w:rPr>
        <w:tab/>
        <w:t>If an ind</w:t>
      </w:r>
      <w:r w:rsidR="007920E0" w:rsidRPr="00BD4638">
        <w:rPr>
          <w:rFonts w:ascii="Cambria" w:hAnsi="Cambria" w:cstheme="majorHAnsi"/>
          <w:sz w:val="28"/>
          <w:szCs w:val="28"/>
        </w:rPr>
        <w:t>ividual purchases insurance, her</w:t>
      </w:r>
      <w:r w:rsidRPr="00BD4638">
        <w:rPr>
          <w:rFonts w:ascii="Cambria" w:hAnsi="Cambria" w:cstheme="majorHAnsi"/>
          <w:sz w:val="28"/>
          <w:szCs w:val="28"/>
        </w:rPr>
        <w:t xml:space="preserve"> (certain) utility is </w:t>
      </w:r>
    </w:p>
    <w:p w14:paraId="0EA91508" w14:textId="77777777" w:rsidR="007C4B9A" w:rsidRPr="00BD4638" w:rsidRDefault="007C4B9A" w:rsidP="00C027E6">
      <w:pPr>
        <w:pStyle w:val="Answer"/>
        <w:spacing w:after="0"/>
        <w:ind w:left="0" w:firstLine="0"/>
        <w:jc w:val="center"/>
        <w:rPr>
          <w:rFonts w:ascii="Cambria" w:hAnsi="Cambria" w:cstheme="majorHAnsi"/>
          <w:sz w:val="28"/>
          <w:szCs w:val="28"/>
        </w:rPr>
      </w:pPr>
      <w:r w:rsidRPr="00BD4638">
        <w:rPr>
          <w:rFonts w:ascii="Cambria" w:hAnsi="Cambria" w:cstheme="majorHAnsi"/>
          <w:position w:val="-12"/>
          <w:sz w:val="28"/>
          <w:szCs w:val="28"/>
        </w:rPr>
        <w:object w:dxaOrig="2320" w:dyaOrig="400" w14:anchorId="2634E9D2">
          <v:shape id="_x0000_i1045" type="#_x0000_t75" style="width:115.8pt;height:20.15pt" o:ole="">
            <v:imagedata r:id="rId28" o:title=""/>
          </v:shape>
          <o:OLEObject Type="Embed" ProgID="Equation.3" ShapeID="_x0000_i1045" DrawAspect="Content" ObjectID="_1631147579" r:id="rId29"/>
        </w:object>
      </w:r>
    </w:p>
    <w:p w14:paraId="07987F72" w14:textId="77777777" w:rsidR="007C4B9A" w:rsidRPr="00BD4638" w:rsidRDefault="007C4B9A" w:rsidP="00C027E6">
      <w:pPr>
        <w:pStyle w:val="Answer"/>
        <w:spacing w:after="0"/>
        <w:ind w:left="0" w:firstLine="0"/>
        <w:rPr>
          <w:rFonts w:ascii="Cambria" w:hAnsi="Cambria" w:cstheme="majorHAnsi"/>
          <w:sz w:val="28"/>
          <w:szCs w:val="28"/>
        </w:rPr>
      </w:pPr>
      <w:r w:rsidRPr="00BD4638">
        <w:rPr>
          <w:rFonts w:ascii="Cambria" w:hAnsi="Cambria" w:cstheme="majorHAnsi"/>
          <w:sz w:val="28"/>
          <w:szCs w:val="28"/>
        </w:rPr>
        <w:t xml:space="preserve">If an individual does not purchase insurance, </w:t>
      </w:r>
      <w:r w:rsidR="007920E0" w:rsidRPr="00BD4638">
        <w:rPr>
          <w:rFonts w:ascii="Cambria" w:hAnsi="Cambria" w:cstheme="majorHAnsi"/>
          <w:sz w:val="28"/>
          <w:szCs w:val="28"/>
        </w:rPr>
        <w:t>her</w:t>
      </w:r>
      <w:r w:rsidRPr="00BD4638">
        <w:rPr>
          <w:rFonts w:ascii="Cambria" w:hAnsi="Cambria" w:cstheme="majorHAnsi"/>
          <w:sz w:val="28"/>
          <w:szCs w:val="28"/>
        </w:rPr>
        <w:t xml:space="preserve"> expected utility is</w:t>
      </w:r>
    </w:p>
    <w:p w14:paraId="005DF0FD" w14:textId="77777777" w:rsidR="007C4B9A" w:rsidRPr="00BD4638" w:rsidRDefault="007920E0" w:rsidP="00C027E6">
      <w:pPr>
        <w:pStyle w:val="Answer"/>
        <w:spacing w:after="0"/>
        <w:ind w:left="0" w:firstLine="0"/>
        <w:jc w:val="center"/>
        <w:rPr>
          <w:rFonts w:ascii="Cambria" w:hAnsi="Cambria" w:cstheme="majorHAnsi"/>
          <w:sz w:val="28"/>
          <w:szCs w:val="28"/>
        </w:rPr>
      </w:pPr>
      <w:r w:rsidRPr="00BD4638">
        <w:rPr>
          <w:rFonts w:ascii="Cambria" w:hAnsi="Cambria" w:cstheme="majorHAnsi"/>
          <w:position w:val="-32"/>
          <w:sz w:val="28"/>
          <w:szCs w:val="28"/>
        </w:rPr>
        <w:object w:dxaOrig="3519" w:dyaOrig="760" w14:anchorId="56FADD47">
          <v:shape id="_x0000_i1046" type="#_x0000_t75" style="width:175.7pt;height:38pt" o:ole="">
            <v:imagedata r:id="rId30" o:title=""/>
          </v:shape>
          <o:OLEObject Type="Embed" ProgID="Equation.3" ShapeID="_x0000_i1046" DrawAspect="Content" ObjectID="_1631147580" r:id="rId31"/>
        </w:object>
      </w:r>
    </w:p>
    <w:p w14:paraId="2EF2D2B5" w14:textId="77777777" w:rsidR="007C4B9A" w:rsidRPr="00BD4638" w:rsidRDefault="007C4B9A" w:rsidP="00C027E6">
      <w:pPr>
        <w:pStyle w:val="Answer"/>
        <w:spacing w:after="0"/>
        <w:ind w:left="0" w:firstLine="0"/>
        <w:rPr>
          <w:rFonts w:ascii="Cambria" w:hAnsi="Cambria" w:cstheme="majorHAnsi"/>
          <w:sz w:val="28"/>
          <w:szCs w:val="28"/>
        </w:rPr>
      </w:pPr>
      <w:r w:rsidRPr="00BD4638">
        <w:rPr>
          <w:rFonts w:ascii="Cambria" w:hAnsi="Cambria" w:cstheme="majorHAnsi"/>
          <w:sz w:val="28"/>
          <w:szCs w:val="28"/>
        </w:rPr>
        <w:t xml:space="preserve">An individual will purchase insurance if </w:t>
      </w:r>
    </w:p>
    <w:p w14:paraId="348A3775" w14:textId="77777777" w:rsidR="007C4B9A" w:rsidRPr="00BD4638" w:rsidRDefault="007920E0" w:rsidP="00C027E6">
      <w:pPr>
        <w:pStyle w:val="Answer"/>
        <w:spacing w:after="0"/>
        <w:ind w:left="0" w:firstLine="0"/>
        <w:jc w:val="center"/>
        <w:rPr>
          <w:rFonts w:ascii="Cambria" w:hAnsi="Cambria" w:cstheme="majorHAnsi"/>
          <w:sz w:val="28"/>
          <w:szCs w:val="28"/>
        </w:rPr>
      </w:pPr>
      <w:r w:rsidRPr="00BD4638">
        <w:rPr>
          <w:rFonts w:ascii="Cambria" w:hAnsi="Cambria" w:cstheme="majorHAnsi"/>
          <w:position w:val="-28"/>
          <w:sz w:val="28"/>
          <w:szCs w:val="28"/>
        </w:rPr>
        <w:object w:dxaOrig="2000" w:dyaOrig="680" w14:anchorId="7107CB46">
          <v:shape id="_x0000_i1047" type="#_x0000_t75" style="width:100.2pt;height:34pt" o:ole="">
            <v:imagedata r:id="rId32" o:title=""/>
          </v:shape>
          <o:OLEObject Type="Embed" ProgID="Equation.3" ShapeID="_x0000_i1047" DrawAspect="Content" ObjectID="_1631147581" r:id="rId33"/>
        </w:object>
      </w:r>
    </w:p>
    <w:p w14:paraId="4A4BBC19" w14:textId="4760D823" w:rsidR="00BB4588" w:rsidRPr="00BD4638" w:rsidRDefault="007C4B9A" w:rsidP="00C027E6">
      <w:pPr>
        <w:pStyle w:val="Answer"/>
        <w:spacing w:after="0"/>
        <w:ind w:left="0" w:firstLine="0"/>
        <w:rPr>
          <w:rFonts w:ascii="Cambria" w:hAnsi="Cambria" w:cstheme="majorHAnsi"/>
          <w:sz w:val="28"/>
          <w:szCs w:val="28"/>
        </w:rPr>
      </w:pPr>
      <w:r w:rsidRPr="00BD4638">
        <w:rPr>
          <w:rFonts w:ascii="Cambria" w:hAnsi="Cambria" w:cstheme="majorHAnsi"/>
          <w:sz w:val="28"/>
          <w:szCs w:val="28"/>
        </w:rPr>
        <w:t>In other words, individuals that are 90 percent or more certain that they will not experience the loss will not purchase insurance.</w:t>
      </w:r>
    </w:p>
    <w:p w14:paraId="567BF7BA" w14:textId="77777777" w:rsidR="00BB4588" w:rsidRPr="00BD4638" w:rsidRDefault="00BB4588" w:rsidP="00C027E6">
      <w:pPr>
        <w:pStyle w:val="BodyTextIndent"/>
        <w:ind w:left="0"/>
        <w:rPr>
          <w:rFonts w:ascii="Cambria" w:hAnsi="Cambria" w:cstheme="majorHAnsi"/>
          <w:sz w:val="28"/>
          <w:szCs w:val="28"/>
        </w:rPr>
      </w:pPr>
    </w:p>
    <w:p w14:paraId="6CDB82F1" w14:textId="77777777" w:rsidR="00612741" w:rsidRPr="00BD4638" w:rsidRDefault="0031436B" w:rsidP="00C027E6">
      <w:pPr>
        <w:autoSpaceDE w:val="0"/>
        <w:autoSpaceDN w:val="0"/>
        <w:adjustRightInd w:val="0"/>
        <w:rPr>
          <w:rFonts w:ascii="Cambria" w:hAnsi="Cambria" w:cstheme="majorHAnsi"/>
          <w:b/>
          <w:sz w:val="28"/>
          <w:szCs w:val="28"/>
        </w:rPr>
      </w:pPr>
      <w:r w:rsidRPr="00BD4638">
        <w:rPr>
          <w:rFonts w:ascii="Cambria" w:hAnsi="Cambria" w:cstheme="majorHAnsi"/>
          <w:b/>
          <w:bCs/>
          <w:sz w:val="28"/>
          <w:szCs w:val="28"/>
        </w:rPr>
        <w:t>22</w:t>
      </w:r>
      <w:r w:rsidR="00612741" w:rsidRPr="00BD4638">
        <w:rPr>
          <w:rFonts w:ascii="Cambria" w:hAnsi="Cambria" w:cstheme="majorHAnsi"/>
          <w:b/>
          <w:bCs/>
          <w:sz w:val="28"/>
          <w:szCs w:val="28"/>
        </w:rPr>
        <w:t xml:space="preserve">. </w:t>
      </w:r>
      <w:r w:rsidR="00612741" w:rsidRPr="00BD4638">
        <w:rPr>
          <w:rFonts w:ascii="Cambria" w:hAnsi="Cambria" w:cstheme="majorHAnsi"/>
          <w:b/>
          <w:sz w:val="28"/>
          <w:szCs w:val="28"/>
        </w:rPr>
        <w:t>A small biotechnology company has developed a burn treatment that has commercial potential. The company has to decide whether to produce the new compound itself or sell the rights to the compound to a large drug company. The payoffs from each of these courses of action depend on whether the treatment is approved by the Food and Drug Administration (FDA), the regulatory body in the United States that approves all new drug treatments. (The FDA bases its decision on the outcome of tests of the drug’s effectiveness on human subjects.) The company must make its decision before the FDA decides. Here are the payoffs the drug company can expect to get under the two options it faces:</w:t>
      </w:r>
    </w:p>
    <w:p w14:paraId="3C3B58BA" w14:textId="77777777" w:rsidR="00612741" w:rsidRPr="00BD4638" w:rsidRDefault="008B0007" w:rsidP="00C027E6">
      <w:pPr>
        <w:rPr>
          <w:rFonts w:ascii="Cambria" w:hAnsi="Cambria" w:cstheme="majorHAnsi"/>
          <w:b/>
          <w:sz w:val="28"/>
          <w:szCs w:val="28"/>
        </w:rPr>
      </w:pPr>
      <w:r w:rsidRPr="00BD4638">
        <w:rPr>
          <w:rFonts w:ascii="Cambria" w:hAnsi="Cambria" w:cstheme="majorHAnsi"/>
          <w:b/>
          <w:noProof/>
          <w:sz w:val="28"/>
          <w:szCs w:val="28"/>
        </w:rPr>
        <w:drawing>
          <wp:inline distT="0" distB="0" distL="0" distR="0" wp14:anchorId="530E3E81" wp14:editId="6480C14A">
            <wp:extent cx="3379470" cy="145542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79470" cy="1455420"/>
                    </a:xfrm>
                    <a:prstGeom prst="rect">
                      <a:avLst/>
                    </a:prstGeom>
                    <a:noFill/>
                    <a:ln>
                      <a:noFill/>
                    </a:ln>
                  </pic:spPr>
                </pic:pic>
              </a:graphicData>
            </a:graphic>
          </wp:inline>
        </w:drawing>
      </w:r>
    </w:p>
    <w:p w14:paraId="4BC7B71A" w14:textId="77777777" w:rsidR="00612741" w:rsidRPr="00BD4638" w:rsidRDefault="00612741" w:rsidP="00C027E6">
      <w:pPr>
        <w:autoSpaceDE w:val="0"/>
        <w:autoSpaceDN w:val="0"/>
        <w:adjustRightInd w:val="0"/>
        <w:rPr>
          <w:rFonts w:ascii="Cambria" w:hAnsi="Cambria" w:cstheme="majorHAnsi"/>
          <w:b/>
          <w:sz w:val="28"/>
          <w:szCs w:val="28"/>
        </w:rPr>
      </w:pPr>
      <w:r w:rsidRPr="00BD4638">
        <w:rPr>
          <w:rFonts w:ascii="Cambria" w:hAnsi="Cambria" w:cstheme="majorHAnsi"/>
          <w:b/>
          <w:sz w:val="28"/>
          <w:szCs w:val="28"/>
        </w:rPr>
        <w:t xml:space="preserve">a) Draw a decision tree showing the decisions that the company can make and the payoffs from following those decisions. Carefully distinguish between chance nodes and decision nodes in the tree. </w:t>
      </w:r>
    </w:p>
    <w:p w14:paraId="65E267F5" w14:textId="77777777" w:rsidR="00BD4638" w:rsidRPr="00BD4638" w:rsidRDefault="00612741" w:rsidP="00C027E6">
      <w:pPr>
        <w:autoSpaceDE w:val="0"/>
        <w:autoSpaceDN w:val="0"/>
        <w:adjustRightInd w:val="0"/>
        <w:rPr>
          <w:rFonts w:ascii="Cambria" w:hAnsi="Cambria" w:cstheme="majorHAnsi"/>
          <w:b/>
          <w:sz w:val="28"/>
          <w:szCs w:val="28"/>
        </w:rPr>
      </w:pPr>
      <w:r w:rsidRPr="00BD4638">
        <w:rPr>
          <w:rFonts w:ascii="Cambria" w:hAnsi="Cambria" w:cstheme="majorHAnsi"/>
          <w:b/>
          <w:sz w:val="28"/>
          <w:szCs w:val="28"/>
        </w:rPr>
        <w:t>b) Assuming that the biotechnology company acts as a risk-neutral decision maker, what action should it choose? What is the expected payoff associated with this action?</w:t>
      </w:r>
    </w:p>
    <w:p w14:paraId="6D8F03C6" w14:textId="1DD35080" w:rsidR="00BD4638" w:rsidRPr="00BD4638" w:rsidRDefault="00BD4638" w:rsidP="00C027E6">
      <w:pPr>
        <w:autoSpaceDE w:val="0"/>
        <w:autoSpaceDN w:val="0"/>
        <w:adjustRightInd w:val="0"/>
        <w:rPr>
          <w:rFonts w:ascii="Cambria" w:hAnsi="Cambria" w:cstheme="majorHAnsi"/>
          <w:b/>
          <w:sz w:val="28"/>
          <w:szCs w:val="28"/>
        </w:rPr>
      </w:pPr>
      <w:r w:rsidRPr="00BD4638">
        <w:rPr>
          <w:rFonts w:ascii="Cambria" w:hAnsi="Cambria" w:cstheme="majorHAnsi"/>
          <w:b/>
          <w:sz w:val="28"/>
          <w:szCs w:val="28"/>
        </w:rPr>
        <w:t xml:space="preserve">c) </w:t>
      </w:r>
      <w:r w:rsidRPr="00BD4638">
        <w:rPr>
          <w:rFonts w:ascii="Cambria" w:hAnsi="Cambria"/>
          <w:b/>
          <w:sz w:val="28"/>
          <w:szCs w:val="28"/>
        </w:rPr>
        <w:t>Suppose that the biotech company can conduct its own test—at no cost—that will reveal whether the new drug will be approved by the FDA. What is the biotech company’s VPI?</w:t>
      </w:r>
    </w:p>
    <w:p w14:paraId="5DA3BCCE" w14:textId="77777777" w:rsidR="00BD4638" w:rsidRPr="00BD4638" w:rsidRDefault="00BD4638" w:rsidP="00C027E6">
      <w:pPr>
        <w:autoSpaceDE w:val="0"/>
        <w:autoSpaceDN w:val="0"/>
        <w:adjustRightInd w:val="0"/>
        <w:rPr>
          <w:rFonts w:ascii="Cambria" w:hAnsi="Cambria" w:cstheme="majorHAnsi"/>
          <w:b/>
          <w:sz w:val="28"/>
          <w:szCs w:val="28"/>
        </w:rPr>
      </w:pPr>
    </w:p>
    <w:p w14:paraId="6AD7CD01" w14:textId="77777777" w:rsidR="00612741" w:rsidRPr="00BD4638" w:rsidRDefault="00612741" w:rsidP="00C027E6">
      <w:pPr>
        <w:pStyle w:val="Question"/>
        <w:tabs>
          <w:tab w:val="left" w:pos="720"/>
          <w:tab w:val="left" w:pos="1440"/>
        </w:tabs>
        <w:spacing w:before="0" w:after="0"/>
        <w:ind w:left="0" w:firstLine="0"/>
        <w:rPr>
          <w:rFonts w:ascii="Cambria" w:hAnsi="Cambria" w:cstheme="majorHAnsi"/>
          <w:sz w:val="28"/>
          <w:szCs w:val="28"/>
        </w:rPr>
      </w:pPr>
    </w:p>
    <w:p w14:paraId="73E08A0F" w14:textId="77777777" w:rsidR="00E44071" w:rsidRPr="00BD4638" w:rsidRDefault="00E44071" w:rsidP="00C027E6">
      <w:pPr>
        <w:pStyle w:val="Question"/>
        <w:tabs>
          <w:tab w:val="left" w:pos="720"/>
          <w:tab w:val="left" w:pos="1440"/>
        </w:tabs>
        <w:spacing w:before="0" w:after="0"/>
        <w:ind w:left="0" w:firstLine="0"/>
        <w:rPr>
          <w:rFonts w:ascii="Cambria" w:hAnsi="Cambria" w:cstheme="majorHAnsi"/>
          <w:sz w:val="28"/>
          <w:szCs w:val="28"/>
        </w:rPr>
      </w:pPr>
      <w:r w:rsidRPr="00BD4638">
        <w:rPr>
          <w:rFonts w:ascii="Cambria" w:hAnsi="Cambria" w:cstheme="majorHAnsi"/>
          <w:sz w:val="28"/>
          <w:szCs w:val="28"/>
        </w:rPr>
        <w:t>a)</w:t>
      </w:r>
      <w:r w:rsidR="00BB4588" w:rsidRPr="00BD4638">
        <w:rPr>
          <w:rFonts w:ascii="Cambria" w:hAnsi="Cambria" w:cstheme="majorHAnsi"/>
          <w:sz w:val="28"/>
          <w:szCs w:val="28"/>
        </w:rPr>
        <w:tab/>
      </w:r>
      <w:r w:rsidR="00246D72" w:rsidRPr="00BD4638">
        <w:rPr>
          <w:rFonts w:ascii="Cambria" w:hAnsi="Cambria" w:cstheme="majorHAnsi"/>
          <w:i/>
          <w:sz w:val="28"/>
          <w:szCs w:val="28"/>
        </w:rPr>
        <w:t xml:space="preserve">A </w:t>
      </w:r>
      <w:r w:rsidR="00246D72" w:rsidRPr="00BD4638">
        <w:rPr>
          <w:rFonts w:ascii="Cambria" w:hAnsi="Cambria" w:cstheme="majorHAnsi"/>
          <w:sz w:val="28"/>
          <w:szCs w:val="28"/>
        </w:rPr>
        <w:t xml:space="preserve">is a decision node; </w:t>
      </w:r>
      <w:r w:rsidR="00246D72" w:rsidRPr="00BD4638">
        <w:rPr>
          <w:rFonts w:ascii="Cambria" w:hAnsi="Cambria" w:cstheme="majorHAnsi"/>
          <w:i/>
          <w:sz w:val="28"/>
          <w:szCs w:val="28"/>
        </w:rPr>
        <w:t xml:space="preserve">B </w:t>
      </w:r>
      <w:r w:rsidR="00246D72" w:rsidRPr="00BD4638">
        <w:rPr>
          <w:rFonts w:ascii="Cambria" w:hAnsi="Cambria" w:cstheme="majorHAnsi"/>
          <w:sz w:val="28"/>
          <w:szCs w:val="28"/>
        </w:rPr>
        <w:t xml:space="preserve">and </w:t>
      </w:r>
      <w:r w:rsidR="00246D72" w:rsidRPr="00BD4638">
        <w:rPr>
          <w:rFonts w:ascii="Cambria" w:hAnsi="Cambria" w:cstheme="majorHAnsi"/>
          <w:i/>
          <w:sz w:val="28"/>
          <w:szCs w:val="28"/>
        </w:rPr>
        <w:t xml:space="preserve">C </w:t>
      </w:r>
      <w:r w:rsidR="00246D72" w:rsidRPr="00BD4638">
        <w:rPr>
          <w:rFonts w:ascii="Cambria" w:hAnsi="Cambria" w:cstheme="majorHAnsi"/>
          <w:sz w:val="28"/>
          <w:szCs w:val="28"/>
        </w:rPr>
        <w:t>are chance nodes.</w:t>
      </w:r>
    </w:p>
    <w:bookmarkStart w:id="0" w:name="_MON_1158603658"/>
    <w:bookmarkStart w:id="1" w:name="_MON_1158603684"/>
    <w:bookmarkStart w:id="2" w:name="_MON_1158603760"/>
    <w:bookmarkEnd w:id="0"/>
    <w:bookmarkEnd w:id="1"/>
    <w:bookmarkEnd w:id="2"/>
    <w:bookmarkStart w:id="3" w:name="_MON_1041143935"/>
    <w:bookmarkEnd w:id="3"/>
    <w:p w14:paraId="081D5478" w14:textId="77777777" w:rsidR="00E44071" w:rsidRPr="00BD4638" w:rsidRDefault="00246D72" w:rsidP="00C027E6">
      <w:pPr>
        <w:pStyle w:val="BodyTextIndent"/>
        <w:ind w:left="0"/>
        <w:jc w:val="center"/>
        <w:rPr>
          <w:rFonts w:ascii="Cambria" w:hAnsi="Cambria" w:cstheme="majorHAnsi"/>
          <w:sz w:val="28"/>
          <w:szCs w:val="28"/>
        </w:rPr>
      </w:pPr>
      <w:r w:rsidRPr="00BD4638">
        <w:rPr>
          <w:rFonts w:ascii="Cambria" w:hAnsi="Cambria" w:cstheme="majorHAnsi"/>
          <w:sz w:val="28"/>
          <w:szCs w:val="28"/>
        </w:rPr>
        <w:object w:dxaOrig="4485" w:dyaOrig="2445" w14:anchorId="3A841956">
          <v:shape id="_x0000_i1050" type="#_x0000_t75" style="width:224.05pt;height:122.1pt" o:ole="">
            <v:imagedata r:id="rId35" o:title=""/>
          </v:shape>
          <o:OLEObject Type="Embed" ProgID="Word.Picture.8" ShapeID="_x0000_i1050" DrawAspect="Content" ObjectID="_1631147582" r:id="rId36"/>
        </w:object>
      </w:r>
    </w:p>
    <w:p w14:paraId="683E2C2D" w14:textId="77777777" w:rsidR="00E44071" w:rsidRPr="00BD4638" w:rsidRDefault="00E44071" w:rsidP="00C027E6">
      <w:pPr>
        <w:pStyle w:val="BodyTextIndent"/>
        <w:ind w:left="0"/>
        <w:rPr>
          <w:rFonts w:ascii="Cambria" w:hAnsi="Cambria" w:cstheme="majorHAnsi"/>
          <w:sz w:val="28"/>
          <w:szCs w:val="28"/>
        </w:rPr>
      </w:pPr>
    </w:p>
    <w:p w14:paraId="7B1AD871" w14:textId="2D8341A4" w:rsidR="00E44071" w:rsidRPr="00C027E6" w:rsidRDefault="00E44071" w:rsidP="00C027E6">
      <w:pPr>
        <w:pStyle w:val="Answer"/>
        <w:spacing w:after="0"/>
        <w:ind w:left="0" w:firstLine="0"/>
        <w:rPr>
          <w:rFonts w:ascii="Cambria" w:hAnsi="Cambria" w:cstheme="majorHAnsi"/>
          <w:sz w:val="28"/>
          <w:szCs w:val="28"/>
        </w:rPr>
      </w:pPr>
      <w:r w:rsidRPr="00BD4638">
        <w:rPr>
          <w:rFonts w:ascii="Cambria" w:hAnsi="Cambria" w:cstheme="majorHAnsi"/>
          <w:sz w:val="28"/>
          <w:szCs w:val="28"/>
        </w:rPr>
        <w:t>b)</w:t>
      </w:r>
      <w:r w:rsidRPr="00BD4638">
        <w:rPr>
          <w:rFonts w:ascii="Cambria" w:hAnsi="Cambria" w:cstheme="majorHAnsi"/>
          <w:sz w:val="28"/>
          <w:szCs w:val="28"/>
        </w:rPr>
        <w:tab/>
        <w:t xml:space="preserve">The expected payoff for “Sell rights” is 0.20(10) + 0.80(2) = 3.60.  The expected </w:t>
      </w:r>
      <w:r w:rsidRPr="00C027E6">
        <w:rPr>
          <w:rFonts w:ascii="Cambria" w:hAnsi="Cambria" w:cstheme="majorHAnsi"/>
          <w:sz w:val="28"/>
          <w:szCs w:val="28"/>
        </w:rPr>
        <w:t>payoff for “Produc</w:t>
      </w:r>
      <w:r w:rsidR="00246D72" w:rsidRPr="00C027E6">
        <w:rPr>
          <w:rFonts w:ascii="Cambria" w:hAnsi="Cambria" w:cstheme="majorHAnsi"/>
          <w:sz w:val="28"/>
          <w:szCs w:val="28"/>
        </w:rPr>
        <w:t>e yourself” is 0.20(50) + 0.80(–</w:t>
      </w:r>
      <w:r w:rsidRPr="00C027E6">
        <w:rPr>
          <w:rFonts w:ascii="Cambria" w:hAnsi="Cambria" w:cstheme="majorHAnsi"/>
          <w:sz w:val="28"/>
          <w:szCs w:val="28"/>
        </w:rPr>
        <w:t>10) = 2.0.  Therefore, the</w:t>
      </w:r>
      <w:r w:rsidR="00246D72" w:rsidRPr="00C027E6">
        <w:rPr>
          <w:rFonts w:ascii="Cambria" w:hAnsi="Cambria" w:cstheme="majorHAnsi"/>
          <w:sz w:val="28"/>
          <w:szCs w:val="28"/>
        </w:rPr>
        <w:t xml:space="preserve"> risk-neutral</w:t>
      </w:r>
      <w:r w:rsidRPr="00C027E6">
        <w:rPr>
          <w:rFonts w:ascii="Cambria" w:hAnsi="Cambria" w:cstheme="majorHAnsi"/>
          <w:sz w:val="28"/>
          <w:szCs w:val="28"/>
        </w:rPr>
        <w:t xml:space="preserve"> company should sell the rights</w:t>
      </w:r>
      <w:r w:rsidR="00246D72" w:rsidRPr="00C027E6">
        <w:rPr>
          <w:rFonts w:ascii="Cambria" w:hAnsi="Cambria" w:cstheme="majorHAnsi"/>
          <w:sz w:val="28"/>
          <w:szCs w:val="28"/>
        </w:rPr>
        <w:t>,</w:t>
      </w:r>
      <w:r w:rsidRPr="00C027E6">
        <w:rPr>
          <w:rFonts w:ascii="Cambria" w:hAnsi="Cambria" w:cstheme="majorHAnsi"/>
          <w:sz w:val="28"/>
          <w:szCs w:val="28"/>
        </w:rPr>
        <w:t xml:space="preserve"> </w:t>
      </w:r>
      <w:r w:rsidR="00246D72" w:rsidRPr="00C027E6">
        <w:rPr>
          <w:rFonts w:ascii="Cambria" w:hAnsi="Cambria" w:cstheme="majorHAnsi"/>
          <w:sz w:val="28"/>
          <w:szCs w:val="28"/>
        </w:rPr>
        <w:t xml:space="preserve">for </w:t>
      </w:r>
      <w:r w:rsidRPr="00C027E6">
        <w:rPr>
          <w:rFonts w:ascii="Cambria" w:hAnsi="Cambria" w:cstheme="majorHAnsi"/>
          <w:sz w:val="28"/>
          <w:szCs w:val="28"/>
        </w:rPr>
        <w:t>an expected payoff of 3.60.</w:t>
      </w:r>
    </w:p>
    <w:p w14:paraId="4FEE6947" w14:textId="4EC40681" w:rsidR="00E44071" w:rsidRPr="00C027E6" w:rsidRDefault="00E44071" w:rsidP="00C027E6">
      <w:pPr>
        <w:pStyle w:val="BodyTextIndent"/>
        <w:ind w:left="0"/>
        <w:rPr>
          <w:rFonts w:ascii="Cambria" w:hAnsi="Cambria" w:cstheme="majorHAnsi"/>
          <w:sz w:val="28"/>
          <w:szCs w:val="28"/>
        </w:rPr>
      </w:pPr>
    </w:p>
    <w:p w14:paraId="6570CBE4" w14:textId="77777777" w:rsidR="00C027E6" w:rsidRPr="00C027E6" w:rsidRDefault="00BD4638" w:rsidP="00C027E6">
      <w:pPr>
        <w:pStyle w:val="Question"/>
        <w:spacing w:before="0" w:after="0"/>
        <w:ind w:left="0" w:firstLine="0"/>
        <w:rPr>
          <w:rFonts w:ascii="Cambria" w:hAnsi="Cambria"/>
          <w:sz w:val="28"/>
          <w:szCs w:val="28"/>
        </w:rPr>
      </w:pPr>
      <w:r w:rsidRPr="00C027E6">
        <w:rPr>
          <w:rFonts w:ascii="Cambria" w:hAnsi="Cambria" w:cstheme="majorHAnsi"/>
          <w:sz w:val="28"/>
          <w:szCs w:val="28"/>
        </w:rPr>
        <w:t>c)</w:t>
      </w:r>
      <w:r w:rsidRPr="00C027E6">
        <w:rPr>
          <w:rFonts w:ascii="Cambria" w:hAnsi="Cambria" w:cstheme="majorHAnsi"/>
          <w:sz w:val="28"/>
          <w:szCs w:val="28"/>
        </w:rPr>
        <w:tab/>
      </w:r>
      <w:r w:rsidR="00C027E6" w:rsidRPr="00C027E6">
        <w:rPr>
          <w:rFonts w:ascii="Cambria" w:hAnsi="Cambria"/>
          <w:sz w:val="28"/>
          <w:szCs w:val="28"/>
        </w:rPr>
        <w:t>If the test indicates the FDA will approve, the company will choose “Produce yourself” and earn a payoff of 50.  If the test indicates the FDA will not approve, then the company will choose “Sell the rights” and earn 2.  The expected payoff from conducting the costless test is therefore 0.20(50) + 0.80(2) = 11.60.</w:t>
      </w:r>
    </w:p>
    <w:p w14:paraId="513A720E" w14:textId="0F81C45E" w:rsidR="00BD4638" w:rsidRPr="00C027E6" w:rsidRDefault="00C027E6" w:rsidP="00C027E6">
      <w:pPr>
        <w:pStyle w:val="NormalIndent"/>
        <w:ind w:left="0"/>
        <w:rPr>
          <w:rFonts w:ascii="Cambria" w:hAnsi="Cambria"/>
          <w:sz w:val="28"/>
          <w:szCs w:val="28"/>
        </w:rPr>
      </w:pPr>
      <w:r w:rsidRPr="00C027E6">
        <w:rPr>
          <w:rFonts w:ascii="Cambria" w:hAnsi="Cambria"/>
          <w:sz w:val="28"/>
          <w:szCs w:val="28"/>
        </w:rPr>
        <w:t>The VPI is the difference between the expected payoff with the test and the expected payoff without the test.  Thus, VPI = 11.60 – 3.60 = 8.00.</w:t>
      </w:r>
      <w:bookmarkStart w:id="4" w:name="_GoBack"/>
      <w:bookmarkEnd w:id="4"/>
    </w:p>
    <w:sectPr w:rsidR="00BD4638" w:rsidRPr="00C027E6" w:rsidSect="00BD4638">
      <w:pgSz w:w="11906" w:h="16838" w:code="9"/>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C6667B" w14:textId="77777777" w:rsidR="00857DF2" w:rsidRDefault="00857DF2">
      <w:r>
        <w:separator/>
      </w:r>
    </w:p>
  </w:endnote>
  <w:endnote w:type="continuationSeparator" w:id="0">
    <w:p w14:paraId="31AFB675" w14:textId="77777777" w:rsidR="00857DF2" w:rsidRDefault="00857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A0002AEF" w:usb1="4000207B" w:usb2="00000000" w:usb3="00000000" w:csb0="000001FF" w:csb1="00000000"/>
  </w:font>
  <w:font w:name="Cordia New">
    <w:panose1 w:val="020B0304020202020204"/>
    <w:charset w:val="00"/>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BE2185" w14:textId="77777777" w:rsidR="00857DF2" w:rsidRDefault="00857DF2">
      <w:r>
        <w:separator/>
      </w:r>
    </w:p>
  </w:footnote>
  <w:footnote w:type="continuationSeparator" w:id="0">
    <w:p w14:paraId="0F7E0831" w14:textId="77777777" w:rsidR="00857DF2" w:rsidRDefault="00857D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7C7F0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04105BD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20CBDC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C5EDB4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AB88F9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606855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84C30F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63E2D3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142FF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3B0B5D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CE495F"/>
    <w:multiLevelType w:val="multilevel"/>
    <w:tmpl w:val="397CAAD8"/>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15:restartNumberingAfterBreak="0">
    <w:nsid w:val="11424AF6"/>
    <w:multiLevelType w:val="multilevel"/>
    <w:tmpl w:val="CE0087E4"/>
    <w:lvl w:ilvl="0">
      <w:start w:val="1"/>
      <w:numFmt w:val="decimal"/>
      <w:pStyle w:val="Problem"/>
      <w:lvlText w:val="2.%1."/>
      <w:lvlJc w:val="left"/>
      <w:pPr>
        <w:tabs>
          <w:tab w:val="num" w:pos="720"/>
        </w:tabs>
        <w:ind w:left="720" w:hanging="720"/>
      </w:pPr>
      <w:rPr>
        <w:rFonts w:hint="default"/>
      </w:rPr>
    </w:lvl>
    <w:lvl w:ilvl="1">
      <w:start w:val="1"/>
      <w:numFmt w:val="lowerLetter"/>
      <w:pStyle w:val="ProblemAnsw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157E29D5"/>
    <w:multiLevelType w:val="multilevel"/>
    <w:tmpl w:val="010C7E3C"/>
    <w:lvl w:ilvl="0">
      <w:start w:val="1"/>
      <w:numFmt w:val="decimal"/>
      <w:lvlText w:val="2.%1."/>
      <w:lvlJc w:val="left"/>
      <w:pPr>
        <w:tabs>
          <w:tab w:val="num" w:pos="720"/>
        </w:tabs>
        <w:ind w:left="720" w:hanging="720"/>
      </w:pPr>
      <w:rPr>
        <w:rFonts w:hint="default"/>
      </w:rPr>
    </w:lvl>
    <w:lvl w:ilvl="1">
      <w:start w:val="1"/>
      <w:numFmt w:val="lowerLett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161C63B9"/>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3E591F6B"/>
    <w:multiLevelType w:val="multilevel"/>
    <w:tmpl w:val="A168B90C"/>
    <w:lvl w:ilvl="0">
      <w:start w:val="1"/>
      <w:numFmt w:val="decimal"/>
      <w:lvlText w:val="%1."/>
      <w:lvlJc w:val="left"/>
      <w:pPr>
        <w:tabs>
          <w:tab w:val="num" w:pos="720"/>
        </w:tabs>
        <w:ind w:left="720" w:hanging="720"/>
      </w:pPr>
    </w:lvl>
    <w:lvl w:ilvl="1">
      <w:start w:val="1"/>
      <w:numFmt w:val="upp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F8E618F"/>
    <w:multiLevelType w:val="hybridMultilevel"/>
    <w:tmpl w:val="0F0A624E"/>
    <w:lvl w:ilvl="0" w:tplc="BEA09380">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6C6C3D3E"/>
    <w:multiLevelType w:val="hybridMultilevel"/>
    <w:tmpl w:val="C76AE16E"/>
    <w:lvl w:ilvl="0" w:tplc="9434180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77967911"/>
    <w:multiLevelType w:val="hybridMultilevel"/>
    <w:tmpl w:val="A5D8FC98"/>
    <w:lvl w:ilvl="0" w:tplc="6CD24CB6">
      <w:start w:val="1"/>
      <w:numFmt w:val="lowerLetter"/>
      <w:lvlText w:val="%1)"/>
      <w:lvlJc w:val="left"/>
      <w:pPr>
        <w:ind w:left="1440" w:hanging="360"/>
      </w:pPr>
      <w:rPr>
        <w:rFonts w:hint="default"/>
      </w:rPr>
    </w:lvl>
    <w:lvl w:ilvl="1" w:tplc="6CD24CB6">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4"/>
  </w:num>
  <w:num w:numId="2">
    <w:abstractNumId w:val="16"/>
  </w:num>
  <w:num w:numId="3">
    <w:abstractNumId w:val="10"/>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1"/>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5"/>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214"/>
    <w:rsid w:val="00036D12"/>
    <w:rsid w:val="00136627"/>
    <w:rsid w:val="00246D72"/>
    <w:rsid w:val="002C796D"/>
    <w:rsid w:val="002E3E17"/>
    <w:rsid w:val="002E5BDB"/>
    <w:rsid w:val="003037A6"/>
    <w:rsid w:val="00306820"/>
    <w:rsid w:val="0031436B"/>
    <w:rsid w:val="00342B5C"/>
    <w:rsid w:val="0041148B"/>
    <w:rsid w:val="004A0E2C"/>
    <w:rsid w:val="004E309F"/>
    <w:rsid w:val="00572DDF"/>
    <w:rsid w:val="005F791B"/>
    <w:rsid w:val="00612741"/>
    <w:rsid w:val="006A6121"/>
    <w:rsid w:val="006F68AA"/>
    <w:rsid w:val="00755B99"/>
    <w:rsid w:val="007920E0"/>
    <w:rsid w:val="007976EC"/>
    <w:rsid w:val="007A6556"/>
    <w:rsid w:val="007C4B9A"/>
    <w:rsid w:val="007F24B3"/>
    <w:rsid w:val="007F3571"/>
    <w:rsid w:val="00857DF2"/>
    <w:rsid w:val="008A4FE8"/>
    <w:rsid w:val="008B0007"/>
    <w:rsid w:val="008D5E57"/>
    <w:rsid w:val="00935964"/>
    <w:rsid w:val="00A12B4B"/>
    <w:rsid w:val="00A54C5A"/>
    <w:rsid w:val="00A8196B"/>
    <w:rsid w:val="00AC4F88"/>
    <w:rsid w:val="00B116A8"/>
    <w:rsid w:val="00B96863"/>
    <w:rsid w:val="00BB4588"/>
    <w:rsid w:val="00BD40A8"/>
    <w:rsid w:val="00BD4638"/>
    <w:rsid w:val="00BD4773"/>
    <w:rsid w:val="00BE7723"/>
    <w:rsid w:val="00C027E6"/>
    <w:rsid w:val="00CC5BF9"/>
    <w:rsid w:val="00D012D9"/>
    <w:rsid w:val="00DD2443"/>
    <w:rsid w:val="00DF42C4"/>
    <w:rsid w:val="00E44071"/>
    <w:rsid w:val="00E46098"/>
    <w:rsid w:val="00E47D09"/>
    <w:rsid w:val="00E62F42"/>
    <w:rsid w:val="00EA7B20"/>
    <w:rsid w:val="00EF3D7A"/>
    <w:rsid w:val="00EF6991"/>
    <w:rsid w:val="00F40214"/>
    <w:rsid w:val="00F52081"/>
    <w:rsid w:val="00FE70D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3FE0CB"/>
  <w15:chartTrackingRefBased/>
  <w15:docId w15:val="{C587F9A2-7C95-4990-B200-F30B47FC4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th-TH"/>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sz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stion">
    <w:name w:val="Question"/>
    <w:basedOn w:val="Normal"/>
    <w:next w:val="NormalIndent"/>
    <w:pPr>
      <w:spacing w:before="240" w:after="120"/>
      <w:ind w:left="720" w:hanging="720"/>
    </w:pPr>
  </w:style>
  <w:style w:type="paragraph" w:customStyle="1" w:styleId="HeadingA">
    <w:name w:val="Heading A"/>
    <w:basedOn w:val="Normal"/>
    <w:next w:val="Normal"/>
    <w:pPr>
      <w:spacing w:after="360"/>
    </w:pPr>
    <w:rPr>
      <w:sz w:val="40"/>
    </w:rPr>
  </w:style>
  <w:style w:type="paragraph" w:customStyle="1" w:styleId="HeadingB">
    <w:name w:val="Heading B"/>
    <w:basedOn w:val="Normal"/>
    <w:next w:val="Normal"/>
    <w:pPr>
      <w:spacing w:after="240"/>
    </w:pPr>
    <w:rPr>
      <w:b/>
      <w:i/>
      <w:sz w:val="32"/>
    </w:rPr>
  </w:style>
  <w:style w:type="paragraph" w:customStyle="1" w:styleId="Answer">
    <w:name w:val="Answer"/>
    <w:basedOn w:val="Normal"/>
    <w:next w:val="BodyTextIndent"/>
    <w:pPr>
      <w:spacing w:after="120"/>
      <w:ind w:left="1440" w:hanging="720"/>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
    <w:name w:val="Body Text Indent"/>
    <w:basedOn w:val="Normal"/>
    <w:pPr>
      <w:ind w:left="1440"/>
    </w:pPr>
  </w:style>
  <w:style w:type="paragraph" w:customStyle="1" w:styleId="MTDisplayEquation">
    <w:name w:val="MTDisplayEquation"/>
    <w:basedOn w:val="BodyTextIndent"/>
    <w:pPr>
      <w:tabs>
        <w:tab w:val="center" w:pos="4320"/>
        <w:tab w:val="right" w:pos="8640"/>
      </w:tabs>
    </w:pPr>
  </w:style>
  <w:style w:type="paragraph" w:styleId="NormalIndent">
    <w:name w:val="Normal Indent"/>
    <w:basedOn w:val="Normal"/>
    <w:pPr>
      <w:ind w:left="720"/>
    </w:pPr>
  </w:style>
  <w:style w:type="paragraph" w:customStyle="1" w:styleId="Problem">
    <w:name w:val="Problem"/>
    <w:basedOn w:val="Normal"/>
    <w:next w:val="NormalIndent"/>
    <w:pPr>
      <w:numPr>
        <w:numId w:val="6"/>
      </w:numPr>
      <w:spacing w:before="240" w:after="120"/>
    </w:pPr>
  </w:style>
  <w:style w:type="paragraph" w:customStyle="1" w:styleId="ProblemAnswer">
    <w:name w:val="Problem Answer"/>
    <w:basedOn w:val="Normal"/>
    <w:next w:val="BodyTextIndent"/>
    <w:pPr>
      <w:numPr>
        <w:ilvl w:val="1"/>
        <w:numId w:val="6"/>
      </w:numPr>
      <w:spacing w:after="120"/>
      <w:outlineLvl w:val="1"/>
    </w:pPr>
  </w:style>
  <w:style w:type="table" w:styleId="TableGrid">
    <w:name w:val="Table Grid"/>
    <w:basedOn w:val="TableNormal"/>
    <w:uiPriority w:val="59"/>
    <w:rsid w:val="00B116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AC4F88"/>
    <w:rPr>
      <w:sz w:val="16"/>
      <w:szCs w:val="16"/>
    </w:rPr>
  </w:style>
  <w:style w:type="paragraph" w:styleId="CommentText">
    <w:name w:val="annotation text"/>
    <w:basedOn w:val="Normal"/>
    <w:link w:val="CommentTextChar"/>
    <w:rsid w:val="00AC4F88"/>
    <w:rPr>
      <w:sz w:val="20"/>
    </w:rPr>
  </w:style>
  <w:style w:type="character" w:customStyle="1" w:styleId="CommentTextChar">
    <w:name w:val="Comment Text Char"/>
    <w:basedOn w:val="DefaultParagraphFont"/>
    <w:link w:val="CommentText"/>
    <w:rsid w:val="00AC4F88"/>
  </w:style>
  <w:style w:type="paragraph" w:styleId="CommentSubject">
    <w:name w:val="annotation subject"/>
    <w:basedOn w:val="CommentText"/>
    <w:next w:val="CommentText"/>
    <w:link w:val="CommentSubjectChar"/>
    <w:rsid w:val="00AC4F88"/>
    <w:rPr>
      <w:b/>
      <w:bCs/>
    </w:rPr>
  </w:style>
  <w:style w:type="character" w:customStyle="1" w:styleId="CommentSubjectChar">
    <w:name w:val="Comment Subject Char"/>
    <w:link w:val="CommentSubject"/>
    <w:rsid w:val="00AC4F88"/>
    <w:rPr>
      <w:b/>
      <w:bCs/>
    </w:rPr>
  </w:style>
  <w:style w:type="paragraph" w:styleId="BalloonText">
    <w:name w:val="Balloon Text"/>
    <w:basedOn w:val="Normal"/>
    <w:link w:val="BalloonTextChar"/>
    <w:rsid w:val="00AC4F88"/>
    <w:rPr>
      <w:rFonts w:ascii="Tahoma" w:hAnsi="Tahoma" w:cs="Tahoma"/>
      <w:sz w:val="16"/>
      <w:szCs w:val="16"/>
    </w:rPr>
  </w:style>
  <w:style w:type="character" w:customStyle="1" w:styleId="BalloonTextChar">
    <w:name w:val="Balloon Text Char"/>
    <w:link w:val="BalloonText"/>
    <w:rsid w:val="00AC4F88"/>
    <w:rPr>
      <w:rFonts w:ascii="Tahoma" w:hAnsi="Tahoma" w:cs="Tahoma"/>
      <w:sz w:val="16"/>
      <w:szCs w:val="16"/>
    </w:rPr>
  </w:style>
  <w:style w:type="paragraph" w:styleId="ListParagraph">
    <w:name w:val="List Paragraph"/>
    <w:basedOn w:val="Normal"/>
    <w:uiPriority w:val="34"/>
    <w:qFormat/>
    <w:rsid w:val="00BD4638"/>
    <w:pPr>
      <w:spacing w:after="200" w:line="276" w:lineRule="auto"/>
      <w:ind w:left="720"/>
      <w:contextualSpacing/>
    </w:pPr>
    <w:rPr>
      <w:rFonts w:ascii="Cambria" w:eastAsiaTheme="minorHAnsi" w:hAnsi="Cambria" w:cs="Angsana New"/>
      <w:sz w:val="28"/>
      <w:szCs w:val="35"/>
      <w:lang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image" Target="media/image4.wmf"/><Relationship Id="rId26" Type="http://schemas.openxmlformats.org/officeDocument/2006/relationships/image" Target="media/image8.wmf"/><Relationship Id="rId21" Type="http://schemas.openxmlformats.org/officeDocument/2006/relationships/oleObject" Target="embeddings/oleObject5.bin"/><Relationship Id="rId34" Type="http://schemas.openxmlformats.org/officeDocument/2006/relationships/image" Target="media/image12.emf"/><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oleObject" Target="embeddings/oleObject3.bin"/><Relationship Id="rId25" Type="http://schemas.openxmlformats.org/officeDocument/2006/relationships/oleObject" Target="embeddings/oleObject7.bin"/><Relationship Id="rId33" Type="http://schemas.openxmlformats.org/officeDocument/2006/relationships/oleObject" Target="embeddings/oleObject11.bin"/><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wmf"/><Relationship Id="rId20" Type="http://schemas.openxmlformats.org/officeDocument/2006/relationships/image" Target="media/image5.wmf"/><Relationship Id="rId29" Type="http://schemas.openxmlformats.org/officeDocument/2006/relationships/oleObject" Target="embeddings/oleObject9.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7.wmf"/><Relationship Id="rId32" Type="http://schemas.openxmlformats.org/officeDocument/2006/relationships/image" Target="media/image11.wmf"/><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oleObject" Target="embeddings/oleObject6.bin"/><Relationship Id="rId28" Type="http://schemas.openxmlformats.org/officeDocument/2006/relationships/image" Target="media/image9.wmf"/><Relationship Id="rId36" Type="http://schemas.openxmlformats.org/officeDocument/2006/relationships/oleObject" Target="embeddings/oleObject12.bin"/><Relationship Id="rId10" Type="http://schemas.openxmlformats.org/officeDocument/2006/relationships/image" Target="media/image2.wmf"/><Relationship Id="rId19" Type="http://schemas.openxmlformats.org/officeDocument/2006/relationships/oleObject" Target="embeddings/oleObject4.bin"/><Relationship Id="rId31" Type="http://schemas.openxmlformats.org/officeDocument/2006/relationships/oleObject" Target="embeddings/oleObject10.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chart" Target="charts/chart3.xml"/><Relationship Id="rId22" Type="http://schemas.openxmlformats.org/officeDocument/2006/relationships/image" Target="media/image6.wmf"/><Relationship Id="rId27" Type="http://schemas.openxmlformats.org/officeDocument/2006/relationships/oleObject" Target="embeddings/oleObject8.bin"/><Relationship Id="rId30" Type="http://schemas.openxmlformats.org/officeDocument/2006/relationships/image" Target="media/image10.wmf"/><Relationship Id="rId35" Type="http://schemas.openxmlformats.org/officeDocument/2006/relationships/image" Target="media/image13.wmf"/><Relationship Id="rId8" Type="http://schemas.openxmlformats.org/officeDocument/2006/relationships/image" Target="media/image1.wmf"/><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Wiley%20Solutions%20Manual%20with%20Test%20Question%20Chapter.dot"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5555555555555556"/>
          <c:y val="0.102880658436214"/>
          <c:w val="0.80202020202020197"/>
          <c:h val="0.69547325102880664"/>
        </c:manualLayout>
      </c:layout>
      <c:scatterChart>
        <c:scatterStyle val="smoothMarker"/>
        <c:varyColors val="0"/>
        <c:ser>
          <c:idx val="0"/>
          <c:order val="0"/>
          <c:spPr>
            <a:ln w="25366">
              <a:solidFill>
                <a:srgbClr val="000000"/>
              </a:solidFill>
              <a:prstDash val="solid"/>
            </a:ln>
          </c:spPr>
          <c:marker>
            <c:symbol val="none"/>
          </c:marker>
          <c:xVal>
            <c:numRef>
              <c:f>Sheet1!$A$1:$A$21</c:f>
              <c:numCache>
                <c:formatCode>General</c:formatCode>
                <c:ptCount val="21"/>
                <c:pt idx="0">
                  <c:v>0</c:v>
                </c:pt>
                <c:pt idx="1">
                  <c:v>5</c:v>
                </c:pt>
                <c:pt idx="2">
                  <c:v>10</c:v>
                </c:pt>
                <c:pt idx="3">
                  <c:v>15</c:v>
                </c:pt>
                <c:pt idx="4">
                  <c:v>20</c:v>
                </c:pt>
                <c:pt idx="5">
                  <c:v>25</c:v>
                </c:pt>
                <c:pt idx="6">
                  <c:v>30</c:v>
                </c:pt>
                <c:pt idx="7">
                  <c:v>35</c:v>
                </c:pt>
                <c:pt idx="8">
                  <c:v>40</c:v>
                </c:pt>
                <c:pt idx="9">
                  <c:v>45</c:v>
                </c:pt>
                <c:pt idx="10">
                  <c:v>50</c:v>
                </c:pt>
                <c:pt idx="11">
                  <c:v>55</c:v>
                </c:pt>
                <c:pt idx="12">
                  <c:v>60</c:v>
                </c:pt>
                <c:pt idx="13">
                  <c:v>65</c:v>
                </c:pt>
                <c:pt idx="14">
                  <c:v>70</c:v>
                </c:pt>
                <c:pt idx="15">
                  <c:v>75</c:v>
                </c:pt>
                <c:pt idx="16">
                  <c:v>80</c:v>
                </c:pt>
                <c:pt idx="17">
                  <c:v>85</c:v>
                </c:pt>
                <c:pt idx="18">
                  <c:v>90</c:v>
                </c:pt>
                <c:pt idx="19">
                  <c:v>95</c:v>
                </c:pt>
                <c:pt idx="20">
                  <c:v>100</c:v>
                </c:pt>
              </c:numCache>
            </c:numRef>
          </c:xVal>
          <c:yVal>
            <c:numRef>
              <c:f>Sheet1!$B$1:$B$21</c:f>
              <c:numCache>
                <c:formatCode>0</c:formatCode>
                <c:ptCount val="21"/>
                <c:pt idx="0">
                  <c:v>0</c:v>
                </c:pt>
                <c:pt idx="1">
                  <c:v>46.875</c:v>
                </c:pt>
                <c:pt idx="2">
                  <c:v>87.5</c:v>
                </c:pt>
                <c:pt idx="3">
                  <c:v>121.875</c:v>
                </c:pt>
                <c:pt idx="4">
                  <c:v>150</c:v>
                </c:pt>
                <c:pt idx="5">
                  <c:v>171.875</c:v>
                </c:pt>
                <c:pt idx="6">
                  <c:v>187.5</c:v>
                </c:pt>
                <c:pt idx="7">
                  <c:v>196.875</c:v>
                </c:pt>
                <c:pt idx="8">
                  <c:v>200</c:v>
                </c:pt>
                <c:pt idx="9">
                  <c:v>196.875</c:v>
                </c:pt>
                <c:pt idx="10">
                  <c:v>187.5</c:v>
                </c:pt>
                <c:pt idx="11">
                  <c:v>171.875</c:v>
                </c:pt>
                <c:pt idx="12">
                  <c:v>150</c:v>
                </c:pt>
                <c:pt idx="13">
                  <c:v>121.875</c:v>
                </c:pt>
                <c:pt idx="14">
                  <c:v>87.5</c:v>
                </c:pt>
                <c:pt idx="15">
                  <c:v>46.875</c:v>
                </c:pt>
                <c:pt idx="16">
                  <c:v>0</c:v>
                </c:pt>
                <c:pt idx="17">
                  <c:v>-53.125</c:v>
                </c:pt>
                <c:pt idx="18">
                  <c:v>-112.5</c:v>
                </c:pt>
                <c:pt idx="19">
                  <c:v>-178.125</c:v>
                </c:pt>
                <c:pt idx="20">
                  <c:v>-250</c:v>
                </c:pt>
              </c:numCache>
            </c:numRef>
          </c:yVal>
          <c:smooth val="1"/>
          <c:extLst>
            <c:ext xmlns:c16="http://schemas.microsoft.com/office/drawing/2014/chart" uri="{C3380CC4-5D6E-409C-BE32-E72D297353CC}">
              <c16:uniqueId val="{00000000-EA18-4C61-AB35-5D7F6BA8D1AA}"/>
            </c:ext>
          </c:extLst>
        </c:ser>
        <c:ser>
          <c:idx val="0"/>
          <c:order val="1"/>
          <c:spPr>
            <a:ln w="25366">
              <a:solidFill>
                <a:srgbClr val="000000"/>
              </a:solidFill>
              <a:prstDash val="solid"/>
            </a:ln>
          </c:spPr>
          <c:marker>
            <c:symbol val="none"/>
          </c:marker>
          <c:xVal>
            <c:numRef>
              <c:f>Sheet1!$A$1:$A$21</c:f>
              <c:numCache>
                <c:formatCode>General</c:formatCode>
                <c:ptCount val="21"/>
                <c:pt idx="0">
                  <c:v>0</c:v>
                </c:pt>
                <c:pt idx="1">
                  <c:v>5</c:v>
                </c:pt>
                <c:pt idx="2">
                  <c:v>10</c:v>
                </c:pt>
                <c:pt idx="3">
                  <c:v>15</c:v>
                </c:pt>
                <c:pt idx="4">
                  <c:v>20</c:v>
                </c:pt>
                <c:pt idx="5">
                  <c:v>25</c:v>
                </c:pt>
                <c:pt idx="6">
                  <c:v>30</c:v>
                </c:pt>
                <c:pt idx="7">
                  <c:v>35</c:v>
                </c:pt>
                <c:pt idx="8">
                  <c:v>40</c:v>
                </c:pt>
                <c:pt idx="9">
                  <c:v>45</c:v>
                </c:pt>
                <c:pt idx="10">
                  <c:v>50</c:v>
                </c:pt>
                <c:pt idx="11">
                  <c:v>55</c:v>
                </c:pt>
                <c:pt idx="12">
                  <c:v>60</c:v>
                </c:pt>
                <c:pt idx="13">
                  <c:v>65</c:v>
                </c:pt>
                <c:pt idx="14">
                  <c:v>70</c:v>
                </c:pt>
                <c:pt idx="15">
                  <c:v>75</c:v>
                </c:pt>
                <c:pt idx="16">
                  <c:v>80</c:v>
                </c:pt>
                <c:pt idx="17">
                  <c:v>85</c:v>
                </c:pt>
                <c:pt idx="18">
                  <c:v>90</c:v>
                </c:pt>
                <c:pt idx="19">
                  <c:v>95</c:v>
                </c:pt>
                <c:pt idx="20">
                  <c:v>100</c:v>
                </c:pt>
              </c:numCache>
            </c:numRef>
          </c:xVal>
          <c:yVal>
            <c:numRef>
              <c:f>Sheet1!$B$1:$B$21</c:f>
              <c:numCache>
                <c:formatCode>0</c:formatCode>
                <c:ptCount val="21"/>
                <c:pt idx="0">
                  <c:v>0</c:v>
                </c:pt>
                <c:pt idx="1">
                  <c:v>46.875</c:v>
                </c:pt>
                <c:pt idx="2">
                  <c:v>87.5</c:v>
                </c:pt>
                <c:pt idx="3">
                  <c:v>121.875</c:v>
                </c:pt>
                <c:pt idx="4">
                  <c:v>150</c:v>
                </c:pt>
                <c:pt idx="5">
                  <c:v>171.875</c:v>
                </c:pt>
                <c:pt idx="6">
                  <c:v>187.5</c:v>
                </c:pt>
                <c:pt idx="7">
                  <c:v>196.875</c:v>
                </c:pt>
                <c:pt idx="8">
                  <c:v>200</c:v>
                </c:pt>
                <c:pt idx="9">
                  <c:v>196.875</c:v>
                </c:pt>
                <c:pt idx="10">
                  <c:v>187.5</c:v>
                </c:pt>
                <c:pt idx="11">
                  <c:v>171.875</c:v>
                </c:pt>
                <c:pt idx="12">
                  <c:v>150</c:v>
                </c:pt>
                <c:pt idx="13">
                  <c:v>121.875</c:v>
                </c:pt>
                <c:pt idx="14">
                  <c:v>87.5</c:v>
                </c:pt>
                <c:pt idx="15">
                  <c:v>46.875</c:v>
                </c:pt>
                <c:pt idx="16">
                  <c:v>0</c:v>
                </c:pt>
                <c:pt idx="17">
                  <c:v>-53.125</c:v>
                </c:pt>
                <c:pt idx="18">
                  <c:v>-112.5</c:v>
                </c:pt>
                <c:pt idx="19">
                  <c:v>-178.125</c:v>
                </c:pt>
                <c:pt idx="20">
                  <c:v>-250</c:v>
                </c:pt>
              </c:numCache>
            </c:numRef>
          </c:yVal>
          <c:smooth val="1"/>
          <c:extLst>
            <c:ext xmlns:c16="http://schemas.microsoft.com/office/drawing/2014/chart" uri="{C3380CC4-5D6E-409C-BE32-E72D297353CC}">
              <c16:uniqueId val="{00000001-EA18-4C61-AB35-5D7F6BA8D1AA}"/>
            </c:ext>
          </c:extLst>
        </c:ser>
        <c:dLbls>
          <c:showLegendKey val="0"/>
          <c:showVal val="0"/>
          <c:showCatName val="0"/>
          <c:showSerName val="0"/>
          <c:showPercent val="0"/>
          <c:showBubbleSize val="0"/>
        </c:dLbls>
        <c:axId val="1318369151"/>
        <c:axId val="1"/>
      </c:scatterChart>
      <c:valAx>
        <c:axId val="1318369151"/>
        <c:scaling>
          <c:orientation val="minMax"/>
          <c:max val="100"/>
        </c:scaling>
        <c:delete val="0"/>
        <c:axPos val="b"/>
        <c:title>
          <c:tx>
            <c:rich>
              <a:bodyPr/>
              <a:lstStyle/>
              <a:p>
                <a:pPr>
                  <a:defRPr sz="1124" b="1" i="0" u="none" strike="noStrike" baseline="0">
                    <a:solidFill>
                      <a:srgbClr val="000000"/>
                    </a:solidFill>
                    <a:latin typeface="Times New Roman"/>
                    <a:ea typeface="Times New Roman"/>
                    <a:cs typeface="Times New Roman"/>
                  </a:defRPr>
                </a:pPr>
                <a:r>
                  <a:rPr lang="en-US"/>
                  <a:t>I</a:t>
                </a:r>
              </a:p>
            </c:rich>
          </c:tx>
          <c:layout>
            <c:manualLayout>
              <c:xMode val="edge"/>
              <c:yMode val="edge"/>
              <c:x val="0.54343434343434338"/>
              <c:y val="0.85185185185185186"/>
            </c:manualLayout>
          </c:layout>
          <c:overlay val="0"/>
          <c:spPr>
            <a:noFill/>
            <a:ln w="25366">
              <a:noFill/>
            </a:ln>
          </c:spPr>
        </c:title>
        <c:numFmt formatCode="General" sourceLinked="1"/>
        <c:majorTickMark val="out"/>
        <c:minorTickMark val="none"/>
        <c:tickLblPos val="nextTo"/>
        <c:spPr>
          <a:ln w="3171">
            <a:solidFill>
              <a:srgbClr val="000000"/>
            </a:solidFill>
            <a:prstDash val="solid"/>
          </a:ln>
        </c:spPr>
        <c:txPr>
          <a:bodyPr rot="0" vert="horz"/>
          <a:lstStyle/>
          <a:p>
            <a:pPr>
              <a:defRPr sz="1124" b="0" i="0" u="none" strike="noStrike" baseline="0">
                <a:solidFill>
                  <a:srgbClr val="000000"/>
                </a:solidFill>
                <a:latin typeface="Times New Roman"/>
                <a:ea typeface="Times New Roman"/>
                <a:cs typeface="Times New Roman"/>
              </a:defRPr>
            </a:pPr>
            <a:endParaRPr lang="th-TH"/>
          </a:p>
        </c:txPr>
        <c:crossAx val="1"/>
        <c:crosses val="autoZero"/>
        <c:crossBetween val="midCat"/>
      </c:valAx>
      <c:valAx>
        <c:axId val="1"/>
        <c:scaling>
          <c:orientation val="minMax"/>
        </c:scaling>
        <c:delete val="0"/>
        <c:axPos val="l"/>
        <c:title>
          <c:tx>
            <c:rich>
              <a:bodyPr/>
              <a:lstStyle/>
              <a:p>
                <a:pPr>
                  <a:defRPr sz="1124" b="1" i="0" u="none" strike="noStrike" baseline="0">
                    <a:solidFill>
                      <a:srgbClr val="000000"/>
                    </a:solidFill>
                    <a:latin typeface="Times New Roman"/>
                    <a:ea typeface="Times New Roman"/>
                    <a:cs typeface="Times New Roman"/>
                  </a:defRPr>
                </a:pPr>
                <a:r>
                  <a:rPr lang="en-US"/>
                  <a:t>Utility</a:t>
                </a:r>
              </a:p>
            </c:rich>
          </c:tx>
          <c:layout>
            <c:manualLayout>
              <c:xMode val="edge"/>
              <c:yMode val="edge"/>
              <c:x val="2.2222222222222223E-2"/>
              <c:y val="0.35390946502057613"/>
            </c:manualLayout>
          </c:layout>
          <c:overlay val="0"/>
          <c:spPr>
            <a:noFill/>
            <a:ln w="25366">
              <a:noFill/>
            </a:ln>
          </c:spPr>
        </c:title>
        <c:numFmt formatCode="0" sourceLinked="1"/>
        <c:majorTickMark val="out"/>
        <c:minorTickMark val="none"/>
        <c:tickLblPos val="nextTo"/>
        <c:spPr>
          <a:ln w="3171">
            <a:solidFill>
              <a:srgbClr val="000000"/>
            </a:solidFill>
            <a:prstDash val="solid"/>
          </a:ln>
        </c:spPr>
        <c:txPr>
          <a:bodyPr rot="0" vert="horz"/>
          <a:lstStyle/>
          <a:p>
            <a:pPr>
              <a:defRPr sz="1124" b="0" i="0" u="none" strike="noStrike" baseline="0">
                <a:solidFill>
                  <a:srgbClr val="000000"/>
                </a:solidFill>
                <a:latin typeface="Times New Roman"/>
                <a:ea typeface="Times New Roman"/>
                <a:cs typeface="Times New Roman"/>
              </a:defRPr>
            </a:pPr>
            <a:endParaRPr lang="th-TH"/>
          </a:p>
        </c:txPr>
        <c:crossAx val="1318369151"/>
        <c:crosses val="autoZero"/>
        <c:crossBetween val="midCat"/>
      </c:valAx>
      <c:spPr>
        <a:noFill/>
        <a:ln w="25366">
          <a:noFill/>
        </a:ln>
      </c:spPr>
    </c:plotArea>
    <c:plotVisOnly val="1"/>
    <c:dispBlanksAs val="gap"/>
    <c:showDLblsOverMax val="0"/>
  </c:chart>
  <c:spPr>
    <a:solidFill>
      <a:srgbClr val="FFFFFF"/>
    </a:solidFill>
    <a:ln w="3171">
      <a:solidFill>
        <a:srgbClr val="000000"/>
      </a:solidFill>
      <a:prstDash val="solid"/>
    </a:ln>
  </c:spPr>
  <c:txPr>
    <a:bodyPr/>
    <a:lstStyle/>
    <a:p>
      <a:pPr>
        <a:defRPr sz="1124" b="0" i="0" u="none" strike="noStrike" baseline="0">
          <a:solidFill>
            <a:srgbClr val="000000"/>
          </a:solidFill>
          <a:latin typeface="Times New Roman"/>
          <a:ea typeface="Times New Roman"/>
          <a:cs typeface="Times New Roman"/>
        </a:defRPr>
      </a:pPr>
      <a:endParaRPr lang="th-TH"/>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767337807606264"/>
          <c:y val="0.10330578512396695"/>
          <c:w val="0.77628635346756147"/>
          <c:h val="0.5950413223140496"/>
        </c:manualLayout>
      </c:layout>
      <c:scatterChart>
        <c:scatterStyle val="smoothMarker"/>
        <c:varyColors val="0"/>
        <c:ser>
          <c:idx val="0"/>
          <c:order val="0"/>
          <c:spPr>
            <a:ln w="25382">
              <a:solidFill>
                <a:srgbClr val="000000"/>
              </a:solidFill>
              <a:prstDash val="solid"/>
            </a:ln>
          </c:spPr>
          <c:marker>
            <c:symbol val="none"/>
          </c:marker>
          <c:xVal>
            <c:numRef>
              <c:f>Sheet1!$A$1:$A$21</c:f>
              <c:numCache>
                <c:formatCode>General</c:formatCode>
                <c:ptCount val="21"/>
                <c:pt idx="0">
                  <c:v>0</c:v>
                </c:pt>
                <c:pt idx="1">
                  <c:v>5</c:v>
                </c:pt>
                <c:pt idx="2">
                  <c:v>10</c:v>
                </c:pt>
                <c:pt idx="3">
                  <c:v>15</c:v>
                </c:pt>
                <c:pt idx="4">
                  <c:v>20</c:v>
                </c:pt>
                <c:pt idx="5">
                  <c:v>25</c:v>
                </c:pt>
                <c:pt idx="6">
                  <c:v>30</c:v>
                </c:pt>
                <c:pt idx="7">
                  <c:v>35</c:v>
                </c:pt>
                <c:pt idx="8">
                  <c:v>40</c:v>
                </c:pt>
                <c:pt idx="9">
                  <c:v>45</c:v>
                </c:pt>
                <c:pt idx="10">
                  <c:v>50</c:v>
                </c:pt>
                <c:pt idx="11">
                  <c:v>55</c:v>
                </c:pt>
                <c:pt idx="12">
                  <c:v>60</c:v>
                </c:pt>
                <c:pt idx="13">
                  <c:v>65</c:v>
                </c:pt>
                <c:pt idx="14">
                  <c:v>70</c:v>
                </c:pt>
                <c:pt idx="15">
                  <c:v>75</c:v>
                </c:pt>
                <c:pt idx="16">
                  <c:v>80</c:v>
                </c:pt>
                <c:pt idx="17">
                  <c:v>85</c:v>
                </c:pt>
                <c:pt idx="18">
                  <c:v>90</c:v>
                </c:pt>
                <c:pt idx="19">
                  <c:v>95</c:v>
                </c:pt>
                <c:pt idx="20">
                  <c:v>100</c:v>
                </c:pt>
              </c:numCache>
            </c:numRef>
          </c:xVal>
          <c:yVal>
            <c:numRef>
              <c:f>Sheet1!$B$1:$B$21</c:f>
              <c:numCache>
                <c:formatCode>0</c:formatCode>
                <c:ptCount val="21"/>
                <c:pt idx="0">
                  <c:v>0</c:v>
                </c:pt>
                <c:pt idx="1">
                  <c:v>3.125</c:v>
                </c:pt>
                <c:pt idx="2">
                  <c:v>12.5</c:v>
                </c:pt>
                <c:pt idx="3">
                  <c:v>28.125</c:v>
                </c:pt>
                <c:pt idx="4">
                  <c:v>50</c:v>
                </c:pt>
                <c:pt idx="5">
                  <c:v>78.125</c:v>
                </c:pt>
                <c:pt idx="6">
                  <c:v>112.5</c:v>
                </c:pt>
                <c:pt idx="7">
                  <c:v>153.125</c:v>
                </c:pt>
                <c:pt idx="8">
                  <c:v>200</c:v>
                </c:pt>
                <c:pt idx="9">
                  <c:v>253.125</c:v>
                </c:pt>
                <c:pt idx="10">
                  <c:v>312.5</c:v>
                </c:pt>
                <c:pt idx="11">
                  <c:v>378.125</c:v>
                </c:pt>
                <c:pt idx="12">
                  <c:v>450</c:v>
                </c:pt>
                <c:pt idx="13">
                  <c:v>528.125</c:v>
                </c:pt>
                <c:pt idx="14">
                  <c:v>612.5</c:v>
                </c:pt>
                <c:pt idx="15">
                  <c:v>703.125</c:v>
                </c:pt>
                <c:pt idx="16">
                  <c:v>800</c:v>
                </c:pt>
                <c:pt idx="17">
                  <c:v>903.125</c:v>
                </c:pt>
                <c:pt idx="18">
                  <c:v>1012.5</c:v>
                </c:pt>
                <c:pt idx="19">
                  <c:v>1128.125</c:v>
                </c:pt>
                <c:pt idx="20">
                  <c:v>1250</c:v>
                </c:pt>
              </c:numCache>
            </c:numRef>
          </c:yVal>
          <c:smooth val="1"/>
          <c:extLst>
            <c:ext xmlns:c16="http://schemas.microsoft.com/office/drawing/2014/chart" uri="{C3380CC4-5D6E-409C-BE32-E72D297353CC}">
              <c16:uniqueId val="{00000000-574A-4ACE-B1B1-AFC8E661272D}"/>
            </c:ext>
          </c:extLst>
        </c:ser>
        <c:dLbls>
          <c:showLegendKey val="0"/>
          <c:showVal val="0"/>
          <c:showCatName val="0"/>
          <c:showSerName val="0"/>
          <c:showPercent val="0"/>
          <c:showBubbleSize val="0"/>
        </c:dLbls>
        <c:axId val="1318364159"/>
        <c:axId val="1"/>
      </c:scatterChart>
      <c:valAx>
        <c:axId val="1318364159"/>
        <c:scaling>
          <c:orientation val="minMax"/>
          <c:max val="100"/>
        </c:scaling>
        <c:delete val="0"/>
        <c:axPos val="b"/>
        <c:title>
          <c:tx>
            <c:rich>
              <a:bodyPr/>
              <a:lstStyle/>
              <a:p>
                <a:pPr>
                  <a:defRPr sz="1124" b="1" i="0" u="none" strike="noStrike" baseline="0">
                    <a:solidFill>
                      <a:srgbClr val="000000"/>
                    </a:solidFill>
                    <a:latin typeface="Times New Roman"/>
                    <a:ea typeface="Times New Roman"/>
                    <a:cs typeface="Times New Roman"/>
                  </a:defRPr>
                </a:pPr>
                <a:r>
                  <a:rPr lang="en-US"/>
                  <a:t>I</a:t>
                </a:r>
              </a:p>
            </c:rich>
          </c:tx>
          <c:layout>
            <c:manualLayout>
              <c:xMode val="edge"/>
              <c:yMode val="edge"/>
              <c:x val="0.55033557046979864"/>
              <c:y val="0.85123966942148765"/>
            </c:manualLayout>
          </c:layout>
          <c:overlay val="0"/>
          <c:spPr>
            <a:noFill/>
            <a:ln w="25382">
              <a:noFill/>
            </a:ln>
          </c:spPr>
        </c:title>
        <c:numFmt formatCode="General" sourceLinked="1"/>
        <c:majorTickMark val="out"/>
        <c:minorTickMark val="none"/>
        <c:tickLblPos val="nextTo"/>
        <c:spPr>
          <a:ln w="3173">
            <a:solidFill>
              <a:srgbClr val="000000"/>
            </a:solidFill>
            <a:prstDash val="solid"/>
          </a:ln>
        </c:spPr>
        <c:txPr>
          <a:bodyPr rot="0" vert="horz"/>
          <a:lstStyle/>
          <a:p>
            <a:pPr>
              <a:defRPr sz="1124" b="0" i="0" u="none" strike="noStrike" baseline="0">
                <a:solidFill>
                  <a:srgbClr val="000000"/>
                </a:solidFill>
                <a:latin typeface="Times New Roman"/>
                <a:ea typeface="Times New Roman"/>
                <a:cs typeface="Times New Roman"/>
              </a:defRPr>
            </a:pPr>
            <a:endParaRPr lang="th-TH"/>
          </a:p>
        </c:txPr>
        <c:crossAx val="1"/>
        <c:crosses val="autoZero"/>
        <c:crossBetween val="midCat"/>
      </c:valAx>
      <c:valAx>
        <c:axId val="1"/>
        <c:scaling>
          <c:orientation val="minMax"/>
        </c:scaling>
        <c:delete val="0"/>
        <c:axPos val="l"/>
        <c:title>
          <c:tx>
            <c:rich>
              <a:bodyPr/>
              <a:lstStyle/>
              <a:p>
                <a:pPr>
                  <a:defRPr sz="1124" b="1" i="0" u="none" strike="noStrike" baseline="0">
                    <a:solidFill>
                      <a:srgbClr val="000000"/>
                    </a:solidFill>
                    <a:latin typeface="Times New Roman"/>
                    <a:ea typeface="Times New Roman"/>
                    <a:cs typeface="Times New Roman"/>
                  </a:defRPr>
                </a:pPr>
                <a:r>
                  <a:rPr lang="en-US"/>
                  <a:t>Utility</a:t>
                </a:r>
              </a:p>
            </c:rich>
          </c:tx>
          <c:layout>
            <c:manualLayout>
              <c:xMode val="edge"/>
              <c:yMode val="edge"/>
              <c:x val="2.4608501118568233E-2"/>
              <c:y val="0.30578512396694213"/>
            </c:manualLayout>
          </c:layout>
          <c:overlay val="0"/>
          <c:spPr>
            <a:noFill/>
            <a:ln w="25382">
              <a:noFill/>
            </a:ln>
          </c:spPr>
        </c:title>
        <c:numFmt formatCode="0" sourceLinked="1"/>
        <c:majorTickMark val="out"/>
        <c:minorTickMark val="none"/>
        <c:tickLblPos val="nextTo"/>
        <c:spPr>
          <a:ln w="3173">
            <a:solidFill>
              <a:srgbClr val="000000"/>
            </a:solidFill>
            <a:prstDash val="solid"/>
          </a:ln>
        </c:spPr>
        <c:txPr>
          <a:bodyPr rot="0" vert="horz"/>
          <a:lstStyle/>
          <a:p>
            <a:pPr>
              <a:defRPr sz="1124" b="0" i="0" u="none" strike="noStrike" baseline="0">
                <a:solidFill>
                  <a:srgbClr val="000000"/>
                </a:solidFill>
                <a:latin typeface="Times New Roman"/>
                <a:ea typeface="Times New Roman"/>
                <a:cs typeface="Times New Roman"/>
              </a:defRPr>
            </a:pPr>
            <a:endParaRPr lang="th-TH"/>
          </a:p>
        </c:txPr>
        <c:crossAx val="1318364159"/>
        <c:crosses val="autoZero"/>
        <c:crossBetween val="midCat"/>
      </c:valAx>
      <c:spPr>
        <a:noFill/>
        <a:ln w="25382">
          <a:noFill/>
        </a:ln>
      </c:spPr>
    </c:plotArea>
    <c:plotVisOnly val="1"/>
    <c:dispBlanksAs val="gap"/>
    <c:showDLblsOverMax val="0"/>
  </c:chart>
  <c:spPr>
    <a:solidFill>
      <a:srgbClr val="FFFFFF"/>
    </a:solidFill>
    <a:ln w="3173">
      <a:solidFill>
        <a:srgbClr val="000000"/>
      </a:solidFill>
      <a:prstDash val="solid"/>
    </a:ln>
  </c:spPr>
  <c:txPr>
    <a:bodyPr/>
    <a:lstStyle/>
    <a:p>
      <a:pPr>
        <a:defRPr sz="1124" b="0" i="0" u="none" strike="noStrike" baseline="0">
          <a:solidFill>
            <a:srgbClr val="000000"/>
          </a:solidFill>
          <a:latin typeface="Times New Roman"/>
          <a:ea typeface="Times New Roman"/>
          <a:cs typeface="Times New Roman"/>
        </a:defRPr>
      </a:pPr>
      <a:endParaRPr lang="th-TH"/>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2975391498881431"/>
          <c:y val="0.10330578512396695"/>
          <c:w val="0.8232662192393736"/>
          <c:h val="0.5950413223140496"/>
        </c:manualLayout>
      </c:layout>
      <c:scatterChart>
        <c:scatterStyle val="smoothMarker"/>
        <c:varyColors val="0"/>
        <c:ser>
          <c:idx val="0"/>
          <c:order val="0"/>
          <c:spPr>
            <a:ln w="25382">
              <a:solidFill>
                <a:srgbClr val="000000"/>
              </a:solidFill>
              <a:prstDash val="solid"/>
            </a:ln>
          </c:spPr>
          <c:marker>
            <c:symbol val="none"/>
          </c:marker>
          <c:xVal>
            <c:numRef>
              <c:f>Sheet1!$A$1:$A$21</c:f>
              <c:numCache>
                <c:formatCode>General</c:formatCode>
                <c:ptCount val="21"/>
                <c:pt idx="0">
                  <c:v>0</c:v>
                </c:pt>
                <c:pt idx="1">
                  <c:v>5</c:v>
                </c:pt>
                <c:pt idx="2">
                  <c:v>10</c:v>
                </c:pt>
                <c:pt idx="3">
                  <c:v>15</c:v>
                </c:pt>
                <c:pt idx="4">
                  <c:v>20</c:v>
                </c:pt>
                <c:pt idx="5">
                  <c:v>25</c:v>
                </c:pt>
                <c:pt idx="6">
                  <c:v>30</c:v>
                </c:pt>
                <c:pt idx="7">
                  <c:v>35</c:v>
                </c:pt>
                <c:pt idx="8">
                  <c:v>40</c:v>
                </c:pt>
                <c:pt idx="9">
                  <c:v>45</c:v>
                </c:pt>
                <c:pt idx="10">
                  <c:v>50</c:v>
                </c:pt>
                <c:pt idx="11">
                  <c:v>55</c:v>
                </c:pt>
                <c:pt idx="12">
                  <c:v>60</c:v>
                </c:pt>
                <c:pt idx="13">
                  <c:v>65</c:v>
                </c:pt>
                <c:pt idx="14">
                  <c:v>70</c:v>
                </c:pt>
                <c:pt idx="15">
                  <c:v>75</c:v>
                </c:pt>
                <c:pt idx="16">
                  <c:v>80</c:v>
                </c:pt>
                <c:pt idx="17">
                  <c:v>85</c:v>
                </c:pt>
                <c:pt idx="18">
                  <c:v>90</c:v>
                </c:pt>
                <c:pt idx="19">
                  <c:v>95</c:v>
                </c:pt>
                <c:pt idx="20">
                  <c:v>100</c:v>
                </c:pt>
              </c:numCache>
            </c:numRef>
          </c:xVal>
          <c:yVal>
            <c:numRef>
              <c:f>Sheet1!$B$1:$B$21</c:f>
              <c:numCache>
                <c:formatCode>0</c:formatCode>
                <c:ptCount val="21"/>
                <c:pt idx="0">
                  <c:v>0</c:v>
                </c:pt>
                <c:pt idx="1">
                  <c:v>0.77815125038364363</c:v>
                </c:pt>
                <c:pt idx="2">
                  <c:v>1.0413926851582251</c:v>
                </c:pt>
                <c:pt idx="3">
                  <c:v>1.2041199826559248</c:v>
                </c:pt>
                <c:pt idx="4">
                  <c:v>1.3222192947339193</c:v>
                </c:pt>
                <c:pt idx="5">
                  <c:v>1.414973347970818</c:v>
                </c:pt>
                <c:pt idx="6">
                  <c:v>1.4913616938342726</c:v>
                </c:pt>
                <c:pt idx="7">
                  <c:v>1.5563025007672873</c:v>
                </c:pt>
                <c:pt idx="8">
                  <c:v>1.6127838567197355</c:v>
                </c:pt>
                <c:pt idx="9">
                  <c:v>1.6627578316815741</c:v>
                </c:pt>
                <c:pt idx="10">
                  <c:v>1.7075701760979363</c:v>
                </c:pt>
                <c:pt idx="11">
                  <c:v>1.7481880270062005</c:v>
                </c:pt>
                <c:pt idx="12">
                  <c:v>1.7853298350107671</c:v>
                </c:pt>
                <c:pt idx="13">
                  <c:v>1.8195439355418688</c:v>
                </c:pt>
                <c:pt idx="14">
                  <c:v>1.8512583487190752</c:v>
                </c:pt>
                <c:pt idx="15">
                  <c:v>1.8808135922807914</c:v>
                </c:pt>
                <c:pt idx="16">
                  <c:v>1.9084850188786497</c:v>
                </c:pt>
                <c:pt idx="17">
                  <c:v>1.9344984512435677</c:v>
                </c:pt>
                <c:pt idx="18">
                  <c:v>1.9590413923210936</c:v>
                </c:pt>
                <c:pt idx="19">
                  <c:v>1.9822712330395684</c:v>
                </c:pt>
                <c:pt idx="20">
                  <c:v>2.0043213737826426</c:v>
                </c:pt>
              </c:numCache>
            </c:numRef>
          </c:yVal>
          <c:smooth val="1"/>
          <c:extLst>
            <c:ext xmlns:c16="http://schemas.microsoft.com/office/drawing/2014/chart" uri="{C3380CC4-5D6E-409C-BE32-E72D297353CC}">
              <c16:uniqueId val="{00000000-4081-441A-93C2-D428B012F9C1}"/>
            </c:ext>
          </c:extLst>
        </c:ser>
        <c:dLbls>
          <c:showLegendKey val="0"/>
          <c:showVal val="0"/>
          <c:showCatName val="0"/>
          <c:showSerName val="0"/>
          <c:showPercent val="0"/>
          <c:showBubbleSize val="0"/>
        </c:dLbls>
        <c:axId val="1318359583"/>
        <c:axId val="1"/>
      </c:scatterChart>
      <c:valAx>
        <c:axId val="1318359583"/>
        <c:scaling>
          <c:orientation val="minMax"/>
          <c:max val="100"/>
        </c:scaling>
        <c:delete val="0"/>
        <c:axPos val="b"/>
        <c:title>
          <c:tx>
            <c:rich>
              <a:bodyPr/>
              <a:lstStyle/>
              <a:p>
                <a:pPr>
                  <a:defRPr sz="1124" b="1" i="0" u="none" strike="noStrike" baseline="0">
                    <a:solidFill>
                      <a:srgbClr val="000000"/>
                    </a:solidFill>
                    <a:latin typeface="Times New Roman"/>
                    <a:ea typeface="Times New Roman"/>
                    <a:cs typeface="Times New Roman"/>
                  </a:defRPr>
                </a:pPr>
                <a:r>
                  <a:rPr lang="en-US"/>
                  <a:t>I</a:t>
                </a:r>
              </a:p>
            </c:rich>
          </c:tx>
          <c:layout>
            <c:manualLayout>
              <c:xMode val="edge"/>
              <c:yMode val="edge"/>
              <c:x val="0.52796420581655479"/>
              <c:y val="0.85123966942148765"/>
            </c:manualLayout>
          </c:layout>
          <c:overlay val="0"/>
          <c:spPr>
            <a:noFill/>
            <a:ln w="25382">
              <a:noFill/>
            </a:ln>
          </c:spPr>
        </c:title>
        <c:numFmt formatCode="General" sourceLinked="1"/>
        <c:majorTickMark val="out"/>
        <c:minorTickMark val="none"/>
        <c:tickLblPos val="nextTo"/>
        <c:spPr>
          <a:ln w="3173">
            <a:solidFill>
              <a:srgbClr val="000000"/>
            </a:solidFill>
            <a:prstDash val="solid"/>
          </a:ln>
        </c:spPr>
        <c:txPr>
          <a:bodyPr rot="0" vert="horz"/>
          <a:lstStyle/>
          <a:p>
            <a:pPr>
              <a:defRPr sz="1124" b="0" i="0" u="none" strike="noStrike" baseline="0">
                <a:solidFill>
                  <a:srgbClr val="000000"/>
                </a:solidFill>
                <a:latin typeface="Times New Roman"/>
                <a:ea typeface="Times New Roman"/>
                <a:cs typeface="Times New Roman"/>
              </a:defRPr>
            </a:pPr>
            <a:endParaRPr lang="th-TH"/>
          </a:p>
        </c:txPr>
        <c:crossAx val="1"/>
        <c:crosses val="autoZero"/>
        <c:crossBetween val="midCat"/>
      </c:valAx>
      <c:valAx>
        <c:axId val="1"/>
        <c:scaling>
          <c:orientation val="minMax"/>
        </c:scaling>
        <c:delete val="0"/>
        <c:axPos val="l"/>
        <c:title>
          <c:tx>
            <c:rich>
              <a:bodyPr/>
              <a:lstStyle/>
              <a:p>
                <a:pPr>
                  <a:defRPr sz="1124" b="1" i="0" u="none" strike="noStrike" baseline="0">
                    <a:solidFill>
                      <a:srgbClr val="000000"/>
                    </a:solidFill>
                    <a:latin typeface="Times New Roman"/>
                    <a:ea typeface="Times New Roman"/>
                    <a:cs typeface="Times New Roman"/>
                  </a:defRPr>
                </a:pPr>
                <a:r>
                  <a:rPr lang="en-US"/>
                  <a:t>Utility</a:t>
                </a:r>
              </a:p>
            </c:rich>
          </c:tx>
          <c:layout>
            <c:manualLayout>
              <c:xMode val="edge"/>
              <c:yMode val="edge"/>
              <c:x val="2.4608501118568233E-2"/>
              <c:y val="0.30578512396694213"/>
            </c:manualLayout>
          </c:layout>
          <c:overlay val="0"/>
          <c:spPr>
            <a:noFill/>
            <a:ln w="25382">
              <a:noFill/>
            </a:ln>
          </c:spPr>
        </c:title>
        <c:numFmt formatCode="0" sourceLinked="1"/>
        <c:majorTickMark val="out"/>
        <c:minorTickMark val="none"/>
        <c:tickLblPos val="nextTo"/>
        <c:spPr>
          <a:ln w="3173">
            <a:solidFill>
              <a:srgbClr val="000000"/>
            </a:solidFill>
            <a:prstDash val="solid"/>
          </a:ln>
        </c:spPr>
        <c:txPr>
          <a:bodyPr rot="0" vert="horz"/>
          <a:lstStyle/>
          <a:p>
            <a:pPr>
              <a:defRPr sz="1124" b="0" i="0" u="none" strike="noStrike" baseline="0">
                <a:solidFill>
                  <a:srgbClr val="000000"/>
                </a:solidFill>
                <a:latin typeface="Times New Roman"/>
                <a:ea typeface="Times New Roman"/>
                <a:cs typeface="Times New Roman"/>
              </a:defRPr>
            </a:pPr>
            <a:endParaRPr lang="th-TH"/>
          </a:p>
        </c:txPr>
        <c:crossAx val="1318359583"/>
        <c:crosses val="autoZero"/>
        <c:crossBetween val="midCat"/>
      </c:valAx>
      <c:spPr>
        <a:noFill/>
        <a:ln w="25382">
          <a:noFill/>
        </a:ln>
      </c:spPr>
    </c:plotArea>
    <c:plotVisOnly val="1"/>
    <c:dispBlanksAs val="gap"/>
    <c:showDLblsOverMax val="0"/>
  </c:chart>
  <c:spPr>
    <a:solidFill>
      <a:srgbClr val="FFFFFF"/>
    </a:solidFill>
    <a:ln w="3173">
      <a:solidFill>
        <a:srgbClr val="000000"/>
      </a:solidFill>
      <a:prstDash val="solid"/>
    </a:ln>
  </c:spPr>
  <c:txPr>
    <a:bodyPr/>
    <a:lstStyle/>
    <a:p>
      <a:pPr>
        <a:defRPr sz="1124" b="0" i="0" u="none" strike="noStrike" baseline="0">
          <a:solidFill>
            <a:srgbClr val="000000"/>
          </a:solidFill>
          <a:latin typeface="Times New Roman"/>
          <a:ea typeface="Times New Roman"/>
          <a:cs typeface="Times New Roman"/>
        </a:defRPr>
      </a:pPr>
      <a:endParaRPr lang="th-TH"/>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6107382550335569"/>
          <c:y val="0.10330578512396695"/>
          <c:w val="0.79194630872483218"/>
          <c:h val="0.5950413223140496"/>
        </c:manualLayout>
      </c:layout>
      <c:scatterChart>
        <c:scatterStyle val="smoothMarker"/>
        <c:varyColors val="0"/>
        <c:ser>
          <c:idx val="0"/>
          <c:order val="0"/>
          <c:spPr>
            <a:ln w="25382">
              <a:solidFill>
                <a:srgbClr val="000000"/>
              </a:solidFill>
              <a:prstDash val="solid"/>
            </a:ln>
          </c:spPr>
          <c:marker>
            <c:symbol val="none"/>
          </c:marker>
          <c:xVal>
            <c:numRef>
              <c:f>Sheet1!$A$1:$A$21</c:f>
              <c:numCache>
                <c:formatCode>General</c:formatCode>
                <c:ptCount val="21"/>
                <c:pt idx="0">
                  <c:v>0</c:v>
                </c:pt>
                <c:pt idx="1">
                  <c:v>5</c:v>
                </c:pt>
                <c:pt idx="2">
                  <c:v>10</c:v>
                </c:pt>
                <c:pt idx="3">
                  <c:v>15</c:v>
                </c:pt>
                <c:pt idx="4">
                  <c:v>20</c:v>
                </c:pt>
                <c:pt idx="5">
                  <c:v>25</c:v>
                </c:pt>
                <c:pt idx="6">
                  <c:v>30</c:v>
                </c:pt>
                <c:pt idx="7">
                  <c:v>35</c:v>
                </c:pt>
                <c:pt idx="8">
                  <c:v>40</c:v>
                </c:pt>
                <c:pt idx="9">
                  <c:v>45</c:v>
                </c:pt>
                <c:pt idx="10">
                  <c:v>50</c:v>
                </c:pt>
                <c:pt idx="11">
                  <c:v>55</c:v>
                </c:pt>
                <c:pt idx="12">
                  <c:v>60</c:v>
                </c:pt>
                <c:pt idx="13">
                  <c:v>65</c:v>
                </c:pt>
                <c:pt idx="14">
                  <c:v>70</c:v>
                </c:pt>
                <c:pt idx="15">
                  <c:v>75</c:v>
                </c:pt>
                <c:pt idx="16">
                  <c:v>80</c:v>
                </c:pt>
                <c:pt idx="17">
                  <c:v>85</c:v>
                </c:pt>
                <c:pt idx="18">
                  <c:v>90</c:v>
                </c:pt>
                <c:pt idx="19">
                  <c:v>95</c:v>
                </c:pt>
                <c:pt idx="20">
                  <c:v>100</c:v>
                </c:pt>
              </c:numCache>
            </c:numRef>
          </c:xVal>
          <c:yVal>
            <c:numRef>
              <c:f>Sheet1!$B$1:$B$21</c:f>
              <c:numCache>
                <c:formatCode>0</c:formatCode>
                <c:ptCount val="21"/>
                <c:pt idx="0">
                  <c:v>0</c:v>
                </c:pt>
                <c:pt idx="1">
                  <c:v>25</c:v>
                </c:pt>
                <c:pt idx="2">
                  <c:v>50</c:v>
                </c:pt>
                <c:pt idx="3">
                  <c:v>75</c:v>
                </c:pt>
                <c:pt idx="4">
                  <c:v>100</c:v>
                </c:pt>
                <c:pt idx="5">
                  <c:v>125</c:v>
                </c:pt>
                <c:pt idx="6">
                  <c:v>150</c:v>
                </c:pt>
                <c:pt idx="7">
                  <c:v>175</c:v>
                </c:pt>
                <c:pt idx="8">
                  <c:v>200</c:v>
                </c:pt>
                <c:pt idx="9">
                  <c:v>225</c:v>
                </c:pt>
                <c:pt idx="10">
                  <c:v>250</c:v>
                </c:pt>
                <c:pt idx="11">
                  <c:v>275</c:v>
                </c:pt>
                <c:pt idx="12">
                  <c:v>300</c:v>
                </c:pt>
                <c:pt idx="13">
                  <c:v>325</c:v>
                </c:pt>
                <c:pt idx="14">
                  <c:v>350</c:v>
                </c:pt>
                <c:pt idx="15">
                  <c:v>375</c:v>
                </c:pt>
                <c:pt idx="16">
                  <c:v>400</c:v>
                </c:pt>
                <c:pt idx="17">
                  <c:v>425</c:v>
                </c:pt>
                <c:pt idx="18">
                  <c:v>450</c:v>
                </c:pt>
                <c:pt idx="19">
                  <c:v>475</c:v>
                </c:pt>
                <c:pt idx="20">
                  <c:v>500</c:v>
                </c:pt>
              </c:numCache>
            </c:numRef>
          </c:yVal>
          <c:smooth val="1"/>
          <c:extLst>
            <c:ext xmlns:c16="http://schemas.microsoft.com/office/drawing/2014/chart" uri="{C3380CC4-5D6E-409C-BE32-E72D297353CC}">
              <c16:uniqueId val="{00000000-8214-4ACC-9D48-014C9E479144}"/>
            </c:ext>
          </c:extLst>
        </c:ser>
        <c:dLbls>
          <c:showLegendKey val="0"/>
          <c:showVal val="0"/>
          <c:showCatName val="0"/>
          <c:showSerName val="0"/>
          <c:showPercent val="0"/>
          <c:showBubbleSize val="0"/>
        </c:dLbls>
        <c:axId val="1318107695"/>
        <c:axId val="1"/>
      </c:scatterChart>
      <c:valAx>
        <c:axId val="1318107695"/>
        <c:scaling>
          <c:orientation val="minMax"/>
          <c:max val="100"/>
        </c:scaling>
        <c:delete val="0"/>
        <c:axPos val="b"/>
        <c:title>
          <c:tx>
            <c:rich>
              <a:bodyPr/>
              <a:lstStyle/>
              <a:p>
                <a:pPr>
                  <a:defRPr sz="1124" b="1" i="0" u="none" strike="noStrike" baseline="0">
                    <a:solidFill>
                      <a:srgbClr val="000000"/>
                    </a:solidFill>
                    <a:latin typeface="Times New Roman"/>
                    <a:ea typeface="Times New Roman"/>
                    <a:cs typeface="Times New Roman"/>
                  </a:defRPr>
                </a:pPr>
                <a:r>
                  <a:rPr lang="en-US"/>
                  <a:t>I</a:t>
                </a:r>
              </a:p>
            </c:rich>
          </c:tx>
          <c:layout>
            <c:manualLayout>
              <c:xMode val="edge"/>
              <c:yMode val="edge"/>
              <c:x val="0.5436241610738255"/>
              <c:y val="0.85123966942148765"/>
            </c:manualLayout>
          </c:layout>
          <c:overlay val="0"/>
          <c:spPr>
            <a:noFill/>
            <a:ln w="25382">
              <a:noFill/>
            </a:ln>
          </c:spPr>
        </c:title>
        <c:numFmt formatCode="General" sourceLinked="1"/>
        <c:majorTickMark val="out"/>
        <c:minorTickMark val="none"/>
        <c:tickLblPos val="nextTo"/>
        <c:spPr>
          <a:ln w="3173">
            <a:solidFill>
              <a:srgbClr val="000000"/>
            </a:solidFill>
            <a:prstDash val="solid"/>
          </a:ln>
        </c:spPr>
        <c:txPr>
          <a:bodyPr rot="0" vert="horz"/>
          <a:lstStyle/>
          <a:p>
            <a:pPr>
              <a:defRPr sz="1124" b="0" i="0" u="none" strike="noStrike" baseline="0">
                <a:solidFill>
                  <a:srgbClr val="000000"/>
                </a:solidFill>
                <a:latin typeface="Times New Roman"/>
                <a:ea typeface="Times New Roman"/>
                <a:cs typeface="Times New Roman"/>
              </a:defRPr>
            </a:pPr>
            <a:endParaRPr lang="th-TH"/>
          </a:p>
        </c:txPr>
        <c:crossAx val="1"/>
        <c:crosses val="autoZero"/>
        <c:crossBetween val="midCat"/>
      </c:valAx>
      <c:valAx>
        <c:axId val="1"/>
        <c:scaling>
          <c:orientation val="minMax"/>
        </c:scaling>
        <c:delete val="0"/>
        <c:axPos val="l"/>
        <c:title>
          <c:tx>
            <c:rich>
              <a:bodyPr/>
              <a:lstStyle/>
              <a:p>
                <a:pPr>
                  <a:defRPr sz="1124" b="1" i="0" u="none" strike="noStrike" baseline="0">
                    <a:solidFill>
                      <a:srgbClr val="000000"/>
                    </a:solidFill>
                    <a:latin typeface="Times New Roman"/>
                    <a:ea typeface="Times New Roman"/>
                    <a:cs typeface="Times New Roman"/>
                  </a:defRPr>
                </a:pPr>
                <a:r>
                  <a:rPr lang="en-US"/>
                  <a:t>Utility</a:t>
                </a:r>
              </a:p>
            </c:rich>
          </c:tx>
          <c:layout>
            <c:manualLayout>
              <c:xMode val="edge"/>
              <c:yMode val="edge"/>
              <c:x val="2.4608501118568233E-2"/>
              <c:y val="0.30578512396694213"/>
            </c:manualLayout>
          </c:layout>
          <c:overlay val="0"/>
          <c:spPr>
            <a:noFill/>
            <a:ln w="25382">
              <a:noFill/>
            </a:ln>
          </c:spPr>
        </c:title>
        <c:numFmt formatCode="0" sourceLinked="1"/>
        <c:majorTickMark val="out"/>
        <c:minorTickMark val="none"/>
        <c:tickLblPos val="nextTo"/>
        <c:spPr>
          <a:ln w="3173">
            <a:solidFill>
              <a:srgbClr val="000000"/>
            </a:solidFill>
            <a:prstDash val="solid"/>
          </a:ln>
        </c:spPr>
        <c:txPr>
          <a:bodyPr rot="0" vert="horz"/>
          <a:lstStyle/>
          <a:p>
            <a:pPr>
              <a:defRPr sz="1124" b="0" i="0" u="none" strike="noStrike" baseline="0">
                <a:solidFill>
                  <a:srgbClr val="000000"/>
                </a:solidFill>
                <a:latin typeface="Times New Roman"/>
                <a:ea typeface="Times New Roman"/>
                <a:cs typeface="Times New Roman"/>
              </a:defRPr>
            </a:pPr>
            <a:endParaRPr lang="th-TH"/>
          </a:p>
        </c:txPr>
        <c:crossAx val="1318107695"/>
        <c:crosses val="autoZero"/>
        <c:crossBetween val="midCat"/>
      </c:valAx>
      <c:spPr>
        <a:noFill/>
        <a:ln w="25382">
          <a:noFill/>
        </a:ln>
      </c:spPr>
    </c:plotArea>
    <c:plotVisOnly val="1"/>
    <c:dispBlanksAs val="gap"/>
    <c:showDLblsOverMax val="0"/>
  </c:chart>
  <c:spPr>
    <a:solidFill>
      <a:srgbClr val="FFFFFF"/>
    </a:solidFill>
    <a:ln w="3173">
      <a:solidFill>
        <a:srgbClr val="000000"/>
      </a:solidFill>
      <a:prstDash val="solid"/>
    </a:ln>
  </c:spPr>
  <c:txPr>
    <a:bodyPr/>
    <a:lstStyle/>
    <a:p>
      <a:pPr>
        <a:defRPr sz="1124" b="0" i="0" u="none" strike="noStrike" baseline="0">
          <a:solidFill>
            <a:srgbClr val="000000"/>
          </a:solidFill>
          <a:latin typeface="Times New Roman"/>
          <a:ea typeface="Times New Roman"/>
          <a:cs typeface="Times New Roman"/>
        </a:defRPr>
      </a:pPr>
      <a:endParaRPr lang="th-TH"/>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A1DCB9-2926-4426-B860-1224668E0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Wiley Solutions Manual with Test Question Chapter.dot</Template>
  <TotalTime>8</TotalTime>
  <Pages>6</Pages>
  <Words>1267</Words>
  <Characters>7224</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Chapter 1</vt:lpstr>
    </vt:vector>
  </TitlesOfParts>
  <Company>Unity Health</Company>
  <LinksUpToDate>false</LinksUpToDate>
  <CharactersWithSpaces>8475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dc:title>
  <dc:subject/>
  <dc:creator>Ken Brown</dc:creator>
  <cp:keywords/>
  <cp:lastModifiedBy>LENOVO</cp:lastModifiedBy>
  <cp:revision>3</cp:revision>
  <cp:lastPrinted>2000-05-12T08:34:00Z</cp:lastPrinted>
  <dcterms:created xsi:type="dcterms:W3CDTF">2019-09-27T20:31:00Z</dcterms:created>
  <dcterms:modified xsi:type="dcterms:W3CDTF">2019-09-27T20:45:00Z</dcterms:modified>
</cp:coreProperties>
</file>