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0543" w:rsidRPr="00E30543" w:rsidRDefault="00E30543" w:rsidP="00E30543">
      <w:pPr>
        <w:shd w:val="clear" w:color="auto" w:fill="FFFFFF"/>
        <w:spacing w:after="0" w:line="240" w:lineRule="auto"/>
        <w:outlineLvl w:val="0"/>
        <w:rPr>
          <w:rFonts w:ascii="EconSans" w:eastAsia="Times New Roman" w:hAnsi="EconSans"/>
          <w:b/>
          <w:bCs/>
          <w:color w:val="000000"/>
          <w:kern w:val="36"/>
          <w:sz w:val="24"/>
          <w:szCs w:val="24"/>
          <w:lang w:bidi="th-TH"/>
        </w:rPr>
      </w:pPr>
      <w:r w:rsidRPr="00E30543">
        <w:rPr>
          <w:rFonts w:ascii="Times New Roman" w:eastAsia="Times New Roman" w:hAnsi="Times New Roman"/>
          <w:color w:val="121212"/>
          <w:spacing w:val="-5"/>
          <w:kern w:val="36"/>
          <w:sz w:val="43"/>
          <w:szCs w:val="43"/>
          <w:lang w:bidi="th-TH"/>
        </w:rPr>
        <w:t>The S&amp;P 500 breaks another record</w:t>
      </w:r>
    </w:p>
    <w:p w:rsidR="00E30543" w:rsidRPr="00E30543" w:rsidRDefault="00E30543" w:rsidP="00E30543">
      <w:pPr>
        <w:shd w:val="clear" w:color="auto" w:fill="FFFFFF"/>
        <w:spacing w:after="240" w:line="240" w:lineRule="auto"/>
        <w:rPr>
          <w:rFonts w:ascii="Times New Roman" w:eastAsia="Times New Roman" w:hAnsi="Times New Roman"/>
          <w:i/>
          <w:iCs/>
          <w:color w:val="121212"/>
          <w:sz w:val="30"/>
          <w:szCs w:val="30"/>
          <w:lang w:bidi="th-TH"/>
        </w:rPr>
      </w:pPr>
      <w:r w:rsidRPr="00E30543">
        <w:rPr>
          <w:rFonts w:ascii="Times New Roman" w:eastAsia="Times New Roman" w:hAnsi="Times New Roman"/>
          <w:i/>
          <w:iCs/>
          <w:color w:val="121212"/>
          <w:sz w:val="30"/>
          <w:szCs w:val="30"/>
          <w:lang w:bidi="th-TH"/>
        </w:rPr>
        <w:t>Do soaring shares reflect irrational exuberance or declining competition?</w:t>
      </w:r>
    </w:p>
    <w:p w:rsidR="00E30543" w:rsidRPr="00E30543" w:rsidRDefault="00E30543" w:rsidP="00E30543">
      <w:pPr>
        <w:shd w:val="clear" w:color="auto" w:fill="FFFFFF"/>
        <w:spacing w:line="240" w:lineRule="auto"/>
        <w:rPr>
          <w:rFonts w:ascii="EconSans" w:eastAsia="Times New Roman" w:hAnsi="EconSans"/>
          <w:color w:val="000000"/>
          <w:sz w:val="30"/>
          <w:szCs w:val="30"/>
          <w:lang w:bidi="th-TH"/>
        </w:rPr>
      </w:pPr>
      <w:r w:rsidRPr="00E30543">
        <w:rPr>
          <w:rFonts w:ascii="EconSans" w:eastAsia="Times New Roman" w:hAnsi="EconSans"/>
          <w:noProof/>
          <w:color w:val="000000"/>
          <w:sz w:val="30"/>
          <w:szCs w:val="30"/>
          <w:lang w:bidi="th-TH"/>
        </w:rPr>
        <w:drawing>
          <wp:inline distT="0" distB="0" distL="0" distR="0" wp14:anchorId="7A49728E" wp14:editId="29E39230">
            <wp:extent cx="5673090" cy="3338850"/>
            <wp:effectExtent l="0" t="0" r="3810" b="0"/>
            <wp:docPr id="3" name="Picture 3" descr="https://cdn.static-economist.com/sites/default/files/images/2017/09/blogs/graphic-detail/20170923_woc7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cdn.static-economist.com/sites/default/files/images/2017/09/blogs/graphic-detail/20170923_woc714.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686182" cy="3346555"/>
                    </a:xfrm>
                    <a:prstGeom prst="rect">
                      <a:avLst/>
                    </a:prstGeom>
                    <a:noFill/>
                    <a:ln>
                      <a:noFill/>
                    </a:ln>
                  </pic:spPr>
                </pic:pic>
              </a:graphicData>
            </a:graphic>
          </wp:inline>
        </w:drawing>
      </w:r>
      <w:bookmarkStart w:id="0" w:name="_GoBack"/>
      <w:bookmarkEnd w:id="0"/>
    </w:p>
    <w:p w:rsidR="00E30543" w:rsidRPr="00E30543" w:rsidRDefault="00E30543" w:rsidP="00E30543">
      <w:pPr>
        <w:shd w:val="clear" w:color="auto" w:fill="FFFFFF"/>
        <w:spacing w:after="0" w:line="240" w:lineRule="auto"/>
        <w:outlineLvl w:val="2"/>
        <w:rPr>
          <w:rFonts w:ascii="EconSans" w:eastAsia="Times New Roman" w:hAnsi="EconSans"/>
          <w:color w:val="121212"/>
          <w:sz w:val="24"/>
          <w:szCs w:val="24"/>
          <w:lang w:bidi="th-TH"/>
        </w:rPr>
      </w:pPr>
      <w:hyperlink r:id="rId6" w:history="1">
        <w:r w:rsidRPr="00E30543">
          <w:rPr>
            <w:rFonts w:ascii="EconSans" w:eastAsia="Times New Roman" w:hAnsi="EconSans"/>
            <w:color w:val="3E51B5"/>
            <w:sz w:val="24"/>
            <w:szCs w:val="24"/>
            <w:lang w:bidi="th-TH"/>
          </w:rPr>
          <w:t>Graphic detail</w:t>
        </w:r>
      </w:hyperlink>
    </w:p>
    <w:p w:rsidR="00E30543" w:rsidRPr="00E30543" w:rsidRDefault="00E30543" w:rsidP="00E30543">
      <w:pPr>
        <w:shd w:val="clear" w:color="auto" w:fill="FFFFFF"/>
        <w:spacing w:after="0" w:line="240" w:lineRule="auto"/>
        <w:rPr>
          <w:rFonts w:ascii="EconSans" w:eastAsia="Times New Roman" w:hAnsi="EconSans"/>
          <w:color w:val="000000"/>
          <w:sz w:val="30"/>
          <w:szCs w:val="30"/>
          <w:lang w:bidi="th-TH"/>
        </w:rPr>
      </w:pPr>
      <w:r w:rsidRPr="00E30543">
        <w:rPr>
          <w:rFonts w:ascii="EconSans" w:eastAsia="Times New Roman" w:hAnsi="EconSans"/>
          <w:color w:val="000000"/>
          <w:sz w:val="30"/>
          <w:szCs w:val="30"/>
          <w:lang w:bidi="th-TH"/>
        </w:rPr>
        <w:t>Sep 18th 2017</w:t>
      </w:r>
    </w:p>
    <w:p w:rsidR="00E30543" w:rsidRPr="00E30543" w:rsidRDefault="00E30543" w:rsidP="00E30543">
      <w:pPr>
        <w:shd w:val="clear" w:color="auto" w:fill="FFFFFF"/>
        <w:spacing w:after="0" w:line="240" w:lineRule="auto"/>
        <w:rPr>
          <w:rFonts w:ascii="EconSans" w:eastAsia="Times New Roman" w:hAnsi="EconSans"/>
          <w:color w:val="7A7A7A"/>
          <w:spacing w:val="4"/>
          <w:sz w:val="21"/>
          <w:szCs w:val="21"/>
          <w:lang w:bidi="th-TH"/>
        </w:rPr>
      </w:pPr>
      <w:r w:rsidRPr="00E30543">
        <w:rPr>
          <w:rFonts w:ascii="EconSans" w:eastAsia="Times New Roman" w:hAnsi="EconSans"/>
          <w:color w:val="7A7A7A"/>
          <w:spacing w:val="4"/>
          <w:sz w:val="21"/>
          <w:szCs w:val="21"/>
          <w:lang w:bidi="th-TH"/>
        </w:rPr>
        <w:t>by THE DATA TEAM</w:t>
      </w:r>
    </w:p>
    <w:p w:rsidR="00E30543" w:rsidRPr="00E30543" w:rsidRDefault="00E30543" w:rsidP="00E30543">
      <w:pPr>
        <w:shd w:val="clear" w:color="auto" w:fill="FFFFFF"/>
        <w:spacing w:after="0" w:line="240" w:lineRule="auto"/>
        <w:rPr>
          <w:rFonts w:ascii="Times New Roman" w:eastAsia="Times New Roman" w:hAnsi="Times New Roman"/>
          <w:color w:val="0000FF"/>
          <w:sz w:val="30"/>
          <w:szCs w:val="30"/>
          <w:bdr w:val="none" w:sz="0" w:space="0" w:color="auto" w:frame="1"/>
          <w:lang w:bidi="th-TH"/>
        </w:rPr>
      </w:pPr>
      <w:r w:rsidRPr="00E30543">
        <w:rPr>
          <w:rFonts w:ascii="EconSans" w:eastAsia="Times New Roman" w:hAnsi="EconSans"/>
          <w:color w:val="000000"/>
          <w:sz w:val="30"/>
          <w:szCs w:val="30"/>
          <w:lang w:bidi="th-TH"/>
        </w:rPr>
        <w:fldChar w:fldCharType="begin"/>
      </w:r>
      <w:r w:rsidRPr="00E30543">
        <w:rPr>
          <w:rFonts w:ascii="EconSans" w:eastAsia="Times New Roman" w:hAnsi="EconSans"/>
          <w:color w:val="000000"/>
          <w:sz w:val="30"/>
          <w:szCs w:val="30"/>
          <w:lang w:bidi="th-TH"/>
        </w:rPr>
        <w:instrText xml:space="preserve"> HYPERLINK "https://www.economist.com/node/21729231/comments" \o "View comments" \t "_self" </w:instrText>
      </w:r>
      <w:r w:rsidRPr="00E30543">
        <w:rPr>
          <w:rFonts w:ascii="EconSans" w:eastAsia="Times New Roman" w:hAnsi="EconSans"/>
          <w:color w:val="000000"/>
          <w:sz w:val="30"/>
          <w:szCs w:val="30"/>
          <w:lang w:bidi="th-TH"/>
        </w:rPr>
        <w:fldChar w:fldCharType="separate"/>
      </w:r>
    </w:p>
    <w:p w:rsidR="00E30543" w:rsidRPr="00E30543" w:rsidRDefault="00E30543" w:rsidP="00E30543">
      <w:pPr>
        <w:shd w:val="clear" w:color="auto" w:fill="FFFFFF"/>
        <w:spacing w:after="0" w:line="240" w:lineRule="auto"/>
        <w:rPr>
          <w:rFonts w:ascii="Times New Roman" w:eastAsia="Times New Roman" w:hAnsi="Times New Roman"/>
          <w:color w:val="000000"/>
          <w:sz w:val="24"/>
          <w:szCs w:val="24"/>
          <w:lang w:bidi="th-TH"/>
        </w:rPr>
      </w:pPr>
      <w:r w:rsidRPr="00E30543">
        <w:rPr>
          <w:rFonts w:ascii="EconSans" w:eastAsia="Times New Roman" w:hAnsi="EconSans"/>
          <w:color w:val="000000"/>
          <w:sz w:val="30"/>
          <w:szCs w:val="30"/>
          <w:lang w:bidi="th-TH"/>
        </w:rPr>
        <w:fldChar w:fldCharType="end"/>
      </w:r>
    </w:p>
    <w:p w:rsidR="00E30543" w:rsidRPr="00E30543" w:rsidRDefault="00E30543" w:rsidP="00E30543">
      <w:pPr>
        <w:shd w:val="clear" w:color="auto" w:fill="FFFFFF"/>
        <w:spacing w:before="100" w:beforeAutospacing="1" w:after="100" w:afterAutospacing="1" w:line="240" w:lineRule="auto"/>
        <w:rPr>
          <w:rFonts w:ascii="Times New Roman" w:eastAsia="Times New Roman" w:hAnsi="Times New Roman"/>
          <w:color w:val="121212"/>
          <w:sz w:val="30"/>
          <w:szCs w:val="30"/>
          <w:lang w:bidi="th-TH"/>
        </w:rPr>
      </w:pPr>
      <w:r w:rsidRPr="00E30543">
        <w:rPr>
          <w:rFonts w:ascii="Times New Roman" w:eastAsia="Times New Roman" w:hAnsi="Times New Roman"/>
          <w:color w:val="121212"/>
          <w:sz w:val="30"/>
          <w:szCs w:val="30"/>
          <w:lang w:bidi="th-TH"/>
        </w:rPr>
        <w:t>WHO would bet against the Sage of Omaha? In 2007 Warren Buffett, America’s most accomplished investor, predicted that during the next ten years the S&amp;P 500, the country’s leading index of large-</w:t>
      </w:r>
      <w:proofErr w:type="spellStart"/>
      <w:r w:rsidRPr="00E30543">
        <w:rPr>
          <w:rFonts w:ascii="Times New Roman" w:eastAsia="Times New Roman" w:hAnsi="Times New Roman"/>
          <w:color w:val="121212"/>
          <w:sz w:val="30"/>
          <w:szCs w:val="30"/>
          <w:lang w:bidi="th-TH"/>
        </w:rPr>
        <w:t>capitalisation</w:t>
      </w:r>
      <w:proofErr w:type="spellEnd"/>
      <w:r w:rsidRPr="00E30543">
        <w:rPr>
          <w:rFonts w:ascii="Times New Roman" w:eastAsia="Times New Roman" w:hAnsi="Times New Roman"/>
          <w:color w:val="121212"/>
          <w:sz w:val="30"/>
          <w:szCs w:val="30"/>
          <w:lang w:bidi="th-TH"/>
        </w:rPr>
        <w:t xml:space="preserve"> shares, would outperform a portfolio of hedge funds. He offered a $1m bet to anyone who disagreed. Only Ted </w:t>
      </w:r>
      <w:proofErr w:type="spellStart"/>
      <w:r w:rsidRPr="00E30543">
        <w:rPr>
          <w:rFonts w:ascii="Times New Roman" w:eastAsia="Times New Roman" w:hAnsi="Times New Roman"/>
          <w:color w:val="121212"/>
          <w:sz w:val="30"/>
          <w:szCs w:val="30"/>
          <w:lang w:bidi="th-TH"/>
        </w:rPr>
        <w:t>Seides</w:t>
      </w:r>
      <w:proofErr w:type="spellEnd"/>
      <w:r w:rsidRPr="00E30543">
        <w:rPr>
          <w:rFonts w:ascii="Times New Roman" w:eastAsia="Times New Roman" w:hAnsi="Times New Roman"/>
          <w:color w:val="121212"/>
          <w:sz w:val="30"/>
          <w:szCs w:val="30"/>
          <w:lang w:bidi="th-TH"/>
        </w:rPr>
        <w:t xml:space="preserve">, a hedge-fund manager, dared to take up </w:t>
      </w:r>
      <w:proofErr w:type="spellStart"/>
      <w:r w:rsidRPr="00E30543">
        <w:rPr>
          <w:rFonts w:ascii="Times New Roman" w:eastAsia="Times New Roman" w:hAnsi="Times New Roman"/>
          <w:color w:val="121212"/>
          <w:sz w:val="30"/>
          <w:szCs w:val="30"/>
          <w:lang w:bidi="th-TH"/>
        </w:rPr>
        <w:t>Mr</w:t>
      </w:r>
      <w:proofErr w:type="spellEnd"/>
      <w:r w:rsidRPr="00E30543">
        <w:rPr>
          <w:rFonts w:ascii="Times New Roman" w:eastAsia="Times New Roman" w:hAnsi="Times New Roman"/>
          <w:color w:val="121212"/>
          <w:sz w:val="30"/>
          <w:szCs w:val="30"/>
          <w:lang w:bidi="th-TH"/>
        </w:rPr>
        <w:t xml:space="preserve"> Buffett on the wager. Sure enough, he lost spectacularly. With eight months left before the decade was up, </w:t>
      </w:r>
      <w:proofErr w:type="spellStart"/>
      <w:r w:rsidRPr="00E30543">
        <w:rPr>
          <w:rFonts w:ascii="Times New Roman" w:eastAsia="Times New Roman" w:hAnsi="Times New Roman"/>
          <w:color w:val="121212"/>
          <w:sz w:val="30"/>
          <w:szCs w:val="30"/>
          <w:lang w:bidi="th-TH"/>
        </w:rPr>
        <w:t>Mr</w:t>
      </w:r>
      <w:proofErr w:type="spellEnd"/>
      <w:r w:rsidRPr="00E30543">
        <w:rPr>
          <w:rFonts w:ascii="Times New Roman" w:eastAsia="Times New Roman" w:hAnsi="Times New Roman"/>
          <w:color w:val="121212"/>
          <w:sz w:val="30"/>
          <w:szCs w:val="30"/>
          <w:lang w:bidi="th-TH"/>
        </w:rPr>
        <w:t xml:space="preserve"> </w:t>
      </w:r>
      <w:proofErr w:type="spellStart"/>
      <w:r w:rsidRPr="00E30543">
        <w:rPr>
          <w:rFonts w:ascii="Times New Roman" w:eastAsia="Times New Roman" w:hAnsi="Times New Roman"/>
          <w:color w:val="121212"/>
          <w:sz w:val="30"/>
          <w:szCs w:val="30"/>
          <w:lang w:bidi="th-TH"/>
        </w:rPr>
        <w:t>Seides</w:t>
      </w:r>
      <w:proofErr w:type="spellEnd"/>
      <w:r w:rsidRPr="00E30543">
        <w:rPr>
          <w:rFonts w:ascii="Times New Roman" w:eastAsia="Times New Roman" w:hAnsi="Times New Roman"/>
          <w:color w:val="121212"/>
          <w:sz w:val="30"/>
          <w:szCs w:val="30"/>
          <w:lang w:bidi="th-TH"/>
        </w:rPr>
        <w:t> </w:t>
      </w:r>
      <w:hyperlink r:id="rId7" w:tgtFrame="_blank" w:history="1">
        <w:r w:rsidRPr="00E30543">
          <w:rPr>
            <w:rFonts w:ascii="Times New Roman" w:eastAsia="Times New Roman" w:hAnsi="Times New Roman"/>
            <w:color w:val="3E51B5"/>
            <w:sz w:val="30"/>
            <w:szCs w:val="30"/>
            <w:lang w:bidi="th-TH"/>
          </w:rPr>
          <w:t>conceded defeat</w:t>
        </w:r>
      </w:hyperlink>
      <w:r w:rsidRPr="00E30543">
        <w:rPr>
          <w:rFonts w:ascii="Times New Roman" w:eastAsia="Times New Roman" w:hAnsi="Times New Roman"/>
          <w:color w:val="121212"/>
          <w:sz w:val="30"/>
          <w:szCs w:val="30"/>
          <w:lang w:bidi="th-TH"/>
        </w:rPr>
        <w:t>. His five hedge funds had produced a combined annual return of just 2.2%, against 7.1% for the S&amp;P 500. </w:t>
      </w:r>
    </w:p>
    <w:p w:rsidR="00E30543" w:rsidRPr="00E30543" w:rsidRDefault="00E30543" w:rsidP="00E30543">
      <w:pPr>
        <w:shd w:val="clear" w:color="auto" w:fill="FFFFFF"/>
        <w:spacing w:before="100" w:beforeAutospacing="1" w:after="100" w:afterAutospacing="1" w:line="240" w:lineRule="auto"/>
        <w:rPr>
          <w:rFonts w:ascii="Times New Roman" w:eastAsia="Times New Roman" w:hAnsi="Times New Roman"/>
          <w:color w:val="121212"/>
          <w:sz w:val="30"/>
          <w:szCs w:val="30"/>
          <w:lang w:bidi="th-TH"/>
        </w:rPr>
      </w:pPr>
      <w:r w:rsidRPr="00E30543">
        <w:rPr>
          <w:rFonts w:ascii="Times New Roman" w:eastAsia="Times New Roman" w:hAnsi="Times New Roman"/>
          <w:color w:val="121212"/>
          <w:sz w:val="30"/>
          <w:szCs w:val="30"/>
          <w:lang w:bidi="th-TH"/>
        </w:rPr>
        <w:t xml:space="preserve">Launched on March 4th 1957, the Standard &amp; Poor's 500—which, owing to multiple share classes and other oddities, currently consists of 505 stocks—is the most watched equity index in the United States. Over the past 60 years, </w:t>
      </w:r>
      <w:r w:rsidRPr="00E30543">
        <w:rPr>
          <w:rFonts w:ascii="Times New Roman" w:eastAsia="Times New Roman" w:hAnsi="Times New Roman"/>
          <w:color w:val="121212"/>
          <w:sz w:val="30"/>
          <w:szCs w:val="30"/>
          <w:lang w:bidi="th-TH"/>
        </w:rPr>
        <w:lastRenderedPageBreak/>
        <w:t xml:space="preserve">the value of the shares in the index has grown by an average of 6.9% a year, to $21.2trn. Fully $3trn is invested in index funds that track its daily gyrations. Even by its own lofty standards, the S&amp;P has been on a roll since it hit rock bottom during the global financial crisis: on </w:t>
      </w:r>
      <w:proofErr w:type="gramStart"/>
      <w:r w:rsidRPr="00E30543">
        <w:rPr>
          <w:rFonts w:ascii="Times New Roman" w:eastAsia="Times New Roman" w:hAnsi="Times New Roman"/>
          <w:color w:val="121212"/>
          <w:sz w:val="30"/>
          <w:szCs w:val="30"/>
          <w:lang w:bidi="th-TH"/>
        </w:rPr>
        <w:t>September 15th</w:t>
      </w:r>
      <w:proofErr w:type="gramEnd"/>
      <w:r w:rsidRPr="00E30543">
        <w:rPr>
          <w:rFonts w:ascii="Times New Roman" w:eastAsia="Times New Roman" w:hAnsi="Times New Roman"/>
          <w:color w:val="121212"/>
          <w:sz w:val="30"/>
          <w:szCs w:val="30"/>
          <w:lang w:bidi="th-TH"/>
        </w:rPr>
        <w:t xml:space="preserve"> it broke the 2,500 mark for the first time. An investor in Vanguard’s flagship S&amp;P 500 index fund who bought shares on March 9th 2009 would have enjoyed a subsequent </w:t>
      </w:r>
      <w:proofErr w:type="spellStart"/>
      <w:r w:rsidRPr="00E30543">
        <w:rPr>
          <w:rFonts w:ascii="Times New Roman" w:eastAsia="Times New Roman" w:hAnsi="Times New Roman"/>
          <w:color w:val="121212"/>
          <w:sz w:val="30"/>
          <w:szCs w:val="30"/>
          <w:lang w:bidi="th-TH"/>
        </w:rPr>
        <w:t>annualised</w:t>
      </w:r>
      <w:proofErr w:type="spellEnd"/>
      <w:r w:rsidRPr="00E30543">
        <w:rPr>
          <w:rFonts w:ascii="Times New Roman" w:eastAsia="Times New Roman" w:hAnsi="Times New Roman"/>
          <w:color w:val="121212"/>
          <w:sz w:val="30"/>
          <w:szCs w:val="30"/>
          <w:lang w:bidi="th-TH"/>
        </w:rPr>
        <w:t xml:space="preserve"> return of 18.9%.</w:t>
      </w:r>
    </w:p>
    <w:p w:rsidR="00E30543" w:rsidRPr="00E30543" w:rsidRDefault="00E30543" w:rsidP="00E30543">
      <w:pPr>
        <w:shd w:val="clear" w:color="auto" w:fill="FFFFFF"/>
        <w:spacing w:before="100" w:beforeAutospacing="1" w:after="100" w:afterAutospacing="1" w:line="240" w:lineRule="auto"/>
        <w:rPr>
          <w:rFonts w:ascii="Times New Roman" w:eastAsia="Times New Roman" w:hAnsi="Times New Roman"/>
          <w:color w:val="121212"/>
          <w:sz w:val="30"/>
          <w:szCs w:val="30"/>
          <w:lang w:bidi="th-TH"/>
        </w:rPr>
      </w:pPr>
      <w:r w:rsidRPr="00E30543">
        <w:rPr>
          <w:rFonts w:ascii="Times New Roman" w:eastAsia="Times New Roman" w:hAnsi="Times New Roman"/>
          <w:color w:val="121212"/>
          <w:sz w:val="30"/>
          <w:szCs w:val="30"/>
          <w:lang w:bidi="th-TH"/>
        </w:rPr>
        <w:t>How long will the current expansion last? As a measure of animal spirits, Robert Shiller, a Nobel prize-winning economist, adjusts the S&amp;P 500’s price-earnings ratio by comparing the current price to the 10-year average of earnings. If this cyclically-adjusted price-earnings ratio (CAPE) is higher than its long-run mark, that suggests that either prices must fall or earnings must rise for the index’s valuation to return to normal levels. The current ratio of 31 suggests that stocks are about 50% over-valued—a figure that has only been exceeded in the past 60 years during the dot-com bubble.</w:t>
      </w:r>
    </w:p>
    <w:p w:rsidR="00E30543" w:rsidRPr="00E30543" w:rsidRDefault="00E30543" w:rsidP="00E30543">
      <w:pPr>
        <w:shd w:val="clear" w:color="auto" w:fill="FFFFFF"/>
        <w:spacing w:before="100" w:beforeAutospacing="1" w:after="100" w:afterAutospacing="1" w:line="240" w:lineRule="auto"/>
        <w:rPr>
          <w:rFonts w:ascii="Times New Roman" w:eastAsia="Times New Roman" w:hAnsi="Times New Roman"/>
          <w:color w:val="121212"/>
          <w:sz w:val="30"/>
          <w:szCs w:val="30"/>
          <w:lang w:bidi="th-TH"/>
        </w:rPr>
      </w:pPr>
      <w:r w:rsidRPr="00E30543">
        <w:rPr>
          <w:rFonts w:ascii="Times New Roman" w:eastAsia="Times New Roman" w:hAnsi="Times New Roman"/>
          <w:color w:val="121212"/>
          <w:sz w:val="30"/>
          <w:szCs w:val="30"/>
          <w:lang w:bidi="th-TH"/>
        </w:rPr>
        <w:t>Bulls argue that the S&amp;P 500’s constituents can justify this heady valuation. Big American companies are wielding </w:t>
      </w:r>
      <w:hyperlink r:id="rId8" w:tgtFrame="_blank" w:history="1">
        <w:r w:rsidRPr="00E30543">
          <w:rPr>
            <w:rFonts w:ascii="Times New Roman" w:eastAsia="Times New Roman" w:hAnsi="Times New Roman"/>
            <w:color w:val="3E51B5"/>
            <w:sz w:val="30"/>
            <w:szCs w:val="30"/>
            <w:lang w:bidi="th-TH"/>
          </w:rPr>
          <w:t>increased market power</w:t>
        </w:r>
      </w:hyperlink>
      <w:r w:rsidRPr="00E30543">
        <w:rPr>
          <w:rFonts w:ascii="Times New Roman" w:eastAsia="Times New Roman" w:hAnsi="Times New Roman"/>
          <w:color w:val="121212"/>
          <w:sz w:val="30"/>
          <w:szCs w:val="30"/>
          <w:lang w:bidi="th-TH"/>
        </w:rPr>
        <w:t xml:space="preserve">, enabling them to earn outsized profits at the expense of America’s customers. Two-thirds of America’s top 900 industries have become more concentrated since 1997, and the top-four </w:t>
      </w:r>
      <w:proofErr w:type="gramStart"/>
      <w:r w:rsidRPr="00E30543">
        <w:rPr>
          <w:rFonts w:ascii="Times New Roman" w:eastAsia="Times New Roman" w:hAnsi="Times New Roman"/>
          <w:color w:val="121212"/>
          <w:sz w:val="30"/>
          <w:szCs w:val="30"/>
          <w:lang w:bidi="th-TH"/>
        </w:rPr>
        <w:t>firms’</w:t>
      </w:r>
      <w:proofErr w:type="gramEnd"/>
      <w:r w:rsidRPr="00E30543">
        <w:rPr>
          <w:rFonts w:ascii="Times New Roman" w:eastAsia="Times New Roman" w:hAnsi="Times New Roman"/>
          <w:color w:val="121212"/>
          <w:sz w:val="30"/>
          <w:szCs w:val="30"/>
          <w:lang w:bidi="th-TH"/>
        </w:rPr>
        <w:t xml:space="preserve"> weighted-average share of revenues in each of America’s industries has risen from 26% to 32% in that time. If incumbent firms enjoy sufficient barriers to entry to retain their dominant positions, the S&amp;P’s price-to-earnings ratio will be unlikely to revert to a long-run average that reflects a time when America’s economy enjoyed healthier competition. That might enable Wall Street’s long bull market to continue—but at what cost to Main Street? </w:t>
      </w:r>
    </w:p>
    <w:p w:rsidR="00815375" w:rsidRDefault="00815375"/>
    <w:sectPr w:rsidR="0081537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EconSans">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ED8553F"/>
    <w:multiLevelType w:val="multilevel"/>
    <w:tmpl w:val="50A8A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543"/>
    <w:rsid w:val="004B3AB2"/>
    <w:rsid w:val="007E45BE"/>
    <w:rsid w:val="00815375"/>
    <w:rsid w:val="00B72A09"/>
    <w:rsid w:val="00E30543"/>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C122679-AA84-436F-95CF-16CFB748D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th-TH"/>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E45BE"/>
    <w:pPr>
      <w:spacing w:after="200" w:line="276" w:lineRule="auto"/>
    </w:pPr>
    <w:rPr>
      <w:sz w:val="22"/>
      <w:szCs w:val="2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cimalAligned">
    <w:name w:val="Decimal Aligned"/>
    <w:basedOn w:val="Normal"/>
    <w:uiPriority w:val="40"/>
    <w:qFormat/>
    <w:rsid w:val="007E45BE"/>
    <w:pPr>
      <w:tabs>
        <w:tab w:val="decimal" w:pos="360"/>
      </w:tabs>
    </w:pPr>
    <w:rPr>
      <w:rFonts w:eastAsia="Times New Roman"/>
    </w:rPr>
  </w:style>
  <w:style w:type="character" w:styleId="Strong">
    <w:name w:val="Strong"/>
    <w:uiPriority w:val="22"/>
    <w:qFormat/>
    <w:rsid w:val="007E45BE"/>
    <w:rPr>
      <w:b/>
      <w:bCs/>
    </w:rPr>
  </w:style>
  <w:style w:type="character" w:styleId="SubtleEmphasis">
    <w:name w:val="Subtle Emphasis"/>
    <w:uiPriority w:val="19"/>
    <w:qFormat/>
    <w:rsid w:val="007E45BE"/>
    <w:rPr>
      <w:rFonts w:eastAsia="Times New Roman" w:cs="Times New Roman"/>
      <w:bCs w:val="0"/>
      <w:i/>
      <w:iCs/>
      <w:color w:val="808080"/>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8657581">
      <w:bodyDiv w:val="1"/>
      <w:marLeft w:val="0"/>
      <w:marRight w:val="0"/>
      <w:marTop w:val="0"/>
      <w:marBottom w:val="0"/>
      <w:divBdr>
        <w:top w:val="none" w:sz="0" w:space="0" w:color="auto"/>
        <w:left w:val="none" w:sz="0" w:space="0" w:color="auto"/>
        <w:bottom w:val="none" w:sz="0" w:space="0" w:color="auto"/>
        <w:right w:val="none" w:sz="0" w:space="0" w:color="auto"/>
      </w:divBdr>
      <w:divsChild>
        <w:div w:id="2147043378">
          <w:marLeft w:val="0"/>
          <w:marRight w:val="0"/>
          <w:marTop w:val="0"/>
          <w:marBottom w:val="0"/>
          <w:divBdr>
            <w:top w:val="none" w:sz="0" w:space="0" w:color="auto"/>
            <w:left w:val="none" w:sz="0" w:space="0" w:color="auto"/>
            <w:bottom w:val="none" w:sz="0" w:space="0" w:color="auto"/>
            <w:right w:val="none" w:sz="0" w:space="0" w:color="auto"/>
          </w:divBdr>
          <w:divsChild>
            <w:div w:id="1147818648">
              <w:marLeft w:val="0"/>
              <w:marRight w:val="0"/>
              <w:marTop w:val="0"/>
              <w:marBottom w:val="348"/>
              <w:divBdr>
                <w:top w:val="none" w:sz="0" w:space="0" w:color="auto"/>
                <w:left w:val="none" w:sz="0" w:space="0" w:color="auto"/>
                <w:bottom w:val="none" w:sz="0" w:space="0" w:color="auto"/>
                <w:right w:val="none" w:sz="0" w:space="0" w:color="auto"/>
              </w:divBdr>
            </w:div>
            <w:div w:id="1331134402">
              <w:marLeft w:val="0"/>
              <w:marRight w:val="0"/>
              <w:marTop w:val="0"/>
              <w:marBottom w:val="0"/>
              <w:divBdr>
                <w:top w:val="none" w:sz="0" w:space="0" w:color="auto"/>
                <w:left w:val="none" w:sz="0" w:space="0" w:color="auto"/>
                <w:bottom w:val="none" w:sz="0" w:space="0" w:color="auto"/>
                <w:right w:val="none" w:sz="0" w:space="0" w:color="auto"/>
              </w:divBdr>
              <w:divsChild>
                <w:div w:id="1424380712">
                  <w:marLeft w:val="0"/>
                  <w:marRight w:val="0"/>
                  <w:marTop w:val="0"/>
                  <w:marBottom w:val="0"/>
                  <w:divBdr>
                    <w:top w:val="single" w:sz="6" w:space="0" w:color="D7D7D7"/>
                    <w:left w:val="none" w:sz="0" w:space="0" w:color="auto"/>
                    <w:bottom w:val="single" w:sz="6" w:space="0" w:color="D7D7D7"/>
                    <w:right w:val="none" w:sz="0" w:space="0" w:color="auto"/>
                  </w:divBdr>
                  <w:divsChild>
                    <w:div w:id="1130825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4165524">
              <w:marLeft w:val="0"/>
              <w:marRight w:val="0"/>
              <w:marTop w:val="348"/>
              <w:marBottom w:val="0"/>
              <w:divBdr>
                <w:top w:val="none" w:sz="0" w:space="0" w:color="auto"/>
                <w:left w:val="none" w:sz="0" w:space="0" w:color="auto"/>
                <w:bottom w:val="none" w:sz="0" w:space="0" w:color="auto"/>
                <w:right w:val="none" w:sz="0" w:space="0" w:color="auto"/>
              </w:divBdr>
              <w:divsChild>
                <w:div w:id="690256048">
                  <w:marLeft w:val="-797"/>
                  <w:marRight w:val="267"/>
                  <w:marTop w:val="0"/>
                  <w:marBottom w:val="360"/>
                  <w:divBdr>
                    <w:top w:val="single" w:sz="2" w:space="0" w:color="D7D7D7"/>
                    <w:left w:val="single" w:sz="12" w:space="0" w:color="D7D7D7"/>
                    <w:bottom w:val="single" w:sz="12" w:space="0" w:color="D7D7D7"/>
                    <w:right w:val="single" w:sz="12" w:space="0" w:color="D7D7D7"/>
                  </w:divBdr>
                  <w:divsChild>
                    <w:div w:id="84234692">
                      <w:marLeft w:val="0"/>
                      <w:marRight w:val="0"/>
                      <w:marTop w:val="0"/>
                      <w:marBottom w:val="0"/>
                      <w:divBdr>
                        <w:top w:val="none" w:sz="0" w:space="0" w:color="auto"/>
                        <w:left w:val="none" w:sz="0" w:space="0" w:color="auto"/>
                        <w:bottom w:val="none" w:sz="0" w:space="0" w:color="auto"/>
                        <w:right w:val="none" w:sz="0" w:space="0" w:color="auto"/>
                      </w:divBdr>
                    </w:div>
                    <w:div w:id="1715692874">
                      <w:marLeft w:val="0"/>
                      <w:marRight w:val="0"/>
                      <w:marTop w:val="0"/>
                      <w:marBottom w:val="0"/>
                      <w:divBdr>
                        <w:top w:val="none" w:sz="0" w:space="0" w:color="auto"/>
                        <w:left w:val="none" w:sz="0" w:space="0" w:color="auto"/>
                        <w:bottom w:val="none" w:sz="0" w:space="0" w:color="auto"/>
                        <w:right w:val="none" w:sz="0" w:space="0" w:color="auto"/>
                      </w:divBdr>
                    </w:div>
                    <w:div w:id="1263607203">
                      <w:marLeft w:val="0"/>
                      <w:marRight w:val="0"/>
                      <w:marTop w:val="0"/>
                      <w:marBottom w:val="0"/>
                      <w:divBdr>
                        <w:top w:val="none" w:sz="0" w:space="0" w:color="auto"/>
                        <w:left w:val="none" w:sz="0" w:space="0" w:color="auto"/>
                        <w:bottom w:val="none" w:sz="0" w:space="0" w:color="auto"/>
                        <w:right w:val="none" w:sz="0" w:space="0" w:color="auto"/>
                      </w:divBdr>
                    </w:div>
                    <w:div w:id="1996450599">
                      <w:marLeft w:val="0"/>
                      <w:marRight w:val="0"/>
                      <w:marTop w:val="0"/>
                      <w:marBottom w:val="0"/>
                      <w:divBdr>
                        <w:top w:val="none" w:sz="0" w:space="0" w:color="auto"/>
                        <w:left w:val="none" w:sz="0" w:space="0" w:color="auto"/>
                        <w:bottom w:val="none" w:sz="0" w:space="0" w:color="auto"/>
                        <w:right w:val="none" w:sz="0" w:space="0" w:color="auto"/>
                      </w:divBdr>
                    </w:div>
                    <w:div w:id="1307735321">
                      <w:marLeft w:val="0"/>
                      <w:marRight w:val="0"/>
                      <w:marTop w:val="0"/>
                      <w:marBottom w:val="0"/>
                      <w:divBdr>
                        <w:top w:val="none" w:sz="0" w:space="0" w:color="auto"/>
                        <w:left w:val="none" w:sz="0" w:space="0" w:color="auto"/>
                        <w:bottom w:val="none" w:sz="0" w:space="0" w:color="auto"/>
                        <w:right w:val="none" w:sz="0" w:space="0" w:color="auto"/>
                      </w:divBdr>
                    </w:div>
                    <w:div w:id="1643272370">
                      <w:marLeft w:val="0"/>
                      <w:marRight w:val="0"/>
                      <w:marTop w:val="0"/>
                      <w:marBottom w:val="0"/>
                      <w:divBdr>
                        <w:top w:val="none" w:sz="0" w:space="0" w:color="auto"/>
                        <w:left w:val="none" w:sz="0" w:space="0" w:color="auto"/>
                        <w:bottom w:val="none" w:sz="0" w:space="0" w:color="auto"/>
                        <w:right w:val="none" w:sz="0" w:space="0" w:color="auto"/>
                      </w:divBdr>
                    </w:div>
                    <w:div w:id="1945502751">
                      <w:marLeft w:val="0"/>
                      <w:marRight w:val="0"/>
                      <w:marTop w:val="0"/>
                      <w:marBottom w:val="0"/>
                      <w:divBdr>
                        <w:top w:val="none" w:sz="0" w:space="0" w:color="auto"/>
                        <w:left w:val="none" w:sz="0" w:space="0" w:color="auto"/>
                        <w:bottom w:val="none" w:sz="0" w:space="0" w:color="auto"/>
                        <w:right w:val="none" w:sz="0" w:space="0" w:color="auto"/>
                      </w:divBdr>
                    </w:div>
                    <w:div w:id="286083555">
                      <w:marLeft w:val="0"/>
                      <w:marRight w:val="0"/>
                      <w:marTop w:val="0"/>
                      <w:marBottom w:val="0"/>
                      <w:divBdr>
                        <w:top w:val="none" w:sz="0" w:space="0" w:color="auto"/>
                        <w:left w:val="none" w:sz="0" w:space="0" w:color="auto"/>
                        <w:bottom w:val="none" w:sz="0" w:space="0" w:color="auto"/>
                        <w:right w:val="none" w:sz="0" w:space="0" w:color="auto"/>
                      </w:divBdr>
                    </w:div>
                    <w:div w:id="807667323">
                      <w:marLeft w:val="0"/>
                      <w:marRight w:val="0"/>
                      <w:marTop w:val="0"/>
                      <w:marBottom w:val="0"/>
                      <w:divBdr>
                        <w:top w:val="none" w:sz="0" w:space="0" w:color="auto"/>
                        <w:left w:val="none" w:sz="0" w:space="0" w:color="auto"/>
                        <w:bottom w:val="none" w:sz="0" w:space="0" w:color="auto"/>
                        <w:right w:val="none" w:sz="0" w:space="0" w:color="auto"/>
                      </w:divBdr>
                    </w:div>
                    <w:div w:id="647634462">
                      <w:marLeft w:val="0"/>
                      <w:marRight w:val="0"/>
                      <w:marTop w:val="0"/>
                      <w:marBottom w:val="0"/>
                      <w:divBdr>
                        <w:top w:val="none" w:sz="0" w:space="0" w:color="auto"/>
                        <w:left w:val="none" w:sz="0" w:space="0" w:color="auto"/>
                        <w:bottom w:val="none" w:sz="0" w:space="0" w:color="auto"/>
                        <w:right w:val="none" w:sz="0" w:space="0" w:color="auto"/>
                      </w:divBdr>
                    </w:div>
                    <w:div w:id="1675761491">
                      <w:marLeft w:val="0"/>
                      <w:marRight w:val="0"/>
                      <w:marTop w:val="0"/>
                      <w:marBottom w:val="0"/>
                      <w:divBdr>
                        <w:top w:val="none" w:sz="0" w:space="0" w:color="auto"/>
                        <w:left w:val="none" w:sz="0" w:space="0" w:color="auto"/>
                        <w:bottom w:val="none" w:sz="0" w:space="0" w:color="auto"/>
                        <w:right w:val="none" w:sz="0" w:space="0" w:color="auto"/>
                      </w:divBdr>
                    </w:div>
                    <w:div w:id="1743680459">
                      <w:marLeft w:val="0"/>
                      <w:marRight w:val="0"/>
                      <w:marTop w:val="0"/>
                      <w:marBottom w:val="0"/>
                      <w:divBdr>
                        <w:top w:val="none" w:sz="0" w:space="0" w:color="auto"/>
                        <w:left w:val="none" w:sz="0" w:space="0" w:color="auto"/>
                        <w:bottom w:val="none" w:sz="0" w:space="0" w:color="auto"/>
                        <w:right w:val="none" w:sz="0" w:space="0" w:color="auto"/>
                      </w:divBdr>
                    </w:div>
                    <w:div w:id="1833443545">
                      <w:marLeft w:val="0"/>
                      <w:marRight w:val="0"/>
                      <w:marTop w:val="0"/>
                      <w:marBottom w:val="0"/>
                      <w:divBdr>
                        <w:top w:val="single" w:sz="12" w:space="4" w:color="D7D7D7"/>
                        <w:left w:val="single" w:sz="12" w:space="9" w:color="D7D7D7"/>
                        <w:bottom w:val="single" w:sz="12" w:space="4" w:color="D7D7D7"/>
                        <w:right w:val="single" w:sz="12" w:space="6" w:color="D7D7D7"/>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conomist.com/news/briefing/21695385-profits-are-too-high-america-needs-giant-dose-competition-too-much-good-thing" TargetMode="External"/><Relationship Id="rId3" Type="http://schemas.openxmlformats.org/officeDocument/2006/relationships/settings" Target="settings.xml"/><Relationship Id="rId7" Type="http://schemas.openxmlformats.org/officeDocument/2006/relationships/hyperlink" Target="https://www.bloomberg.com/view/articles/2017-05-03/why-i-lost-my-bet-with-warren-buffet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conomist.com/blogs/graphicdetail"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490</Words>
  <Characters>2795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 nu</dc:creator>
  <cp:keywords/>
  <dc:description/>
  <cp:lastModifiedBy>pa nu</cp:lastModifiedBy>
  <cp:revision>1</cp:revision>
  <dcterms:created xsi:type="dcterms:W3CDTF">2017-09-20T06:45:00Z</dcterms:created>
  <dcterms:modified xsi:type="dcterms:W3CDTF">2017-09-20T06:48:00Z</dcterms:modified>
</cp:coreProperties>
</file>