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3C4" w:rsidRPr="00266C05" w:rsidRDefault="009653C4" w:rsidP="00E65480">
      <w:pPr>
        <w:pStyle w:val="RPointHeading"/>
        <w:spacing w:after="90"/>
        <w:ind w:left="720"/>
        <w:rPr>
          <w:lang w:val="en-US" w:bidi="th-TH"/>
        </w:rPr>
      </w:pPr>
      <w:r w:rsidRPr="00254370">
        <w:t>INDUSTRY ANALYSIS</w:t>
      </w:r>
      <w:r>
        <w:rPr>
          <w:lang w:val="en-US" w:bidi="th-TH"/>
        </w:rPr>
        <w:t xml:space="preserve"> </w:t>
      </w:r>
      <w:r>
        <w:rPr>
          <w:color w:val="FF0000"/>
          <w:lang w:val="en-US" w:bidi="th-TH"/>
        </w:rPr>
        <w:t xml:space="preserve"> </w:t>
      </w:r>
    </w:p>
    <w:p w:rsidR="00E65480" w:rsidRPr="00E65480" w:rsidRDefault="00E65480" w:rsidP="00E65480">
      <w:pPr>
        <w:pStyle w:val="KSbodytext"/>
        <w:ind w:left="720"/>
        <w:rPr>
          <w:color w:val="FF0000"/>
          <w:sz w:val="14"/>
          <w:szCs w:val="14"/>
        </w:rPr>
      </w:pPr>
      <w:proofErr w:type="gramStart"/>
      <w:r w:rsidRPr="00E65480">
        <w:rPr>
          <w:b/>
          <w:bCs/>
          <w:color w:val="FF0000"/>
          <w:sz w:val="14"/>
          <w:szCs w:val="14"/>
        </w:rPr>
        <w:t>(Nature of the industry.</w:t>
      </w:r>
      <w:proofErr w:type="gramEnd"/>
      <w:r w:rsidRPr="00E65480">
        <w:rPr>
          <w:color w:val="FF0000"/>
          <w:sz w:val="14"/>
          <w:szCs w:val="14"/>
        </w:rPr>
        <w:t xml:space="preserve"> Regulatory and tax conditions; Can the company differentiate its products? </w:t>
      </w:r>
      <w:proofErr w:type="gramStart"/>
      <w:r w:rsidRPr="00E65480">
        <w:rPr>
          <w:color w:val="FF0000"/>
          <w:sz w:val="14"/>
          <w:szCs w:val="14"/>
        </w:rPr>
        <w:t>Key risks / Vulnerability to external shocks.</w:t>
      </w:r>
      <w:proofErr w:type="gramEnd"/>
      <w:r w:rsidRPr="00E65480">
        <w:rPr>
          <w:color w:val="FF0000"/>
          <w:sz w:val="14"/>
          <w:szCs w:val="14"/>
        </w:rPr>
        <w:t xml:space="preserve"> Labor conditions; How important are technological developments?)</w:t>
      </w:r>
    </w:p>
    <w:p w:rsidR="009653C4" w:rsidRDefault="009653C4" w:rsidP="00E65480">
      <w:pPr>
        <w:pStyle w:val="KSbodytext"/>
        <w:ind w:left="720"/>
      </w:pPr>
      <w:r w:rsidRPr="00254370">
        <w:rPr>
          <w:b/>
          <w:bCs/>
        </w:rPr>
        <w:t>Nature of the industry</w:t>
      </w:r>
      <w:r>
        <w:t xml:space="preserve">: </w:t>
      </w:r>
    </w:p>
    <w:p w:rsidR="009653C4" w:rsidRDefault="009653C4" w:rsidP="00E65480">
      <w:pPr>
        <w:pStyle w:val="KSbodytext"/>
        <w:ind w:left="720"/>
      </w:pPr>
      <w:r>
        <w:rPr>
          <w:i/>
          <w:iCs/>
        </w:rPr>
        <w:t xml:space="preserve">Feed, </w:t>
      </w:r>
      <w:r w:rsidRPr="00325D89">
        <w:rPr>
          <w:i/>
          <w:iCs/>
        </w:rPr>
        <w:t xml:space="preserve">farm </w:t>
      </w:r>
      <w:r>
        <w:rPr>
          <w:i/>
          <w:iCs/>
        </w:rPr>
        <w:t xml:space="preserve">and livestock </w:t>
      </w:r>
      <w:r w:rsidRPr="00325D89">
        <w:rPr>
          <w:i/>
          <w:iCs/>
        </w:rPr>
        <w:t xml:space="preserve">products </w:t>
      </w:r>
      <w:r>
        <w:t xml:space="preserve">are commodity-like in nature, with </w:t>
      </w:r>
      <w:r w:rsidRPr="00E65480">
        <w:rPr>
          <w:b/>
          <w:bCs/>
        </w:rPr>
        <w:t>products prices</w:t>
      </w:r>
      <w:r>
        <w:t xml:space="preserve"> </w:t>
      </w:r>
      <w:r w:rsidRPr="00E65480">
        <w:rPr>
          <w:b/>
          <w:bCs/>
        </w:rPr>
        <w:t>depend on products’ demand compared to supply</w:t>
      </w:r>
      <w:r>
        <w:t xml:space="preserve">. There is </w:t>
      </w:r>
      <w:r w:rsidRPr="00E65480">
        <w:rPr>
          <w:b/>
          <w:bCs/>
        </w:rPr>
        <w:t>seasonality</w:t>
      </w:r>
      <w:r>
        <w:t xml:space="preserve"> in terms of both demand and supply, which impacts sales volume and price. In addition, natural disaster, e</w:t>
      </w:r>
      <w:r w:rsidRPr="00666CB8">
        <w:t>pidemic and changing trade tariff are also the industry’s key risks.</w:t>
      </w:r>
      <w:r>
        <w:t xml:space="preserve"> </w:t>
      </w:r>
    </w:p>
    <w:p w:rsidR="009653C4" w:rsidRDefault="009653C4" w:rsidP="00E65480">
      <w:pPr>
        <w:pStyle w:val="KSbodytext"/>
        <w:ind w:left="720"/>
      </w:pPr>
      <w:r w:rsidRPr="00325D89">
        <w:rPr>
          <w:i/>
          <w:iCs/>
        </w:rPr>
        <w:t>Processed food</w:t>
      </w:r>
      <w:r>
        <w:t xml:space="preserve"> (e.g. packaged and branded food), on the other hand, is much less volatile in term of product price, and higher margin can be charged. As a result, a strategy of creating value-added by expanding into packaged and branded food segment will help lower operational risk and improve returns across the value chain.   </w:t>
      </w:r>
    </w:p>
    <w:p w:rsidR="009653C4" w:rsidRPr="00AC7234" w:rsidRDefault="009653C4" w:rsidP="00E65480">
      <w:pPr>
        <w:pStyle w:val="RPointHeading"/>
        <w:spacing w:line="240" w:lineRule="exact"/>
        <w:ind w:left="720"/>
        <w:rPr>
          <w:rFonts w:eastAsia="Calibri"/>
          <w:b w:val="0"/>
          <w:bCs w:val="0"/>
          <w:sz w:val="18"/>
          <w:szCs w:val="18"/>
          <w:lang w:val="en-US" w:bidi="th-TH"/>
        </w:rPr>
      </w:pPr>
      <w:r>
        <w:rPr>
          <w:rFonts w:eastAsia="Calibri"/>
          <w:sz w:val="18"/>
          <w:szCs w:val="18"/>
          <w:lang w:val="en-US" w:bidi="th-TH"/>
        </w:rPr>
        <w:t xml:space="preserve">Seasonality: </w:t>
      </w:r>
      <w:r>
        <w:rPr>
          <w:rFonts w:eastAsia="Calibri"/>
          <w:b w:val="0"/>
          <w:bCs w:val="0"/>
          <w:sz w:val="18"/>
          <w:szCs w:val="18"/>
          <w:lang w:val="en-US" w:bidi="th-TH"/>
        </w:rPr>
        <w:t>3Q is usually the strongest</w:t>
      </w:r>
      <w:r w:rsidRPr="00AC7234">
        <w:rPr>
          <w:rFonts w:eastAsia="Calibri"/>
          <w:b w:val="0"/>
          <w:bCs w:val="0"/>
          <w:sz w:val="18"/>
          <w:szCs w:val="18"/>
          <w:lang w:val="en-US" w:bidi="th-TH"/>
        </w:rPr>
        <w:t xml:space="preserve"> quarter for meat exports before slowing down at year-end.</w:t>
      </w:r>
    </w:p>
    <w:p w:rsidR="009653C4" w:rsidRDefault="009653C4" w:rsidP="00E65480">
      <w:pPr>
        <w:pStyle w:val="RPointHeading"/>
        <w:spacing w:line="240" w:lineRule="exact"/>
        <w:ind w:left="720"/>
        <w:rPr>
          <w:rFonts w:eastAsia="Calibri"/>
          <w:sz w:val="18"/>
          <w:szCs w:val="18"/>
          <w:lang w:val="en-US" w:bidi="th-TH"/>
        </w:rPr>
      </w:pPr>
      <w:r>
        <w:rPr>
          <w:rFonts w:eastAsia="Calibri"/>
          <w:sz w:val="18"/>
          <w:szCs w:val="18"/>
          <w:lang w:val="en-US" w:bidi="th-TH"/>
        </w:rPr>
        <w:t xml:space="preserve">Products price, demand and supply: </w:t>
      </w:r>
    </w:p>
    <w:p w:rsidR="009653C4" w:rsidRDefault="009653C4" w:rsidP="00E65480">
      <w:pPr>
        <w:pStyle w:val="RPointHeading"/>
        <w:spacing w:line="240" w:lineRule="exact"/>
        <w:ind w:left="720"/>
        <w:rPr>
          <w:rFonts w:eastAsia="Calibri"/>
          <w:sz w:val="18"/>
          <w:szCs w:val="18"/>
          <w:lang w:val="en-US" w:bidi="th-TH"/>
        </w:rPr>
      </w:pPr>
      <w:proofErr w:type="gramStart"/>
      <w:r w:rsidRPr="00007E6F">
        <w:rPr>
          <w:rFonts w:eastAsia="Calibri"/>
          <w:b w:val="0"/>
          <w:bCs w:val="0"/>
          <w:i/>
          <w:iCs/>
          <w:sz w:val="18"/>
          <w:szCs w:val="18"/>
          <w:lang w:val="en-US" w:bidi="th-TH"/>
        </w:rPr>
        <w:t>Livestock.</w:t>
      </w:r>
      <w:proofErr w:type="gramEnd"/>
      <w:r>
        <w:rPr>
          <w:rFonts w:eastAsia="Calibri"/>
          <w:sz w:val="18"/>
          <w:szCs w:val="18"/>
          <w:lang w:val="en-US" w:bidi="th-TH"/>
        </w:rPr>
        <w:t xml:space="preserve"> </w:t>
      </w:r>
      <w:r>
        <w:rPr>
          <w:rFonts w:eastAsia="Calibri"/>
          <w:b w:val="0"/>
          <w:bCs w:val="0"/>
          <w:sz w:val="18"/>
          <w:szCs w:val="18"/>
          <w:lang w:val="en-US" w:bidi="th-TH"/>
        </w:rPr>
        <w:t>In 2012, t</w:t>
      </w:r>
      <w:r w:rsidRPr="000E4FD0">
        <w:rPr>
          <w:rFonts w:eastAsia="Calibri"/>
          <w:b w:val="0"/>
          <w:bCs w:val="0"/>
          <w:sz w:val="18"/>
          <w:szCs w:val="18"/>
          <w:lang w:val="en-US" w:bidi="th-TH"/>
        </w:rPr>
        <w:t>he livestock market encountered the oversupply situation. As a result, prices of most livestock products, especially chicken, fell noticeably.</w:t>
      </w:r>
      <w:r>
        <w:rPr>
          <w:rFonts w:eastAsia="Calibri"/>
          <w:b w:val="0"/>
          <w:bCs w:val="0"/>
          <w:sz w:val="18"/>
          <w:szCs w:val="18"/>
          <w:lang w:val="en-US" w:bidi="th-TH"/>
        </w:rPr>
        <w:t xml:space="preserve"> </w:t>
      </w:r>
      <w:r w:rsidRPr="007D2114">
        <w:rPr>
          <w:rFonts w:eastAsia="Calibri"/>
          <w:sz w:val="18"/>
          <w:szCs w:val="18"/>
          <w:lang w:val="en-US" w:bidi="th-TH"/>
        </w:rPr>
        <w:t>Chicken price</w:t>
      </w:r>
      <w:r>
        <w:rPr>
          <w:rFonts w:eastAsia="Calibri"/>
          <w:b w:val="0"/>
          <w:bCs w:val="0"/>
          <w:sz w:val="18"/>
          <w:szCs w:val="18"/>
          <w:lang w:val="en-US" w:bidi="th-TH"/>
        </w:rPr>
        <w:t xml:space="preserve"> reached bottom in 2H12. </w:t>
      </w:r>
      <w:r w:rsidRPr="00007E6F">
        <w:rPr>
          <w:rFonts w:eastAsia="Calibri"/>
          <w:b w:val="0"/>
          <w:bCs w:val="0"/>
          <w:sz w:val="18"/>
          <w:szCs w:val="18"/>
          <w:lang w:val="en-US" w:bidi="th-TH"/>
        </w:rPr>
        <w:t xml:space="preserve">Thai chicken prices edged up to Bt42/kg in Dec from Bt39/kg in Nov, the highest level since Jun 2011. </w:t>
      </w:r>
      <w:r>
        <w:rPr>
          <w:rFonts w:eastAsia="Calibri"/>
          <w:b w:val="0"/>
          <w:bCs w:val="0"/>
          <w:sz w:val="18"/>
          <w:szCs w:val="18"/>
          <w:lang w:val="en-US" w:bidi="th-TH"/>
        </w:rPr>
        <w:t xml:space="preserve">Nevertheless, </w:t>
      </w:r>
      <w:r w:rsidRPr="007D2114">
        <w:rPr>
          <w:rFonts w:eastAsia="Calibri"/>
          <w:sz w:val="18"/>
          <w:szCs w:val="18"/>
          <w:lang w:val="en-US" w:bidi="th-TH"/>
        </w:rPr>
        <w:t>pork prices</w:t>
      </w:r>
      <w:r w:rsidRPr="00007E6F">
        <w:rPr>
          <w:rFonts w:eastAsia="Calibri"/>
          <w:b w:val="0"/>
          <w:bCs w:val="0"/>
          <w:sz w:val="18"/>
          <w:szCs w:val="18"/>
          <w:lang w:val="en-US" w:bidi="th-TH"/>
        </w:rPr>
        <w:t xml:space="preserve"> slightly weakened to Bt54/kg from Bt56/kg in Nov.</w:t>
      </w:r>
      <w:r>
        <w:rPr>
          <w:rFonts w:eastAsia="Calibri"/>
          <w:b w:val="0"/>
          <w:bCs w:val="0"/>
          <w:sz w:val="18"/>
          <w:szCs w:val="18"/>
          <w:lang w:val="en-US" w:bidi="th-TH"/>
        </w:rPr>
        <w:t xml:space="preserve"> </w:t>
      </w:r>
      <w:r w:rsidRPr="00007E6F">
        <w:rPr>
          <w:rFonts w:eastAsia="Calibri"/>
          <w:b w:val="0"/>
          <w:bCs w:val="0"/>
          <w:sz w:val="18"/>
          <w:szCs w:val="18"/>
          <w:lang w:val="en-US" w:bidi="th-TH"/>
        </w:rPr>
        <w:t xml:space="preserve">On a </w:t>
      </w:r>
      <w:proofErr w:type="spellStart"/>
      <w:r w:rsidRPr="00007E6F">
        <w:rPr>
          <w:rFonts w:eastAsia="Calibri"/>
          <w:b w:val="0"/>
          <w:bCs w:val="0"/>
          <w:sz w:val="18"/>
          <w:szCs w:val="18"/>
          <w:lang w:val="en-US" w:bidi="th-TH"/>
        </w:rPr>
        <w:t>QoQ</w:t>
      </w:r>
      <w:proofErr w:type="spellEnd"/>
      <w:r w:rsidRPr="00007E6F">
        <w:rPr>
          <w:rFonts w:eastAsia="Calibri"/>
          <w:b w:val="0"/>
          <w:bCs w:val="0"/>
          <w:sz w:val="18"/>
          <w:szCs w:val="18"/>
          <w:lang w:val="en-US" w:bidi="th-TH"/>
        </w:rPr>
        <w:t xml:space="preserve"> basis, chicken price increased to Bt37.7 in 4Q12 from</w:t>
      </w:r>
      <w:r>
        <w:rPr>
          <w:rFonts w:eastAsia="Calibri"/>
          <w:b w:val="0"/>
          <w:bCs w:val="0"/>
          <w:sz w:val="18"/>
          <w:szCs w:val="18"/>
          <w:lang w:val="en-US" w:bidi="th-TH"/>
        </w:rPr>
        <w:t xml:space="preserve"> </w:t>
      </w:r>
      <w:r w:rsidRPr="00007E6F">
        <w:rPr>
          <w:rFonts w:eastAsia="Calibri"/>
          <w:b w:val="0"/>
          <w:bCs w:val="0"/>
          <w:sz w:val="18"/>
          <w:szCs w:val="18"/>
          <w:lang w:val="en-US" w:bidi="th-TH"/>
        </w:rPr>
        <w:t>Bt35.7/kg in 3Q12</w:t>
      </w:r>
      <w:r>
        <w:rPr>
          <w:rFonts w:eastAsia="Calibri"/>
          <w:b w:val="0"/>
          <w:bCs w:val="0"/>
          <w:sz w:val="18"/>
          <w:szCs w:val="18"/>
          <w:lang w:val="en-US" w:bidi="th-TH"/>
        </w:rPr>
        <w:t xml:space="preserve">, but </w:t>
      </w:r>
      <w:r w:rsidRPr="00007E6F">
        <w:rPr>
          <w:rFonts w:eastAsia="Calibri"/>
          <w:b w:val="0"/>
          <w:bCs w:val="0"/>
          <w:sz w:val="18"/>
          <w:szCs w:val="18"/>
          <w:lang w:val="en-US" w:bidi="th-TH"/>
        </w:rPr>
        <w:t xml:space="preserve">pork price dropped to Bt53/kg from Bt57/kg in 3Q12. </w:t>
      </w:r>
    </w:p>
    <w:p w:rsidR="009653C4" w:rsidRDefault="009653C4" w:rsidP="00E65480">
      <w:pPr>
        <w:pStyle w:val="RPointHeading"/>
        <w:spacing w:line="240" w:lineRule="exact"/>
        <w:ind w:left="720"/>
        <w:rPr>
          <w:rFonts w:eastAsia="Calibri"/>
          <w:sz w:val="18"/>
          <w:szCs w:val="18"/>
          <w:lang w:val="en-US" w:bidi="th-TH"/>
        </w:rPr>
      </w:pPr>
      <w:proofErr w:type="gramStart"/>
      <w:r>
        <w:rPr>
          <w:rFonts w:eastAsia="Calibri"/>
          <w:b w:val="0"/>
          <w:bCs w:val="0"/>
          <w:i/>
          <w:iCs/>
          <w:sz w:val="18"/>
          <w:szCs w:val="18"/>
          <w:lang w:val="en-US" w:bidi="th-TH"/>
        </w:rPr>
        <w:t>Aquatic Business</w:t>
      </w:r>
      <w:r w:rsidRPr="00007E6F">
        <w:rPr>
          <w:rFonts w:eastAsia="Calibri"/>
          <w:b w:val="0"/>
          <w:bCs w:val="0"/>
          <w:i/>
          <w:iCs/>
          <w:sz w:val="18"/>
          <w:szCs w:val="18"/>
          <w:lang w:val="en-US" w:bidi="th-TH"/>
        </w:rPr>
        <w:t>.</w:t>
      </w:r>
      <w:proofErr w:type="gramEnd"/>
      <w:r>
        <w:rPr>
          <w:rFonts w:eastAsia="Calibri"/>
          <w:sz w:val="18"/>
          <w:szCs w:val="18"/>
          <w:lang w:val="en-US" w:bidi="th-TH"/>
        </w:rPr>
        <w:t xml:space="preserve"> </w:t>
      </w:r>
      <w:r w:rsidRPr="00AA310C">
        <w:rPr>
          <w:rFonts w:eastAsia="Calibri"/>
          <w:sz w:val="18"/>
          <w:szCs w:val="18"/>
          <w:lang w:val="en-US" w:bidi="th-TH"/>
        </w:rPr>
        <w:t>Shrimp price</w:t>
      </w:r>
      <w:r>
        <w:rPr>
          <w:rFonts w:eastAsia="Calibri"/>
          <w:b w:val="0"/>
          <w:bCs w:val="0"/>
          <w:sz w:val="18"/>
          <w:szCs w:val="18"/>
          <w:lang w:val="en-US" w:bidi="th-TH"/>
        </w:rPr>
        <w:t xml:space="preserve"> improved from Bt130/kg in Jul-12 to a range of Bt145/kg to Bt150/kg.  </w:t>
      </w:r>
    </w:p>
    <w:p w:rsidR="009653C4" w:rsidRDefault="009653C4" w:rsidP="00E65480">
      <w:pPr>
        <w:pStyle w:val="RPointHeading"/>
        <w:spacing w:line="240" w:lineRule="exact"/>
        <w:ind w:left="720"/>
        <w:rPr>
          <w:rFonts w:eastAsia="Calibri"/>
          <w:b w:val="0"/>
          <w:bCs w:val="0"/>
          <w:sz w:val="18"/>
          <w:szCs w:val="18"/>
          <w:lang w:val="en-US" w:bidi="th-TH"/>
        </w:rPr>
      </w:pPr>
      <w:r w:rsidRPr="00007E6F">
        <w:rPr>
          <w:rFonts w:eastAsia="Calibri"/>
          <w:b w:val="0"/>
          <w:bCs w:val="0"/>
          <w:i/>
          <w:iCs/>
          <w:sz w:val="18"/>
          <w:szCs w:val="18"/>
          <w:lang w:val="en-US" w:bidi="th-TH"/>
        </w:rPr>
        <w:t>Feed.</w:t>
      </w:r>
      <w:r w:rsidRPr="00007E6F">
        <w:rPr>
          <w:rFonts w:eastAsia="Calibri"/>
          <w:sz w:val="18"/>
          <w:szCs w:val="18"/>
          <w:lang w:val="en-US" w:bidi="th-TH"/>
        </w:rPr>
        <w:t xml:space="preserve"> </w:t>
      </w:r>
      <w:r>
        <w:rPr>
          <w:rFonts w:eastAsia="Calibri"/>
          <w:b w:val="0"/>
          <w:bCs w:val="0"/>
          <w:sz w:val="18"/>
          <w:szCs w:val="18"/>
          <w:lang w:val="en-US" w:bidi="th-TH"/>
        </w:rPr>
        <w:t>The drought in the U.S resulted in a sharp rise in feedstock price (soybean, corn) in until 3Q12. In Dec-12, feed raw material prices</w:t>
      </w:r>
      <w:r w:rsidRPr="00007E6F">
        <w:rPr>
          <w:rFonts w:eastAsia="Calibri"/>
          <w:b w:val="0"/>
          <w:bCs w:val="0"/>
          <w:sz w:val="18"/>
          <w:szCs w:val="18"/>
          <w:lang w:val="en-US" w:bidi="th-TH"/>
        </w:rPr>
        <w:t xml:space="preserve"> continued to decline in Dec with corn at</w:t>
      </w:r>
      <w:r>
        <w:rPr>
          <w:rFonts w:eastAsia="Calibri"/>
          <w:b w:val="0"/>
          <w:bCs w:val="0"/>
          <w:sz w:val="18"/>
          <w:szCs w:val="18"/>
          <w:lang w:val="en-US" w:bidi="th-TH"/>
        </w:rPr>
        <w:t xml:space="preserve"> </w:t>
      </w:r>
      <w:r w:rsidRPr="00007E6F">
        <w:rPr>
          <w:rFonts w:eastAsia="Calibri"/>
          <w:b w:val="0"/>
          <w:bCs w:val="0"/>
          <w:sz w:val="18"/>
          <w:szCs w:val="18"/>
          <w:lang w:val="en-US" w:bidi="th-TH"/>
        </w:rPr>
        <w:t>Bt10.25/kg, down from Bt10.5/kg in Nov, and soybean meal at Bt19/kg, down from</w:t>
      </w:r>
      <w:r>
        <w:rPr>
          <w:rFonts w:eastAsia="Calibri"/>
          <w:b w:val="0"/>
          <w:bCs w:val="0"/>
          <w:sz w:val="18"/>
          <w:szCs w:val="18"/>
          <w:lang w:val="en-US" w:bidi="th-TH"/>
        </w:rPr>
        <w:t xml:space="preserve"> </w:t>
      </w:r>
      <w:r w:rsidRPr="00007E6F">
        <w:rPr>
          <w:rFonts w:eastAsia="Calibri"/>
          <w:b w:val="0"/>
          <w:bCs w:val="0"/>
          <w:sz w:val="18"/>
          <w:szCs w:val="18"/>
          <w:lang w:val="en-US" w:bidi="th-TH"/>
        </w:rPr>
        <w:t xml:space="preserve">Bt19.5 in Nov. </w:t>
      </w:r>
      <w:r>
        <w:rPr>
          <w:rFonts w:eastAsia="Calibri"/>
          <w:b w:val="0"/>
          <w:bCs w:val="0"/>
          <w:sz w:val="18"/>
          <w:szCs w:val="18"/>
          <w:lang w:val="en-US" w:bidi="th-TH"/>
        </w:rPr>
        <w:t xml:space="preserve">On a </w:t>
      </w:r>
      <w:proofErr w:type="spellStart"/>
      <w:r>
        <w:rPr>
          <w:rFonts w:eastAsia="Calibri"/>
          <w:b w:val="0"/>
          <w:bCs w:val="0"/>
          <w:sz w:val="18"/>
          <w:szCs w:val="18"/>
          <w:lang w:val="en-US" w:bidi="th-TH"/>
        </w:rPr>
        <w:t>QoQ</w:t>
      </w:r>
      <w:proofErr w:type="spellEnd"/>
      <w:r>
        <w:rPr>
          <w:rFonts w:eastAsia="Calibri"/>
          <w:b w:val="0"/>
          <w:bCs w:val="0"/>
          <w:sz w:val="18"/>
          <w:szCs w:val="18"/>
          <w:lang w:val="en-US" w:bidi="th-TH"/>
        </w:rPr>
        <w:t xml:space="preserve"> basis, c</w:t>
      </w:r>
      <w:r w:rsidRPr="00007E6F">
        <w:rPr>
          <w:rFonts w:eastAsia="Calibri"/>
          <w:b w:val="0"/>
          <w:bCs w:val="0"/>
          <w:sz w:val="18"/>
          <w:szCs w:val="18"/>
          <w:lang w:val="en-US" w:bidi="th-TH"/>
        </w:rPr>
        <w:t>orn</w:t>
      </w:r>
      <w:r>
        <w:rPr>
          <w:rFonts w:eastAsia="Calibri"/>
          <w:b w:val="0"/>
          <w:bCs w:val="0"/>
          <w:sz w:val="18"/>
          <w:szCs w:val="18"/>
          <w:lang w:val="en-US" w:bidi="th-TH"/>
        </w:rPr>
        <w:t xml:space="preserve"> </w:t>
      </w:r>
      <w:r w:rsidRPr="00007E6F">
        <w:rPr>
          <w:rFonts w:eastAsia="Calibri"/>
          <w:b w:val="0"/>
          <w:bCs w:val="0"/>
          <w:sz w:val="18"/>
          <w:szCs w:val="18"/>
          <w:lang w:val="en-US" w:bidi="th-TH"/>
        </w:rPr>
        <w:t>price declined to Bt10.3/kg in 4Q12 from Bt11.4/kg in 3Q12 and soybean meal price</w:t>
      </w:r>
      <w:r>
        <w:rPr>
          <w:rFonts w:eastAsia="Calibri"/>
          <w:b w:val="0"/>
          <w:bCs w:val="0"/>
          <w:sz w:val="18"/>
          <w:szCs w:val="18"/>
          <w:lang w:val="en-US" w:bidi="th-TH"/>
        </w:rPr>
        <w:t xml:space="preserve"> </w:t>
      </w:r>
      <w:r w:rsidRPr="00007E6F">
        <w:rPr>
          <w:rFonts w:eastAsia="Calibri"/>
          <w:b w:val="0"/>
          <w:bCs w:val="0"/>
          <w:sz w:val="18"/>
          <w:szCs w:val="18"/>
          <w:lang w:val="en-US" w:bidi="th-TH"/>
        </w:rPr>
        <w:t>dr</w:t>
      </w:r>
      <w:r>
        <w:rPr>
          <w:rFonts w:eastAsia="Calibri"/>
          <w:b w:val="0"/>
          <w:bCs w:val="0"/>
          <w:sz w:val="18"/>
          <w:szCs w:val="18"/>
          <w:lang w:val="en-US" w:bidi="th-TH"/>
        </w:rPr>
        <w:t>opped to Bt19.75/kg in 4Q12, from</w:t>
      </w:r>
      <w:r w:rsidRPr="00007E6F">
        <w:rPr>
          <w:rFonts w:eastAsia="Calibri"/>
          <w:b w:val="0"/>
          <w:bCs w:val="0"/>
          <w:sz w:val="18"/>
          <w:szCs w:val="18"/>
          <w:lang w:val="en-US" w:bidi="th-TH"/>
        </w:rPr>
        <w:t xml:space="preserve"> its high of nearly Bt21/kg in 3Q12.</w:t>
      </w:r>
    </w:p>
    <w:p w:rsidR="009653C4" w:rsidRPr="0099777C" w:rsidRDefault="009653C4" w:rsidP="00E65480">
      <w:pPr>
        <w:pStyle w:val="RPointHeading"/>
        <w:pBdr>
          <w:bottom w:val="single" w:sz="4" w:space="1" w:color="auto"/>
        </w:pBdr>
        <w:spacing w:after="90"/>
        <w:ind w:left="720"/>
        <w:rPr>
          <w:rFonts w:cs="Arial"/>
          <w:sz w:val="18"/>
          <w:szCs w:val="18"/>
          <w:lang w:val="en-US"/>
        </w:rPr>
      </w:pPr>
      <w:r>
        <w:rPr>
          <w:rFonts w:cs="Arial"/>
          <w:sz w:val="18"/>
          <w:szCs w:val="18"/>
        </w:rPr>
        <w:t xml:space="preserve">Figure 8: Selected agricultural product price </w:t>
      </w:r>
    </w:p>
    <w:p w:rsidR="009653C4" w:rsidRPr="0099777C" w:rsidRDefault="009653C4" w:rsidP="00E65480">
      <w:pPr>
        <w:ind w:left="720"/>
      </w:pPr>
      <w:r w:rsidRPr="0099777C">
        <w:rPr>
          <w:noProof/>
        </w:rPr>
        <w:drawing>
          <wp:inline distT="0" distB="0" distL="0" distR="0">
            <wp:extent cx="4748212" cy="1068916"/>
            <wp:effectExtent l="19050" t="0" r="0" b="0"/>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a:srcRect/>
                    <a:stretch>
                      <a:fillRect/>
                    </a:stretch>
                  </pic:blipFill>
                  <pic:spPr bwMode="auto">
                    <a:xfrm>
                      <a:off x="0" y="0"/>
                      <a:ext cx="4748212" cy="1068916"/>
                    </a:xfrm>
                    <a:prstGeom prst="rect">
                      <a:avLst/>
                    </a:prstGeom>
                    <a:noFill/>
                    <a:ln w="9525">
                      <a:noFill/>
                      <a:miter lim="800000"/>
                      <a:headEnd/>
                      <a:tailEnd/>
                    </a:ln>
                  </pic:spPr>
                </pic:pic>
              </a:graphicData>
            </a:graphic>
          </wp:inline>
        </w:drawing>
      </w:r>
    </w:p>
    <w:p w:rsidR="009653C4" w:rsidRDefault="009653C4" w:rsidP="00E65480">
      <w:pPr>
        <w:pBdr>
          <w:top w:val="single" w:sz="4" w:space="1" w:color="auto"/>
        </w:pBdr>
        <w:ind w:left="720"/>
        <w:rPr>
          <w:sz w:val="16"/>
          <w:szCs w:val="16"/>
        </w:rPr>
      </w:pPr>
      <w:r w:rsidRPr="00F54467">
        <w:rPr>
          <w:sz w:val="16"/>
          <w:szCs w:val="16"/>
        </w:rPr>
        <w:t>Source:</w:t>
      </w:r>
      <w:r>
        <w:rPr>
          <w:sz w:val="16"/>
          <w:szCs w:val="16"/>
        </w:rPr>
        <w:t xml:space="preserve"> CPF, </w:t>
      </w:r>
      <w:proofErr w:type="spellStart"/>
      <w:r>
        <w:rPr>
          <w:sz w:val="16"/>
          <w:szCs w:val="16"/>
        </w:rPr>
        <w:t>MoC</w:t>
      </w:r>
      <w:proofErr w:type="spellEnd"/>
      <w:r>
        <w:rPr>
          <w:sz w:val="16"/>
          <w:szCs w:val="16"/>
        </w:rPr>
        <w:t xml:space="preserve">, </w:t>
      </w:r>
      <w:proofErr w:type="spellStart"/>
      <w:r w:rsidRPr="00D46448">
        <w:rPr>
          <w:sz w:val="16"/>
          <w:szCs w:val="16"/>
        </w:rPr>
        <w:t>Phatra</w:t>
      </w:r>
      <w:proofErr w:type="spellEnd"/>
      <w:r w:rsidRPr="00D46448">
        <w:rPr>
          <w:sz w:val="16"/>
          <w:szCs w:val="16"/>
        </w:rPr>
        <w:t xml:space="preserve"> Securities</w:t>
      </w:r>
    </w:p>
    <w:p w:rsidR="009653C4" w:rsidRDefault="009653C4" w:rsidP="00E65480">
      <w:pPr>
        <w:pStyle w:val="KSbodytext"/>
        <w:ind w:left="720"/>
      </w:pPr>
      <w:r>
        <w:rPr>
          <w:b/>
          <w:bCs/>
        </w:rPr>
        <w:t>Trade tariff:</w:t>
      </w:r>
      <w:r w:rsidRPr="00C01631">
        <w:rPr>
          <w:b/>
          <w:bCs/>
        </w:rPr>
        <w:t xml:space="preserve"> </w:t>
      </w:r>
      <w:r>
        <w:t>Exporting to Asian countries depend on trade tariff in each country, while exporting to EU is subjected to GSP tariff privileges. T</w:t>
      </w:r>
      <w:r w:rsidRPr="007112BE">
        <w:t>he EU extended the deadline for the tax privileges for the Thai shrimp exporters to the EU</w:t>
      </w:r>
      <w:r>
        <w:t xml:space="preserve"> until</w:t>
      </w:r>
      <w:r w:rsidRPr="007112BE">
        <w:t xml:space="preserve"> 31 December 20</w:t>
      </w:r>
      <w:r>
        <w:t>13. If Thailand does not get an extension of the</w:t>
      </w:r>
      <w:r w:rsidRPr="007112BE">
        <w:t xml:space="preserve"> tax privileges, the import duty on frozen shrimp will rise to 12%, from the current rate of 4.2%, while the rate for processed shrimp</w:t>
      </w:r>
      <w:r>
        <w:t xml:space="preserve"> </w:t>
      </w:r>
      <w:r w:rsidRPr="007112BE">
        <w:t>will rise to 20% from the current rate of 7%. Should the</w:t>
      </w:r>
      <w:r>
        <w:t>se higher import duty rates in</w:t>
      </w:r>
      <w:r w:rsidRPr="007112BE">
        <w:t xml:space="preserve"> effect, </w:t>
      </w:r>
      <w:r>
        <w:t xml:space="preserve">Thai </w:t>
      </w:r>
      <w:r w:rsidRPr="007112BE">
        <w:t>shrimp exporters</w:t>
      </w:r>
      <w:r>
        <w:t xml:space="preserve"> to EU will be significantly affected</w:t>
      </w:r>
      <w:r w:rsidRPr="007112BE">
        <w:t>.</w:t>
      </w:r>
      <w:r>
        <w:t xml:space="preserve"> However, shrimp export to EU accounts for 15% of total shrimp export, while the top shrimp exporter country is the U.S (45%), followed by Japan (20%) and EU. Shrimp export to the U.S is subjected to </w:t>
      </w:r>
      <w:r w:rsidRPr="000043EC">
        <w:t>anti</w:t>
      </w:r>
      <w:r w:rsidRPr="000043EC">
        <w:rPr>
          <w:rFonts w:ascii="Cambria Math" w:hAnsi="Cambria Math" w:cs="Cambria Math"/>
        </w:rPr>
        <w:t>‐</w:t>
      </w:r>
      <w:r w:rsidRPr="000043EC">
        <w:t xml:space="preserve">dumping </w:t>
      </w:r>
      <w:r>
        <w:t xml:space="preserve">rate. The anti-dumping </w:t>
      </w:r>
      <w:r w:rsidRPr="000043EC">
        <w:t>ra</w:t>
      </w:r>
      <w:r>
        <w:t xml:space="preserve">te for shrimp exports to the US is </w:t>
      </w:r>
      <w:r w:rsidRPr="000043EC">
        <w:t>1.48%</w:t>
      </w:r>
      <w:r>
        <w:t xml:space="preserve">, which is </w:t>
      </w:r>
      <w:r w:rsidRPr="000043EC">
        <w:t>higher than the rate paid by exporters in Vietnam (1.03% of import value), but lower than the rate paid by the Indian exporters (2.51%).</w:t>
      </w:r>
      <w:r>
        <w:t xml:space="preserve"> However, Thai shrimp establish market presence and a reputation of high product quality in the U.S market. </w:t>
      </w:r>
    </w:p>
    <w:p w:rsidR="00E65480" w:rsidRPr="00E65480" w:rsidRDefault="00E65480" w:rsidP="00E65480">
      <w:pPr>
        <w:pStyle w:val="KSbodytext"/>
        <w:ind w:left="720"/>
        <w:rPr>
          <w:color w:val="FF0000"/>
        </w:rPr>
      </w:pPr>
      <w:proofErr w:type="gramStart"/>
      <w:r>
        <w:rPr>
          <w:b/>
          <w:bCs/>
          <w:color w:val="FF0000"/>
        </w:rPr>
        <w:lastRenderedPageBreak/>
        <w:t>(</w:t>
      </w:r>
      <w:r w:rsidRPr="00E65480">
        <w:rPr>
          <w:b/>
          <w:bCs/>
          <w:color w:val="FF0000"/>
        </w:rPr>
        <w:t>Stage of the industry and competitive structure.</w:t>
      </w:r>
      <w:proofErr w:type="gramEnd"/>
      <w:r w:rsidRPr="00E65480">
        <w:rPr>
          <w:b/>
          <w:bCs/>
          <w:color w:val="FF0000"/>
        </w:rPr>
        <w:t xml:space="preserve"> </w:t>
      </w:r>
      <w:r w:rsidRPr="00E65480">
        <w:rPr>
          <w:color w:val="FF0000"/>
        </w:rPr>
        <w:t xml:space="preserve">What is the current industry life cycle? How the growth looks like? </w:t>
      </w:r>
      <w:proofErr w:type="gramStart"/>
      <w:r w:rsidRPr="00E65480">
        <w:rPr>
          <w:color w:val="FF0000"/>
        </w:rPr>
        <w:t>Competitive structure.</w:t>
      </w:r>
      <w:proofErr w:type="gramEnd"/>
      <w:r w:rsidRPr="00E65480">
        <w:rPr>
          <w:color w:val="FF0000"/>
        </w:rPr>
        <w:t xml:space="preserve"> </w:t>
      </w:r>
      <w:proofErr w:type="gramStart"/>
      <w:r w:rsidRPr="00E65480">
        <w:rPr>
          <w:color w:val="FF0000"/>
        </w:rPr>
        <w:t>market</w:t>
      </w:r>
      <w:proofErr w:type="gramEnd"/>
      <w:r w:rsidRPr="00E65480">
        <w:rPr>
          <w:color w:val="FF0000"/>
        </w:rPr>
        <w:t xml:space="preserve"> positioning of the company / threats of new entrants / substitute products; Supply chain analysis (source of raw materials, markets for products).</w:t>
      </w:r>
      <w:r>
        <w:rPr>
          <w:color w:val="FF0000"/>
        </w:rPr>
        <w:t>)</w:t>
      </w:r>
    </w:p>
    <w:p w:rsidR="009653C4" w:rsidRDefault="009653C4" w:rsidP="00E65480">
      <w:pPr>
        <w:pStyle w:val="KSbodytext"/>
        <w:ind w:left="720"/>
      </w:pPr>
      <w:r w:rsidRPr="00254370">
        <w:rPr>
          <w:b/>
          <w:bCs/>
        </w:rPr>
        <w:t>Stage of the industry</w:t>
      </w:r>
      <w:r>
        <w:rPr>
          <w:b/>
          <w:bCs/>
        </w:rPr>
        <w:t xml:space="preserve"> and competitive structure:</w:t>
      </w:r>
      <w:r>
        <w:t xml:space="preserve"> </w:t>
      </w:r>
    </w:p>
    <w:p w:rsidR="009653C4" w:rsidRDefault="009653C4" w:rsidP="00E65480">
      <w:pPr>
        <w:pStyle w:val="KSbodytext"/>
        <w:ind w:left="720"/>
        <w:jc w:val="both"/>
      </w:pPr>
      <w:proofErr w:type="gramStart"/>
      <w:r w:rsidRPr="00007E6F">
        <w:rPr>
          <w:i/>
          <w:iCs/>
        </w:rPr>
        <w:t>Livestock.</w:t>
      </w:r>
      <w:proofErr w:type="gramEnd"/>
      <w:r>
        <w:t xml:space="preserve"> L</w:t>
      </w:r>
      <w:r w:rsidRPr="000E4FD0">
        <w:t xml:space="preserve">ivestock </w:t>
      </w:r>
      <w:r>
        <w:t xml:space="preserve">industry is in a mature stage. Sales growth is in a range of 5-8% on an average. Sales volume growth is modest. </w:t>
      </w:r>
      <w:r w:rsidRPr="002D28EE">
        <w:t>According to the USDA, since 2006, demand for chicken worldwide has grown by about 4% per year.</w:t>
      </w:r>
      <w:r>
        <w:t xml:space="preserve"> Fluctuations in sales value come from changes in products price, which is impacted by seasonality of demand and supply. There are few players that control large market share, of which CPF is </w:t>
      </w:r>
      <w:r w:rsidRPr="008D2B4E">
        <w:t>the largest</w:t>
      </w:r>
      <w:r>
        <w:t xml:space="preserve"> in the country. </w:t>
      </w:r>
      <w:r w:rsidRPr="008D2B4E">
        <w:t xml:space="preserve">In feed segments, the </w:t>
      </w:r>
      <w:r>
        <w:t>CPF</w:t>
      </w:r>
      <w:r w:rsidRPr="008D2B4E">
        <w:t>’s production share of the shrimp feed market is greater than 50%, and its market share for animal feed is approximately 40%. In the Thai poultry and swine industry, CPF’s market shares are 20%</w:t>
      </w:r>
      <w:r w:rsidRPr="008D2B4E">
        <w:rPr>
          <w:rFonts w:ascii="Cambria Math" w:hAnsi="Cambria Math" w:cs="Cambria Math"/>
        </w:rPr>
        <w:t>‐</w:t>
      </w:r>
      <w:r w:rsidRPr="008D2B4E">
        <w:t xml:space="preserve">30% of domestic production. </w:t>
      </w:r>
      <w:r>
        <w:t xml:space="preserve">The other big players in the </w:t>
      </w:r>
      <w:r w:rsidRPr="008D2B4E">
        <w:t>poultry and swine industry</w:t>
      </w:r>
      <w:r>
        <w:t xml:space="preserve"> are </w:t>
      </w:r>
      <w:proofErr w:type="spellStart"/>
      <w:r>
        <w:t>Betagro</w:t>
      </w:r>
      <w:proofErr w:type="spellEnd"/>
      <w:r>
        <w:t xml:space="preserve">, GFPT, </w:t>
      </w:r>
      <w:proofErr w:type="spellStart"/>
      <w:proofErr w:type="gramStart"/>
      <w:r>
        <w:t>Saha</w:t>
      </w:r>
      <w:proofErr w:type="spellEnd"/>
      <w:proofErr w:type="gramEnd"/>
      <w:r>
        <w:t xml:space="preserve"> farm. In aquatic business, big players are CPF and TUF. Apart from domestic players, competitions come from other Asian countries, such as Vietnam, India, and Indonesia. However, the big players are able to maintain their market share due to their solid supply chains and low cost structure, which has created a barrier to entry.    </w:t>
      </w:r>
    </w:p>
    <w:p w:rsidR="009653C4" w:rsidRDefault="009653C4" w:rsidP="00E65480">
      <w:pPr>
        <w:pStyle w:val="KSbodytext"/>
        <w:ind w:left="720"/>
        <w:jc w:val="both"/>
      </w:pPr>
      <w:r w:rsidRPr="00325D89">
        <w:rPr>
          <w:i/>
          <w:iCs/>
        </w:rPr>
        <w:t>Processed food</w:t>
      </w:r>
      <w:r>
        <w:t xml:space="preserve"> (e.g. packaged and branded food). Processed food industry is in a growth stage, supporting by changing consumer behavior toward convenience and consuming more ready to eat food. Technology allows productions of long-life ready to eat foods, which are less</w:t>
      </w:r>
      <w:r w:rsidRPr="00CB0272">
        <w:t xml:space="preserve"> volatile in </w:t>
      </w:r>
      <w:r>
        <w:t xml:space="preserve">product </w:t>
      </w:r>
      <w:r w:rsidRPr="00CB0272">
        <w:t xml:space="preserve">price, and </w:t>
      </w:r>
      <w:r>
        <w:t xml:space="preserve">have </w:t>
      </w:r>
      <w:r w:rsidRPr="00CB0272">
        <w:t>higher margin</w:t>
      </w:r>
      <w:r>
        <w:t xml:space="preserve">. Sales growth is currently above 10% and there are large upsides for sales growth. Despite lots of firms decide to expand their product lines to produce these valued-add foods, margin and profitability remains good due to the large rooms for growth in the industry. The firms that can secure raw materials and build brand are expected to enjoy both the demand growth as well as gaining market share.           </w:t>
      </w:r>
      <w:r w:rsidRPr="00CB0272">
        <w:t xml:space="preserve"> </w:t>
      </w:r>
      <w:r>
        <w:t xml:space="preserve"> </w:t>
      </w:r>
    </w:p>
    <w:p w:rsidR="009653C4" w:rsidRDefault="009653C4" w:rsidP="009653C4">
      <w:pPr>
        <w:pStyle w:val="RPointHeading"/>
        <w:pBdr>
          <w:bottom w:val="single" w:sz="4" w:space="1" w:color="auto"/>
        </w:pBdr>
        <w:spacing w:after="90"/>
        <w:rPr>
          <w:rFonts w:cs="Arial"/>
          <w:sz w:val="18"/>
          <w:szCs w:val="18"/>
        </w:rPr>
        <w:sectPr w:rsidR="009653C4" w:rsidSect="009653C4">
          <w:pgSz w:w="11906" w:h="16838"/>
          <w:pgMar w:top="1701" w:right="567" w:bottom="1673" w:left="3119" w:header="284" w:footer="136" w:gutter="0"/>
          <w:cols w:space="708"/>
          <w:titlePg/>
          <w:docGrid w:linePitch="360"/>
        </w:sectPr>
      </w:pPr>
    </w:p>
    <w:p w:rsidR="009653C4" w:rsidRPr="00875B11" w:rsidRDefault="009653C4" w:rsidP="009653C4">
      <w:pPr>
        <w:pStyle w:val="RPointHeading"/>
        <w:pBdr>
          <w:bottom w:val="single" w:sz="4" w:space="1" w:color="auto"/>
        </w:pBdr>
        <w:spacing w:after="90"/>
        <w:rPr>
          <w:rFonts w:cs="Arial"/>
          <w:sz w:val="17"/>
          <w:szCs w:val="17"/>
          <w:lang w:val="en-US"/>
        </w:rPr>
      </w:pPr>
      <w:r>
        <w:rPr>
          <w:rFonts w:cs="Arial"/>
          <w:sz w:val="17"/>
          <w:szCs w:val="17"/>
        </w:rPr>
        <w:lastRenderedPageBreak/>
        <w:t>Figure 1</w:t>
      </w:r>
      <w:r w:rsidRPr="00875B11">
        <w:rPr>
          <w:rFonts w:cs="Arial"/>
          <w:sz w:val="17"/>
          <w:szCs w:val="17"/>
        </w:rPr>
        <w:t xml:space="preserve">: </w:t>
      </w:r>
      <w:r>
        <w:rPr>
          <w:rFonts w:cs="Arial"/>
          <w:sz w:val="17"/>
          <w:szCs w:val="17"/>
        </w:rPr>
        <w:t xml:space="preserve">Market share of </w:t>
      </w:r>
      <w:r>
        <w:rPr>
          <w:rFonts w:cs="Arial"/>
          <w:sz w:val="17"/>
          <w:szCs w:val="17"/>
          <w:lang w:val="en-US"/>
        </w:rPr>
        <w:t xml:space="preserve">poultry exporter </w:t>
      </w:r>
    </w:p>
    <w:p w:rsidR="009653C4" w:rsidRPr="00134780" w:rsidRDefault="009653C4" w:rsidP="009653C4">
      <w:r w:rsidRPr="00370DCC">
        <w:rPr>
          <w:noProof/>
        </w:rPr>
        <w:drawing>
          <wp:inline distT="0" distB="0" distL="0" distR="0">
            <wp:extent cx="2385060" cy="1896142"/>
            <wp:effectExtent l="19050" t="0" r="0" b="0"/>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srcRect/>
                    <a:stretch>
                      <a:fillRect/>
                    </a:stretch>
                  </pic:blipFill>
                  <pic:spPr bwMode="auto">
                    <a:xfrm>
                      <a:off x="0" y="0"/>
                      <a:ext cx="2385060" cy="1896142"/>
                    </a:xfrm>
                    <a:prstGeom prst="rect">
                      <a:avLst/>
                    </a:prstGeom>
                    <a:noFill/>
                    <a:ln w="9525">
                      <a:noFill/>
                      <a:miter lim="800000"/>
                      <a:headEnd/>
                      <a:tailEnd/>
                    </a:ln>
                  </pic:spPr>
                </pic:pic>
              </a:graphicData>
            </a:graphic>
          </wp:inline>
        </w:drawing>
      </w:r>
    </w:p>
    <w:p w:rsidR="009653C4" w:rsidRDefault="009653C4" w:rsidP="009653C4">
      <w:pPr>
        <w:pBdr>
          <w:top w:val="single" w:sz="4" w:space="1" w:color="auto"/>
        </w:pBdr>
        <w:rPr>
          <w:sz w:val="16"/>
          <w:szCs w:val="16"/>
        </w:rPr>
      </w:pPr>
      <w:r>
        <w:rPr>
          <w:sz w:val="16"/>
          <w:szCs w:val="16"/>
        </w:rPr>
        <w:t>Source: CPF</w:t>
      </w:r>
    </w:p>
    <w:p w:rsidR="009653C4" w:rsidRPr="009A3DAE" w:rsidRDefault="009653C4" w:rsidP="009653C4">
      <w:pPr>
        <w:pStyle w:val="RPointHeading"/>
        <w:pBdr>
          <w:bottom w:val="single" w:sz="4" w:space="1" w:color="auto"/>
        </w:pBdr>
        <w:spacing w:after="90"/>
        <w:rPr>
          <w:rFonts w:cs="Arial"/>
          <w:sz w:val="17"/>
          <w:szCs w:val="17"/>
          <w:lang w:val="en-US"/>
        </w:rPr>
      </w:pPr>
      <w:r w:rsidRPr="009A3DAE">
        <w:rPr>
          <w:rFonts w:cs="Arial"/>
          <w:sz w:val="17"/>
          <w:szCs w:val="17"/>
          <w:lang w:val="en-US"/>
        </w:rPr>
        <w:lastRenderedPageBreak/>
        <w:t>Figure 2: Market share of shrimp exporter</w:t>
      </w:r>
    </w:p>
    <w:p w:rsidR="009653C4" w:rsidRPr="00134780" w:rsidRDefault="009653C4" w:rsidP="009653C4">
      <w:r w:rsidRPr="00370DCC">
        <w:rPr>
          <w:noProof/>
        </w:rPr>
        <w:drawing>
          <wp:inline distT="0" distB="0" distL="0" distR="0">
            <wp:extent cx="2385060" cy="1896142"/>
            <wp:effectExtent l="19050" t="0" r="0" b="0"/>
            <wp:docPr id="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srcRect/>
                    <a:stretch>
                      <a:fillRect/>
                    </a:stretch>
                  </pic:blipFill>
                  <pic:spPr bwMode="auto">
                    <a:xfrm>
                      <a:off x="0" y="0"/>
                      <a:ext cx="2385060" cy="1896142"/>
                    </a:xfrm>
                    <a:prstGeom prst="rect">
                      <a:avLst/>
                    </a:prstGeom>
                    <a:noFill/>
                    <a:ln w="9525">
                      <a:noFill/>
                      <a:miter lim="800000"/>
                      <a:headEnd/>
                      <a:tailEnd/>
                    </a:ln>
                  </pic:spPr>
                </pic:pic>
              </a:graphicData>
            </a:graphic>
          </wp:inline>
        </w:drawing>
      </w:r>
    </w:p>
    <w:p w:rsidR="009653C4" w:rsidRDefault="009653C4" w:rsidP="009653C4">
      <w:pPr>
        <w:pBdr>
          <w:top w:val="single" w:sz="4" w:space="1" w:color="auto"/>
        </w:pBdr>
        <w:rPr>
          <w:sz w:val="16"/>
          <w:szCs w:val="16"/>
        </w:rPr>
      </w:pPr>
      <w:r>
        <w:rPr>
          <w:sz w:val="16"/>
          <w:szCs w:val="16"/>
        </w:rPr>
        <w:t>Source: CPF</w:t>
      </w:r>
    </w:p>
    <w:p w:rsidR="009653C4" w:rsidRPr="009D5012" w:rsidRDefault="009653C4" w:rsidP="009653C4">
      <w:pPr>
        <w:rPr>
          <w:sz w:val="16"/>
          <w:szCs w:val="16"/>
        </w:rPr>
        <w:sectPr w:rsidR="009653C4" w:rsidRPr="009D5012" w:rsidSect="009D5012">
          <w:type w:val="continuous"/>
          <w:pgSz w:w="11906" w:h="16838"/>
          <w:pgMar w:top="1701" w:right="567" w:bottom="1673" w:left="3119" w:header="284" w:footer="136" w:gutter="0"/>
          <w:cols w:num="2" w:space="708"/>
          <w:titlePg/>
          <w:docGrid w:linePitch="360"/>
        </w:sectPr>
      </w:pPr>
    </w:p>
    <w:p w:rsidR="004702B8" w:rsidRDefault="00E65480" w:rsidP="00E65480">
      <w:pPr>
        <w:pStyle w:val="RPointHeading"/>
        <w:pBdr>
          <w:bottom w:val="single" w:sz="4" w:space="1" w:color="auto"/>
        </w:pBdr>
        <w:spacing w:after="90"/>
      </w:pPr>
    </w:p>
    <w:sectPr w:rsidR="004702B8" w:rsidSect="00E65480">
      <w:type w:val="continuous"/>
      <w:pgSz w:w="11906" w:h="16838"/>
      <w:pgMar w:top="1701" w:right="567" w:bottom="1673" w:left="3119" w:header="284" w:footer="136" w:gutter="0"/>
      <w:cols w:num="2"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20"/>
  <w:characterSpacingControl w:val="doNotCompress"/>
  <w:compat>
    <w:applyBreakingRules/>
  </w:compat>
  <w:rsids>
    <w:rsidRoot w:val="009653C4"/>
    <w:rsid w:val="00111FA2"/>
    <w:rsid w:val="00353A75"/>
    <w:rsid w:val="009653C4"/>
    <w:rsid w:val="00B3185E"/>
    <w:rsid w:val="00E65480"/>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9653C4"/>
    <w:pPr>
      <w:spacing w:after="0" w:line="240" w:lineRule="auto"/>
    </w:pPr>
    <w:rPr>
      <w:rFonts w:ascii="Tahoma" w:eastAsia="Calibri" w:hAnsi="Tahoma" w:cs="Tahoma"/>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Sbodytext">
    <w:name w:val="KS body text"/>
    <w:basedOn w:val="Normal"/>
    <w:qFormat/>
    <w:rsid w:val="009653C4"/>
    <w:pPr>
      <w:spacing w:after="120" w:line="240" w:lineRule="exact"/>
    </w:pPr>
  </w:style>
  <w:style w:type="paragraph" w:customStyle="1" w:styleId="RPointHeading">
    <w:name w:val="*R_PointHeading"/>
    <w:basedOn w:val="Normal"/>
    <w:rsid w:val="009653C4"/>
    <w:pPr>
      <w:keepNext/>
      <w:spacing w:after="120" w:line="280" w:lineRule="exact"/>
    </w:pPr>
    <w:rPr>
      <w:rFonts w:eastAsia="MS Gothic"/>
      <w:b/>
      <w:bCs/>
      <w:sz w:val="24"/>
      <w:szCs w:val="24"/>
      <w:lang w:val="en-AU" w:bidi="ar-SA"/>
    </w:rPr>
  </w:style>
  <w:style w:type="paragraph" w:styleId="BalloonText">
    <w:name w:val="Balloon Text"/>
    <w:basedOn w:val="Normal"/>
    <w:link w:val="BalloonTextChar"/>
    <w:uiPriority w:val="99"/>
    <w:semiHidden/>
    <w:unhideWhenUsed/>
    <w:rsid w:val="009653C4"/>
    <w:rPr>
      <w:rFonts w:cs="Angsana New"/>
      <w:sz w:val="16"/>
      <w:szCs w:val="20"/>
    </w:rPr>
  </w:style>
  <w:style w:type="character" w:customStyle="1" w:styleId="BalloonTextChar">
    <w:name w:val="Balloon Text Char"/>
    <w:basedOn w:val="DefaultParagraphFont"/>
    <w:link w:val="BalloonText"/>
    <w:uiPriority w:val="99"/>
    <w:semiHidden/>
    <w:rsid w:val="009653C4"/>
    <w:rPr>
      <w:rFonts w:ascii="Tahoma" w:eastAsia="Calibri" w:hAnsi="Tahoma" w:cs="Angsana New"/>
      <w:sz w:val="16"/>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841</Words>
  <Characters>4798</Characters>
  <Application>Microsoft Office Word</Application>
  <DocSecurity>0</DocSecurity>
  <Lines>39</Lines>
  <Paragraphs>11</Paragraphs>
  <ScaleCrop>false</ScaleCrop>
  <Company/>
  <LinksUpToDate>false</LinksUpToDate>
  <CharactersWithSpaces>5628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COMPAQ</cp:lastModifiedBy>
  <cp:revision>2</cp:revision>
  <dcterms:created xsi:type="dcterms:W3CDTF">2013-01-29T02:10:00Z</dcterms:created>
  <dcterms:modified xsi:type="dcterms:W3CDTF">2013-01-29T02:17:00Z</dcterms:modified>
</cp:coreProperties>
</file>