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11EA1B" w14:textId="5EE514BB" w:rsidR="00357FDF" w:rsidRDefault="00296357" w:rsidP="00357FDF">
      <w:pPr>
        <w:jc w:val="right"/>
        <w:rPr>
          <w:color w:val="000000" w:themeColor="text1"/>
          <w:szCs w:val="32"/>
        </w:rPr>
      </w:pPr>
      <w:r>
        <w:rPr>
          <w:color w:val="000000" w:themeColor="text1"/>
          <w:szCs w:val="32"/>
        </w:rPr>
        <w:t>Sornsita Aimprasittichai</w:t>
      </w:r>
    </w:p>
    <w:p w14:paraId="56142BE7" w14:textId="155945A5" w:rsidR="00296357" w:rsidRPr="00296357" w:rsidRDefault="00296357" w:rsidP="00357FDF">
      <w:pPr>
        <w:jc w:val="right"/>
        <w:rPr>
          <w:color w:val="000000" w:themeColor="text1"/>
          <w:szCs w:val="32"/>
        </w:rPr>
      </w:pPr>
      <w:r>
        <w:rPr>
          <w:color w:val="000000" w:themeColor="text1"/>
          <w:szCs w:val="32"/>
        </w:rPr>
        <w:t>5504641670</w:t>
      </w:r>
      <w:bookmarkStart w:id="0" w:name="_GoBack"/>
      <w:bookmarkEnd w:id="0"/>
    </w:p>
    <w:p w14:paraId="305CBE7F" w14:textId="68216382" w:rsidR="000C43EB" w:rsidRDefault="00B36EA4" w:rsidP="00B36EA4">
      <w:pPr>
        <w:rPr>
          <w:b/>
          <w:sz w:val="36"/>
          <w:szCs w:val="36"/>
        </w:rPr>
      </w:pPr>
      <w:r w:rsidRPr="00FA1AD4">
        <w:rPr>
          <w:b/>
          <w:sz w:val="36"/>
          <w:szCs w:val="36"/>
        </w:rPr>
        <w:t>FN281 – Individual Assignment 1</w:t>
      </w:r>
    </w:p>
    <w:p w14:paraId="0069E288" w14:textId="22FB42AB" w:rsidR="00AF21F4" w:rsidRPr="00AF21F4" w:rsidRDefault="00B36EA4" w:rsidP="00B36EA4">
      <w:pPr>
        <w:rPr>
          <w:i/>
          <w:color w:val="000000" w:themeColor="text1"/>
        </w:rPr>
      </w:pPr>
      <w:r w:rsidRPr="00357FDF">
        <w:rPr>
          <w:i/>
          <w:color w:val="1F4E79" w:themeColor="accent1" w:themeShade="80"/>
        </w:rPr>
        <w:t>1) Discuss one Insurance product and comment on its benefits</w:t>
      </w:r>
    </w:p>
    <w:p w14:paraId="6EFB8399" w14:textId="0FBE4FEA" w:rsidR="00C27C8C" w:rsidRPr="00C27C8C" w:rsidRDefault="000C43EB" w:rsidP="000C43EB">
      <w:pPr>
        <w:rPr>
          <w:bCs/>
        </w:rPr>
      </w:pPr>
      <w:r w:rsidRPr="00C27C8C">
        <w:rPr>
          <w:bCs/>
        </w:rPr>
        <w:t>AIALINK REGULAR PREMIUM (UNIT LINKED)</w:t>
      </w:r>
    </w:p>
    <w:p w14:paraId="532C0021" w14:textId="1E35C474" w:rsidR="00C27C8C" w:rsidRDefault="00C27C8C" w:rsidP="00C27C8C">
      <w:pPr>
        <w:rPr>
          <w:bCs/>
        </w:rPr>
      </w:pPr>
      <w:r>
        <w:rPr>
          <w:b/>
          <w:bCs/>
        </w:rPr>
        <w:tab/>
      </w:r>
      <w:r w:rsidRPr="00C27C8C">
        <w:rPr>
          <w:bCs/>
        </w:rPr>
        <w:t>AIA link pay annuities (unit linked) or AIALINK Regular Premium (Unit Linked) is life insurance for the benefit of life insurance protection. </w:t>
      </w:r>
      <w:r>
        <w:rPr>
          <w:bCs/>
        </w:rPr>
        <w:t xml:space="preserve">Along with an opportunity to get </w:t>
      </w:r>
      <w:r w:rsidRPr="00C27C8C">
        <w:rPr>
          <w:bCs/>
        </w:rPr>
        <w:t>ret</w:t>
      </w:r>
      <w:r>
        <w:rPr>
          <w:bCs/>
        </w:rPr>
        <w:t>urn on investment in the f</w:t>
      </w:r>
      <w:r w:rsidRPr="00C27C8C">
        <w:rPr>
          <w:bCs/>
        </w:rPr>
        <w:t xml:space="preserve">und </w:t>
      </w:r>
      <w:r>
        <w:rPr>
          <w:bCs/>
        </w:rPr>
        <w:t xml:space="preserve">that </w:t>
      </w:r>
      <w:r w:rsidRPr="00C27C8C">
        <w:rPr>
          <w:bCs/>
        </w:rPr>
        <w:t xml:space="preserve">has </w:t>
      </w:r>
      <w:r>
        <w:rPr>
          <w:bCs/>
        </w:rPr>
        <w:t xml:space="preserve">been carefully </w:t>
      </w:r>
      <w:r w:rsidRPr="00C27C8C">
        <w:rPr>
          <w:bCs/>
        </w:rPr>
        <w:t xml:space="preserve">selected </w:t>
      </w:r>
      <w:r>
        <w:rPr>
          <w:bCs/>
        </w:rPr>
        <w:t xml:space="preserve">by </w:t>
      </w:r>
      <w:r w:rsidRPr="00C27C8C">
        <w:rPr>
          <w:bCs/>
        </w:rPr>
        <w:t>professional</w:t>
      </w:r>
      <w:r>
        <w:rPr>
          <w:bCs/>
        </w:rPr>
        <w:t>s</w:t>
      </w:r>
      <w:r w:rsidRPr="00C27C8C">
        <w:rPr>
          <w:bCs/>
        </w:rPr>
        <w:t>.</w:t>
      </w:r>
    </w:p>
    <w:p w14:paraId="6812707F" w14:textId="26729CB1" w:rsidR="00AF21F4" w:rsidRDefault="00BE4BE3" w:rsidP="00AF21F4">
      <w:r>
        <w:rPr>
          <w:bCs/>
        </w:rPr>
        <w:tab/>
        <w:t xml:space="preserve">This type of insurance commitment was firstly introduced to Thai market in 2009 but , in the world market, it has been gained substantial interests and attention from </w:t>
      </w:r>
      <w:r w:rsidR="00AF21F4">
        <w:rPr>
          <w:bCs/>
        </w:rPr>
        <w:t xml:space="preserve">investors due to its high return compared to other long-term financial instruments, which </w:t>
      </w:r>
      <w:r w:rsidR="00AF21F4" w:rsidRPr="000C43EB">
        <w:t>is considered to beat up inflation in terms of returns from financial markets</w:t>
      </w:r>
      <w:r w:rsidR="00AF21F4">
        <w:t>.</w:t>
      </w:r>
    </w:p>
    <w:p w14:paraId="34C11718" w14:textId="0C8DB851" w:rsidR="00C73E9F" w:rsidRDefault="00C73E9F" w:rsidP="00C73E9F">
      <w:pPr>
        <w:rPr>
          <w:bCs/>
        </w:rPr>
      </w:pPr>
      <w:r>
        <w:rPr>
          <w:bCs/>
        </w:rPr>
        <w:t>AIALINK Benefits</w:t>
      </w:r>
      <w:r w:rsidR="00FA1AD4">
        <w:rPr>
          <w:bCs/>
        </w:rPr>
        <w:t xml:space="preserve"> and Characteristics:</w:t>
      </w:r>
    </w:p>
    <w:p w14:paraId="6E9FC803" w14:textId="4B7BFE1A" w:rsidR="00C73E9F" w:rsidRDefault="00E46699" w:rsidP="00C73E9F">
      <w:pPr>
        <w:pStyle w:val="ListParagraph"/>
        <w:numPr>
          <w:ilvl w:val="0"/>
          <w:numId w:val="4"/>
        </w:numPr>
        <w:rPr>
          <w:bCs/>
        </w:rPr>
      </w:pPr>
      <w:r>
        <w:rPr>
          <w:bCs/>
        </w:rPr>
        <w:t xml:space="preserve">High Return: </w:t>
      </w:r>
      <w:r w:rsidR="00C73E9F">
        <w:rPr>
          <w:bCs/>
        </w:rPr>
        <w:t xml:space="preserve">Opportunities to receive return from investments higher than normal average of other insurance alternatives. Since, a part of premium payments made by policyholder would be invested in variety of funds </w:t>
      </w:r>
      <w:r>
        <w:rPr>
          <w:bCs/>
        </w:rPr>
        <w:t xml:space="preserve">well selected by experts. </w:t>
      </w:r>
    </w:p>
    <w:p w14:paraId="6FB213D6" w14:textId="0A1801F6" w:rsidR="00E46699" w:rsidRDefault="00E46699" w:rsidP="00C73E9F">
      <w:pPr>
        <w:pStyle w:val="ListParagraph"/>
        <w:numPr>
          <w:ilvl w:val="0"/>
          <w:numId w:val="4"/>
        </w:numPr>
        <w:rPr>
          <w:bCs/>
        </w:rPr>
      </w:pPr>
      <w:r>
        <w:rPr>
          <w:bCs/>
        </w:rPr>
        <w:t>Customized Investment: Policyholders can choose the level of risk they are able to accept for their investments through fund, ranging from low risks</w:t>
      </w:r>
      <w:r w:rsidR="007E1829">
        <w:rPr>
          <w:bCs/>
        </w:rPr>
        <w:t xml:space="preserve"> (cautious), medium risks (</w:t>
      </w:r>
      <w:r w:rsidR="00BE4BE3">
        <w:rPr>
          <w:bCs/>
        </w:rPr>
        <w:t>balanced)</w:t>
      </w:r>
      <w:r>
        <w:rPr>
          <w:bCs/>
        </w:rPr>
        <w:t xml:space="preserve"> to high risks</w:t>
      </w:r>
      <w:r w:rsidR="00BE4BE3">
        <w:rPr>
          <w:bCs/>
        </w:rPr>
        <w:t xml:space="preserve"> (Adventurous)</w:t>
      </w:r>
      <w:r>
        <w:rPr>
          <w:bCs/>
        </w:rPr>
        <w:t xml:space="preserve">. Each </w:t>
      </w:r>
      <w:r w:rsidR="00FA1AD4">
        <w:rPr>
          <w:bCs/>
        </w:rPr>
        <w:t>holder</w:t>
      </w:r>
      <w:r w:rsidR="00BE4BE3">
        <w:rPr>
          <w:bCs/>
        </w:rPr>
        <w:t xml:space="preserve"> can switch</w:t>
      </w:r>
      <w:r>
        <w:rPr>
          <w:bCs/>
        </w:rPr>
        <w:t xml:space="preserve"> th</w:t>
      </w:r>
      <w:r w:rsidR="00FA1AD4">
        <w:rPr>
          <w:bCs/>
        </w:rPr>
        <w:t xml:space="preserve">eir </w:t>
      </w:r>
      <w:r>
        <w:rPr>
          <w:bCs/>
        </w:rPr>
        <w:t>investment options to best suit their lifestyles and financial constraints.</w:t>
      </w:r>
      <w:r w:rsidR="00BC7AA4">
        <w:rPr>
          <w:bCs/>
        </w:rPr>
        <w:t xml:space="preserve"> In addition, </w:t>
      </w:r>
      <w:r w:rsidR="007E1829">
        <w:rPr>
          <w:bCs/>
        </w:rPr>
        <w:t>the amount of premium payment and the number of payment period can be optimally chosen to match preference of the policyholder and financial confinement, such as at least 24,000BHT per year or at least 12,000 BHT per six-month period.</w:t>
      </w:r>
    </w:p>
    <w:p w14:paraId="1955DAFB" w14:textId="0A10BCC0" w:rsidR="00E46699" w:rsidRDefault="00E46699" w:rsidP="00C73E9F">
      <w:pPr>
        <w:pStyle w:val="ListParagraph"/>
        <w:numPr>
          <w:ilvl w:val="0"/>
          <w:numId w:val="4"/>
        </w:numPr>
        <w:rPr>
          <w:bCs/>
        </w:rPr>
      </w:pPr>
      <w:r>
        <w:rPr>
          <w:bCs/>
        </w:rPr>
        <w:t xml:space="preserve">Flexibility and Liquidity: Policyholders can optionally modify the total of investment by increasing the amount of premium payments </w:t>
      </w:r>
      <w:r w:rsidR="00FA1AD4">
        <w:rPr>
          <w:bCs/>
        </w:rPr>
        <w:t xml:space="preserve">or reselect the invested funds </w:t>
      </w:r>
      <w:r>
        <w:rPr>
          <w:bCs/>
        </w:rPr>
        <w:t>through</w:t>
      </w:r>
      <w:r w:rsidR="00FA1AD4">
        <w:rPr>
          <w:bCs/>
        </w:rPr>
        <w:t>out the</w:t>
      </w:r>
      <w:r>
        <w:rPr>
          <w:bCs/>
        </w:rPr>
        <w:t xml:space="preserve"> time coverage</w:t>
      </w:r>
      <w:r w:rsidR="00FA1AD4">
        <w:rPr>
          <w:bCs/>
        </w:rPr>
        <w:t xml:space="preserve"> without any additional payment</w:t>
      </w:r>
      <w:r>
        <w:rPr>
          <w:bCs/>
        </w:rPr>
        <w:t>.</w:t>
      </w:r>
      <w:r w:rsidR="00FA1AD4">
        <w:rPr>
          <w:bCs/>
        </w:rPr>
        <w:t xml:space="preserve"> </w:t>
      </w:r>
      <w:r w:rsidR="007E1829">
        <w:rPr>
          <w:bCs/>
        </w:rPr>
        <w:t xml:space="preserve">Moreover, some amount of money investment can be withdrawn to satisfy the needs of holders for any specific financial objective. </w:t>
      </w:r>
    </w:p>
    <w:p w14:paraId="62E194E3" w14:textId="2FA1E8FD" w:rsidR="00FA1AD4" w:rsidRDefault="00FA1AD4" w:rsidP="00FA1AD4">
      <w:pPr>
        <w:pStyle w:val="ListParagraph"/>
        <w:numPr>
          <w:ilvl w:val="0"/>
          <w:numId w:val="4"/>
        </w:numPr>
        <w:rPr>
          <w:bCs/>
        </w:rPr>
      </w:pPr>
      <w:r>
        <w:rPr>
          <w:bCs/>
        </w:rPr>
        <w:t>Transparency: AIALINK enables the policyholders to easily check the transaction records and current values through</w:t>
      </w:r>
      <w:r w:rsidRPr="00BC7AA4">
        <w:rPr>
          <w:bCs/>
          <w:color w:val="000000" w:themeColor="text1"/>
        </w:rPr>
        <w:t xml:space="preserve"> </w:t>
      </w:r>
      <w:hyperlink r:id="rId5" w:history="1">
        <w:r w:rsidRPr="00BC7AA4">
          <w:rPr>
            <w:rStyle w:val="Hyperlink"/>
            <w:bCs/>
            <w:color w:val="000000" w:themeColor="text1"/>
          </w:rPr>
          <w:t>www.aia.co.th/customer</w:t>
        </w:r>
      </w:hyperlink>
    </w:p>
    <w:p w14:paraId="7173FE7C" w14:textId="448BA32C" w:rsidR="00FA1AD4" w:rsidRDefault="00FA1AD4" w:rsidP="00FA1AD4">
      <w:pPr>
        <w:pStyle w:val="ListParagraph"/>
        <w:numPr>
          <w:ilvl w:val="0"/>
          <w:numId w:val="4"/>
        </w:numPr>
        <w:rPr>
          <w:bCs/>
        </w:rPr>
      </w:pPr>
      <w:r>
        <w:rPr>
          <w:bCs/>
        </w:rPr>
        <w:t xml:space="preserve">Long-term coverage: </w:t>
      </w:r>
      <w:r w:rsidR="00BC7AA4">
        <w:rPr>
          <w:bCs/>
        </w:rPr>
        <w:t xml:space="preserve">Anyone can purchase AIALINK if he/she has an age of at least 1 month but not exceed 70 years. And the time coverage would last long until the policyholder is 99 years old, which is a very long time interval. Thus, this can alleviate many concerns of policyholders, e.g. financial status of beneficiaries and unexpected expenses after retirement. </w:t>
      </w:r>
    </w:p>
    <w:p w14:paraId="3F25BF3B" w14:textId="623F9B62" w:rsidR="007E1829" w:rsidRDefault="007E1829" w:rsidP="00FA1AD4">
      <w:pPr>
        <w:pStyle w:val="ListParagraph"/>
        <w:numPr>
          <w:ilvl w:val="0"/>
          <w:numId w:val="4"/>
        </w:numPr>
        <w:rPr>
          <w:bCs/>
        </w:rPr>
      </w:pPr>
      <w:r>
        <w:rPr>
          <w:bCs/>
        </w:rPr>
        <w:lastRenderedPageBreak/>
        <w:t>Tax Benefit: Premium payments, along with some related expenses in insurance procedure, can be use as a tax reduction for personal income.</w:t>
      </w:r>
    </w:p>
    <w:p w14:paraId="3E23FF88" w14:textId="76045E66" w:rsidR="00BE4BE3" w:rsidRDefault="00BE4BE3" w:rsidP="00FA1AD4">
      <w:pPr>
        <w:pStyle w:val="ListParagraph"/>
        <w:numPr>
          <w:ilvl w:val="0"/>
          <w:numId w:val="4"/>
        </w:numPr>
        <w:rPr>
          <w:bCs/>
        </w:rPr>
      </w:pPr>
      <w:r>
        <w:rPr>
          <w:bCs/>
        </w:rPr>
        <w:t>Automatic fund-rebalancing: The portion of each investment assets will be automatically rebalanced to maintain the same level of risks that the policyholders initially accepts to prevent any additional risk exposure that can occur from price volatility and external uncertainties.</w:t>
      </w:r>
    </w:p>
    <w:p w14:paraId="20A66B83" w14:textId="7CF68900" w:rsidR="00BE4BE3" w:rsidRDefault="00BE4BE3" w:rsidP="00BE4BE3">
      <w:pPr>
        <w:rPr>
          <w:bCs/>
        </w:rPr>
      </w:pPr>
      <w:r>
        <w:rPr>
          <w:bCs/>
        </w:rPr>
        <w:t xml:space="preserve">Link to AIALINK Brochure: </w:t>
      </w:r>
      <w:hyperlink r:id="rId6" w:history="1">
        <w:r w:rsidRPr="00BE4BE3">
          <w:rPr>
            <w:rStyle w:val="Hyperlink"/>
            <w:bCs/>
            <w:color w:val="000000" w:themeColor="text1"/>
          </w:rPr>
          <w:t>http://www.aia.co.th/content/dam/th/th/docs/brochure/Update2015AIALINK_RP_web%20resize.pdf</w:t>
        </w:r>
      </w:hyperlink>
    </w:p>
    <w:p w14:paraId="18E174A1" w14:textId="60ACF25C" w:rsidR="000C43EB" w:rsidRPr="00AF21F4" w:rsidRDefault="000C43EB" w:rsidP="00B36EA4">
      <w:pPr>
        <w:rPr>
          <w:bCs/>
        </w:rPr>
      </w:pPr>
    </w:p>
    <w:p w14:paraId="147AD72A" w14:textId="77777777" w:rsidR="00B36EA4" w:rsidRPr="00357FDF" w:rsidRDefault="00B36EA4" w:rsidP="00B36EA4">
      <w:pPr>
        <w:rPr>
          <w:i/>
          <w:color w:val="1F4E79" w:themeColor="accent1" w:themeShade="80"/>
        </w:rPr>
      </w:pPr>
      <w:r w:rsidRPr="00357FDF">
        <w:rPr>
          <w:i/>
          <w:color w:val="1F4E79" w:themeColor="accent1" w:themeShade="80"/>
        </w:rPr>
        <w:t>2) Which mortgage would result in higher total payments?</w:t>
      </w:r>
    </w:p>
    <w:p w14:paraId="479D3036" w14:textId="77777777" w:rsidR="00B36EA4" w:rsidRPr="00357FDF" w:rsidRDefault="00B36EA4" w:rsidP="00B36EA4">
      <w:pPr>
        <w:rPr>
          <w:i/>
          <w:color w:val="1F4E79" w:themeColor="accent1" w:themeShade="80"/>
        </w:rPr>
      </w:pPr>
      <w:r w:rsidRPr="00357FDF">
        <w:rPr>
          <w:i/>
          <w:color w:val="1F4E79" w:themeColor="accent1" w:themeShade="80"/>
        </w:rPr>
        <w:t>Mortgage A: $970 a month for 30 years</w:t>
      </w:r>
    </w:p>
    <w:p w14:paraId="361A9F85" w14:textId="77777777" w:rsidR="00357FDF" w:rsidRPr="00357FDF" w:rsidRDefault="00B36EA4" w:rsidP="00357FDF">
      <w:pPr>
        <w:rPr>
          <w:color w:val="1F4E79" w:themeColor="accent1" w:themeShade="80"/>
        </w:rPr>
      </w:pPr>
      <w:r w:rsidRPr="00357FDF">
        <w:rPr>
          <w:i/>
          <w:color w:val="1F4E79" w:themeColor="accent1" w:themeShade="80"/>
        </w:rPr>
        <w:t>Mortgage B: $760 a month for 5 years and $1005 for 25 years</w:t>
      </w:r>
      <w:r w:rsidR="007C040C" w:rsidRPr="00357FDF">
        <w:rPr>
          <w:i/>
          <w:color w:val="1F4E79" w:themeColor="accent1" w:themeShade="80"/>
        </w:rPr>
        <w:t xml:space="preserve"> </w:t>
      </w:r>
    </w:p>
    <w:p w14:paraId="2A0E51DE" w14:textId="77777777" w:rsidR="00357FDF" w:rsidRDefault="00357FDF" w:rsidP="00357FDF">
      <w:pPr>
        <w:ind w:firstLine="360"/>
        <w:rPr>
          <w:iCs/>
          <w:color w:val="000000" w:themeColor="text1"/>
        </w:rPr>
      </w:pPr>
      <w:r>
        <w:rPr>
          <w:iCs/>
          <w:color w:val="000000" w:themeColor="text1"/>
        </w:rPr>
        <w:t xml:space="preserve">For </w:t>
      </w:r>
      <w:r w:rsidRPr="00357FDF">
        <w:rPr>
          <w:iCs/>
          <w:color w:val="000000" w:themeColor="text1"/>
        </w:rPr>
        <w:t>Mortgage A</w:t>
      </w:r>
      <w:r>
        <w:rPr>
          <w:iCs/>
          <w:color w:val="000000" w:themeColor="text1"/>
        </w:rPr>
        <w:t>,</w:t>
      </w:r>
    </w:p>
    <w:p w14:paraId="15D4F683" w14:textId="02676A60" w:rsidR="00357FDF" w:rsidRPr="00357FDF" w:rsidRDefault="00357FDF" w:rsidP="00357FDF">
      <w:pPr>
        <w:ind w:firstLine="720"/>
        <w:rPr>
          <w:color w:val="000000" w:themeColor="text1"/>
        </w:rPr>
      </w:pPr>
      <w:r w:rsidRPr="00357FDF">
        <w:rPr>
          <w:color w:val="000000" w:themeColor="text1"/>
        </w:rPr>
        <w:t>Total Payment = $970 x 360 = $349,200</w:t>
      </w:r>
    </w:p>
    <w:p w14:paraId="2601CCD8" w14:textId="69713A6B" w:rsidR="00357FDF" w:rsidRPr="00357FDF" w:rsidRDefault="00357FDF" w:rsidP="00357FDF">
      <w:pPr>
        <w:ind w:firstLine="360"/>
        <w:rPr>
          <w:iCs/>
          <w:color w:val="000000" w:themeColor="text1"/>
        </w:rPr>
      </w:pPr>
      <w:r>
        <w:rPr>
          <w:iCs/>
          <w:color w:val="000000" w:themeColor="text1"/>
        </w:rPr>
        <w:t xml:space="preserve">For </w:t>
      </w:r>
      <w:r w:rsidRPr="00357FDF">
        <w:rPr>
          <w:iCs/>
          <w:color w:val="000000" w:themeColor="text1"/>
        </w:rPr>
        <w:t>Mortgage B</w:t>
      </w:r>
      <w:r>
        <w:rPr>
          <w:iCs/>
          <w:color w:val="000000" w:themeColor="text1"/>
        </w:rPr>
        <w:t>,</w:t>
      </w:r>
    </w:p>
    <w:p w14:paraId="2E1C385C" w14:textId="77777777" w:rsidR="00357FDF" w:rsidRPr="00357FDF" w:rsidRDefault="00357FDF" w:rsidP="00357FDF">
      <w:pPr>
        <w:ind w:left="720"/>
        <w:rPr>
          <w:color w:val="000000" w:themeColor="text1"/>
        </w:rPr>
      </w:pPr>
      <w:r w:rsidRPr="00357FDF">
        <w:rPr>
          <w:color w:val="000000" w:themeColor="text1"/>
        </w:rPr>
        <w:t>Total Payment = ($760 x 60) + ($1005 x 300) = ($45,600 + $301,500) = $347,100</w:t>
      </w:r>
    </w:p>
    <w:p w14:paraId="65DAA0F7" w14:textId="640A7BA0" w:rsidR="00AF21F4" w:rsidRDefault="00357FDF" w:rsidP="00357FDF">
      <w:pPr>
        <w:rPr>
          <w:color w:val="000000" w:themeColor="text1"/>
        </w:rPr>
      </w:pPr>
      <w:r>
        <w:rPr>
          <w:color w:val="000000" w:themeColor="text1"/>
        </w:rPr>
        <w:t xml:space="preserve">Therefore, </w:t>
      </w:r>
      <w:r w:rsidRPr="00357FDF">
        <w:rPr>
          <w:color w:val="000000" w:themeColor="text1"/>
        </w:rPr>
        <w:t xml:space="preserve">Mortgage A </w:t>
      </w:r>
      <w:r>
        <w:rPr>
          <w:color w:val="000000" w:themeColor="text1"/>
        </w:rPr>
        <w:t xml:space="preserve">results in higher total payment than Mortgage B for </w:t>
      </w:r>
      <w:r w:rsidRPr="00357FDF">
        <w:rPr>
          <w:color w:val="000000" w:themeColor="text1"/>
        </w:rPr>
        <w:t>$</w:t>
      </w:r>
      <w:r>
        <w:rPr>
          <w:color w:val="000000" w:themeColor="text1"/>
        </w:rPr>
        <w:t>2,100.</w:t>
      </w:r>
    </w:p>
    <w:p w14:paraId="25F5A4AF" w14:textId="37DB19F3" w:rsidR="00B36EA4" w:rsidRPr="00B36EA4" w:rsidRDefault="00B36EA4" w:rsidP="00B36EA4"/>
    <w:p w14:paraId="5BBB992D" w14:textId="77777777" w:rsidR="00B36EA4" w:rsidRPr="00357FDF" w:rsidRDefault="00B36EA4" w:rsidP="00B36EA4">
      <w:pPr>
        <w:rPr>
          <w:i/>
          <w:color w:val="1F4E79" w:themeColor="accent1" w:themeShade="80"/>
        </w:rPr>
      </w:pPr>
      <w:r w:rsidRPr="00357FDF">
        <w:rPr>
          <w:i/>
          <w:color w:val="1F4E79" w:themeColor="accent1" w:themeShade="80"/>
        </w:rPr>
        <w:t>3) What are the two main types of consumer credit?</w:t>
      </w:r>
    </w:p>
    <w:p w14:paraId="44DBEB5F" w14:textId="00C00FDD" w:rsidR="00A23BE4" w:rsidRDefault="00A23BE4" w:rsidP="00B36EA4">
      <w:r>
        <w:t>Consumer credit falls into 2 main categories, closed-end (installments) and open-end (revolving) credits.</w:t>
      </w:r>
    </w:p>
    <w:p w14:paraId="33D24CB0" w14:textId="21CFFC5D" w:rsidR="00A23BE4" w:rsidRPr="00A23BE4" w:rsidRDefault="00A23BE4" w:rsidP="00A23BE4">
      <w:pPr>
        <w:pStyle w:val="ListParagraph"/>
        <w:numPr>
          <w:ilvl w:val="0"/>
          <w:numId w:val="1"/>
        </w:numPr>
      </w:pPr>
      <w:r>
        <w:t xml:space="preserve">The Closed-End Credit: </w:t>
      </w:r>
      <w:r w:rsidRPr="00A23BE4">
        <w:t xml:space="preserve">This form of credit is used for a specific purpose, for a specific amount, and for a specific period of time. Payments are usually of equal amounts. </w:t>
      </w:r>
      <w:r>
        <w:t>The examples are m</w:t>
      </w:r>
      <w:r w:rsidRPr="00A23BE4">
        <w:t xml:space="preserve">ortgage loans and </w:t>
      </w:r>
      <w:r>
        <w:t>automobile loans. An agreement, or contract, composes of</w:t>
      </w:r>
      <w:r w:rsidRPr="00A23BE4">
        <w:t xml:space="preserve"> the repayment terms, such as the number of payments, the payment amount, and how much the credit will cost. </w:t>
      </w:r>
    </w:p>
    <w:p w14:paraId="25D4C465" w14:textId="0A56B514" w:rsidR="00A23BE4" w:rsidRPr="00A23BE4" w:rsidRDefault="00A23BE4" w:rsidP="00A23BE4">
      <w:pPr>
        <w:pStyle w:val="ListParagraph"/>
      </w:pPr>
      <w:r>
        <w:t>However</w:t>
      </w:r>
      <w:r w:rsidRPr="00A23BE4">
        <w:t>, with closed-end credit, the seller retains some form of control over the ownership (title) to the goods until all payments have been completed. For example, a car company will have a "lien" on the car until the car loan is paid in full.</w:t>
      </w:r>
    </w:p>
    <w:p w14:paraId="49C96D41" w14:textId="075B5A4C" w:rsidR="00A23BE4" w:rsidRPr="00A23BE4" w:rsidRDefault="00A23BE4" w:rsidP="00A23BE4">
      <w:pPr>
        <w:pStyle w:val="ListParagraph"/>
        <w:numPr>
          <w:ilvl w:val="0"/>
          <w:numId w:val="1"/>
        </w:numPr>
      </w:pPr>
      <w:r>
        <w:t xml:space="preserve">The Open-ended Credit: </w:t>
      </w:r>
      <w:r w:rsidRPr="00A23BE4">
        <w:t>loans are made on a continuous basis as you purchase items, and you are billed periodically to make at least partial payment</w:t>
      </w:r>
      <w:r w:rsidR="009E786D">
        <w:t xml:space="preserve">. </w:t>
      </w:r>
      <w:r w:rsidRPr="00A23BE4">
        <w:t>There is a ma</w:t>
      </w:r>
      <w:r w:rsidR="009E786D">
        <w:t xml:space="preserve">ximum amount of credit that one can use, called </w:t>
      </w:r>
      <w:r w:rsidRPr="00A23BE4">
        <w:t>line of credit. Unless you pay off the debt in full each month, you will often have to pay a high-rate of interest or other kinds of finance charges for the use of credit.</w:t>
      </w:r>
    </w:p>
    <w:p w14:paraId="632D47D5" w14:textId="56A3C44A" w:rsidR="00A23BE4" w:rsidRPr="00B36EA4" w:rsidRDefault="009E786D" w:rsidP="00A23BE4">
      <w:pPr>
        <w:pStyle w:val="ListParagraph"/>
      </w:pPr>
      <w:r w:rsidRPr="00A23BE4">
        <w:t>Using a credit card issued by a store, a bank card such as VISA or MasterCard, or overdraft protection are examples of open-end credit</w:t>
      </w:r>
      <w:r>
        <w:t>.</w:t>
      </w:r>
    </w:p>
    <w:p w14:paraId="46F037C0" w14:textId="77777777" w:rsidR="00B36EA4" w:rsidRDefault="00B36EA4" w:rsidP="00B36EA4">
      <w:r w:rsidRPr="00B36EA4">
        <w:t> </w:t>
      </w:r>
    </w:p>
    <w:p w14:paraId="6B7F5B83" w14:textId="77777777" w:rsidR="00357FDF" w:rsidRPr="00B36EA4" w:rsidRDefault="00357FDF" w:rsidP="00B36EA4"/>
    <w:p w14:paraId="0897A9E1" w14:textId="77777777" w:rsidR="00B36EA4" w:rsidRPr="00357FDF" w:rsidRDefault="00B36EA4" w:rsidP="00B36EA4">
      <w:pPr>
        <w:rPr>
          <w:i/>
          <w:color w:val="1F4E79" w:themeColor="accent1" w:themeShade="80"/>
        </w:rPr>
      </w:pPr>
      <w:r w:rsidRPr="00357FDF">
        <w:rPr>
          <w:i/>
          <w:color w:val="1F4E79" w:themeColor="accent1" w:themeShade="80"/>
        </w:rPr>
        <w:t>4) What are the general rules of measuring credit capacity?</w:t>
      </w:r>
    </w:p>
    <w:p w14:paraId="63AE2AF0" w14:textId="7D504645" w:rsidR="009E786D" w:rsidRDefault="0096525B" w:rsidP="00B36EA4">
      <w:pPr>
        <w:rPr>
          <w:color w:val="000000" w:themeColor="text1"/>
        </w:rPr>
      </w:pPr>
      <w:r>
        <w:rPr>
          <w:color w:val="000000" w:themeColor="text1"/>
        </w:rPr>
        <w:t>There are 2 general rules of measuring credit capability.</w:t>
      </w:r>
    </w:p>
    <w:p w14:paraId="4061A6FE" w14:textId="00794234" w:rsidR="0096525B" w:rsidRDefault="0096525B" w:rsidP="0096525B">
      <w:pPr>
        <w:pStyle w:val="ListParagraph"/>
        <w:numPr>
          <w:ilvl w:val="0"/>
          <w:numId w:val="2"/>
        </w:numPr>
        <w:rPr>
          <w:color w:val="000000" w:themeColor="text1"/>
        </w:rPr>
      </w:pPr>
      <w:r>
        <w:rPr>
          <w:color w:val="000000" w:themeColor="text1"/>
        </w:rPr>
        <w:t>Debt payment to monthly income: by adding all monthly expenses not including mortgage and divide this amount by monthly income. The result should not exceed 20% while the preferred rate is approximately 15%.</w:t>
      </w:r>
    </w:p>
    <w:p w14:paraId="136E1070" w14:textId="18660347" w:rsidR="0096525B" w:rsidRPr="0096525B" w:rsidRDefault="0096525B" w:rsidP="0096525B">
      <w:pPr>
        <w:pStyle w:val="ListParagraph"/>
        <w:numPr>
          <w:ilvl w:val="0"/>
          <w:numId w:val="2"/>
        </w:numPr>
        <w:rPr>
          <w:color w:val="000000" w:themeColor="text1"/>
        </w:rPr>
      </w:pPr>
      <w:r>
        <w:rPr>
          <w:color w:val="000000" w:themeColor="text1"/>
        </w:rPr>
        <w:t xml:space="preserve">Debt to Equity: by </w:t>
      </w:r>
      <w:r w:rsidR="00165633">
        <w:rPr>
          <w:color w:val="000000" w:themeColor="text1"/>
        </w:rPr>
        <w:t>dividing liabilities by personal net worth</w:t>
      </w:r>
    </w:p>
    <w:p w14:paraId="3D5CCA25" w14:textId="77777777" w:rsidR="00B36EA4" w:rsidRPr="009E786D" w:rsidRDefault="00B36EA4" w:rsidP="00B36EA4">
      <w:pPr>
        <w:rPr>
          <w:color w:val="2F5496" w:themeColor="accent5" w:themeShade="BF"/>
        </w:rPr>
      </w:pPr>
      <w:r w:rsidRPr="009E786D">
        <w:rPr>
          <w:color w:val="2F5496" w:themeColor="accent5" w:themeShade="BF"/>
        </w:rPr>
        <w:t> </w:t>
      </w:r>
    </w:p>
    <w:p w14:paraId="2BC3CA21" w14:textId="77777777" w:rsidR="00B36EA4" w:rsidRPr="00357FDF" w:rsidRDefault="00B36EA4" w:rsidP="00B36EA4">
      <w:pPr>
        <w:rPr>
          <w:i/>
          <w:color w:val="1F4E79" w:themeColor="accent1" w:themeShade="80"/>
        </w:rPr>
      </w:pPr>
      <w:r w:rsidRPr="00357FDF">
        <w:rPr>
          <w:i/>
          <w:color w:val="1F4E79" w:themeColor="accent1" w:themeShade="80"/>
        </w:rPr>
        <w:t>5) A few years ago, Michael Tucker purchased a home for $100,000. Today, the home is worth $150,000. His remaining mortgage balance is $50,000. Assuming that Michael can borrow up to 80 percent of the market value, what is the maximum amount he can borrow?</w:t>
      </w:r>
    </w:p>
    <w:p w14:paraId="0D13E4EA" w14:textId="793A11A0" w:rsidR="00357FDF" w:rsidRPr="00357FDF" w:rsidRDefault="00357FDF" w:rsidP="00357FDF">
      <w:pPr>
        <w:ind w:left="426"/>
      </w:pPr>
      <w:r>
        <w:t xml:space="preserve">In this case, an appraised value of home is equal to </w:t>
      </w:r>
      <w:r w:rsidRPr="00357FDF">
        <w:t>$150,000</w:t>
      </w:r>
      <w:r>
        <w:t>, then, the p</w:t>
      </w:r>
      <w:r w:rsidRPr="00357FDF">
        <w:t xml:space="preserve">otential maximum for </w:t>
      </w:r>
      <w:r>
        <w:t>Home Equity Line of Credit and Regular M</w:t>
      </w:r>
      <w:r w:rsidRPr="00357FDF">
        <w:t>ort</w:t>
      </w:r>
      <w:r>
        <w:t xml:space="preserve">gage Combine which </w:t>
      </w:r>
      <w:r w:rsidRPr="00357FDF">
        <w:t>ba</w:t>
      </w:r>
      <w:r>
        <w:t xml:space="preserve">sed on appraised value (max 80%) will be </w:t>
      </w:r>
      <w:r w:rsidRPr="00357FDF">
        <w:t>$120,000​</w:t>
      </w:r>
      <w:r>
        <w:t>. To find the maximum amount Michael can borrow, the balance owed on mortgage of $50,000 must be deducted.</w:t>
      </w:r>
    </w:p>
    <w:p w14:paraId="112E21EB" w14:textId="275A9EB7" w:rsidR="00B36EA4" w:rsidRDefault="00357FDF" w:rsidP="00357FDF">
      <w:r>
        <w:t xml:space="preserve">Therefore, the </w:t>
      </w:r>
      <w:r w:rsidRPr="00357FDF">
        <w:t>Maximum credit limit o</w:t>
      </w:r>
      <w:r>
        <w:t xml:space="preserve">n Home Equity Line of Credit is equal to </w:t>
      </w:r>
      <w:r w:rsidRPr="00357FDF">
        <w:t>$70,000</w:t>
      </w:r>
      <w:r>
        <w:t>.</w:t>
      </w:r>
    </w:p>
    <w:sectPr w:rsidR="00B36EA4" w:rsidSect="00D85FC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3613E59"/>
    <w:multiLevelType w:val="hybridMultilevel"/>
    <w:tmpl w:val="18B65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2C0FE0"/>
    <w:multiLevelType w:val="hybridMultilevel"/>
    <w:tmpl w:val="CE5E8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CE13E8F"/>
    <w:multiLevelType w:val="hybridMultilevel"/>
    <w:tmpl w:val="17489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D7008AB"/>
    <w:multiLevelType w:val="hybridMultilevel"/>
    <w:tmpl w:val="17489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EA4"/>
    <w:rsid w:val="000C43EB"/>
    <w:rsid w:val="00165633"/>
    <w:rsid w:val="00296357"/>
    <w:rsid w:val="00357FDF"/>
    <w:rsid w:val="007C040C"/>
    <w:rsid w:val="007E1829"/>
    <w:rsid w:val="0096525B"/>
    <w:rsid w:val="009E786D"/>
    <w:rsid w:val="00A23BE4"/>
    <w:rsid w:val="00A6348D"/>
    <w:rsid w:val="00AB09D3"/>
    <w:rsid w:val="00AF21F4"/>
    <w:rsid w:val="00B36EA4"/>
    <w:rsid w:val="00B41006"/>
    <w:rsid w:val="00BC7AA4"/>
    <w:rsid w:val="00BE4BE3"/>
    <w:rsid w:val="00C27C8C"/>
    <w:rsid w:val="00C73E9F"/>
    <w:rsid w:val="00D85FCD"/>
    <w:rsid w:val="00E46699"/>
    <w:rsid w:val="00E72EF2"/>
    <w:rsid w:val="00EA3B99"/>
    <w:rsid w:val="00EE0200"/>
    <w:rsid w:val="00FA1A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8A46E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FCD"/>
    <w:rPr>
      <w:rFonts w:ascii="Angsana New" w:hAnsi="Angsana New"/>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43EB"/>
    <w:pPr>
      <w:ind w:left="720"/>
      <w:contextualSpacing/>
    </w:pPr>
  </w:style>
  <w:style w:type="paragraph" w:styleId="NormalWeb">
    <w:name w:val="Normal (Web)"/>
    <w:basedOn w:val="Normal"/>
    <w:uiPriority w:val="99"/>
    <w:semiHidden/>
    <w:unhideWhenUsed/>
    <w:rsid w:val="00A23BE4"/>
    <w:rPr>
      <w:rFonts w:ascii="Times New Roman" w:hAnsi="Times New Roman" w:cs="Times New Roman"/>
      <w:sz w:val="24"/>
    </w:rPr>
  </w:style>
  <w:style w:type="character" w:styleId="Hyperlink">
    <w:name w:val="Hyperlink"/>
    <w:basedOn w:val="DefaultParagraphFont"/>
    <w:uiPriority w:val="99"/>
    <w:unhideWhenUsed/>
    <w:rsid w:val="00FA1A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33198">
      <w:bodyDiv w:val="1"/>
      <w:marLeft w:val="0"/>
      <w:marRight w:val="0"/>
      <w:marTop w:val="0"/>
      <w:marBottom w:val="0"/>
      <w:divBdr>
        <w:top w:val="none" w:sz="0" w:space="0" w:color="auto"/>
        <w:left w:val="none" w:sz="0" w:space="0" w:color="auto"/>
        <w:bottom w:val="none" w:sz="0" w:space="0" w:color="auto"/>
        <w:right w:val="none" w:sz="0" w:space="0" w:color="auto"/>
      </w:divBdr>
    </w:div>
    <w:div w:id="109135250">
      <w:bodyDiv w:val="1"/>
      <w:marLeft w:val="0"/>
      <w:marRight w:val="0"/>
      <w:marTop w:val="0"/>
      <w:marBottom w:val="0"/>
      <w:divBdr>
        <w:top w:val="none" w:sz="0" w:space="0" w:color="auto"/>
        <w:left w:val="none" w:sz="0" w:space="0" w:color="auto"/>
        <w:bottom w:val="none" w:sz="0" w:space="0" w:color="auto"/>
        <w:right w:val="none" w:sz="0" w:space="0" w:color="auto"/>
      </w:divBdr>
    </w:div>
    <w:div w:id="119957378">
      <w:bodyDiv w:val="1"/>
      <w:marLeft w:val="0"/>
      <w:marRight w:val="0"/>
      <w:marTop w:val="0"/>
      <w:marBottom w:val="0"/>
      <w:divBdr>
        <w:top w:val="none" w:sz="0" w:space="0" w:color="auto"/>
        <w:left w:val="none" w:sz="0" w:space="0" w:color="auto"/>
        <w:bottom w:val="none" w:sz="0" w:space="0" w:color="auto"/>
        <w:right w:val="none" w:sz="0" w:space="0" w:color="auto"/>
      </w:divBdr>
    </w:div>
    <w:div w:id="185756352">
      <w:bodyDiv w:val="1"/>
      <w:marLeft w:val="0"/>
      <w:marRight w:val="0"/>
      <w:marTop w:val="0"/>
      <w:marBottom w:val="0"/>
      <w:divBdr>
        <w:top w:val="none" w:sz="0" w:space="0" w:color="auto"/>
        <w:left w:val="none" w:sz="0" w:space="0" w:color="auto"/>
        <w:bottom w:val="none" w:sz="0" w:space="0" w:color="auto"/>
        <w:right w:val="none" w:sz="0" w:space="0" w:color="auto"/>
      </w:divBdr>
    </w:div>
    <w:div w:id="760104815">
      <w:bodyDiv w:val="1"/>
      <w:marLeft w:val="0"/>
      <w:marRight w:val="0"/>
      <w:marTop w:val="0"/>
      <w:marBottom w:val="0"/>
      <w:divBdr>
        <w:top w:val="none" w:sz="0" w:space="0" w:color="auto"/>
        <w:left w:val="none" w:sz="0" w:space="0" w:color="auto"/>
        <w:bottom w:val="none" w:sz="0" w:space="0" w:color="auto"/>
        <w:right w:val="none" w:sz="0" w:space="0" w:color="auto"/>
      </w:divBdr>
    </w:div>
    <w:div w:id="838499122">
      <w:bodyDiv w:val="1"/>
      <w:marLeft w:val="0"/>
      <w:marRight w:val="0"/>
      <w:marTop w:val="0"/>
      <w:marBottom w:val="0"/>
      <w:divBdr>
        <w:top w:val="none" w:sz="0" w:space="0" w:color="auto"/>
        <w:left w:val="none" w:sz="0" w:space="0" w:color="auto"/>
        <w:bottom w:val="none" w:sz="0" w:space="0" w:color="auto"/>
        <w:right w:val="none" w:sz="0" w:space="0" w:color="auto"/>
      </w:divBdr>
    </w:div>
    <w:div w:id="1129054766">
      <w:bodyDiv w:val="1"/>
      <w:marLeft w:val="0"/>
      <w:marRight w:val="0"/>
      <w:marTop w:val="0"/>
      <w:marBottom w:val="0"/>
      <w:divBdr>
        <w:top w:val="none" w:sz="0" w:space="0" w:color="auto"/>
        <w:left w:val="none" w:sz="0" w:space="0" w:color="auto"/>
        <w:bottom w:val="none" w:sz="0" w:space="0" w:color="auto"/>
        <w:right w:val="none" w:sz="0" w:space="0" w:color="auto"/>
      </w:divBdr>
    </w:div>
    <w:div w:id="1314529346">
      <w:bodyDiv w:val="1"/>
      <w:marLeft w:val="0"/>
      <w:marRight w:val="0"/>
      <w:marTop w:val="0"/>
      <w:marBottom w:val="0"/>
      <w:divBdr>
        <w:top w:val="none" w:sz="0" w:space="0" w:color="auto"/>
        <w:left w:val="none" w:sz="0" w:space="0" w:color="auto"/>
        <w:bottom w:val="none" w:sz="0" w:space="0" w:color="auto"/>
        <w:right w:val="none" w:sz="0" w:space="0" w:color="auto"/>
      </w:divBdr>
    </w:div>
    <w:div w:id="1340111848">
      <w:bodyDiv w:val="1"/>
      <w:marLeft w:val="0"/>
      <w:marRight w:val="0"/>
      <w:marTop w:val="0"/>
      <w:marBottom w:val="0"/>
      <w:divBdr>
        <w:top w:val="none" w:sz="0" w:space="0" w:color="auto"/>
        <w:left w:val="none" w:sz="0" w:space="0" w:color="auto"/>
        <w:bottom w:val="none" w:sz="0" w:space="0" w:color="auto"/>
        <w:right w:val="none" w:sz="0" w:space="0" w:color="auto"/>
      </w:divBdr>
    </w:div>
    <w:div w:id="15430598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ia.co.th/customer" TargetMode="External"/><Relationship Id="rId6" Type="http://schemas.openxmlformats.org/officeDocument/2006/relationships/hyperlink" Target="http://www.aia.co.th/content/dam/th/th/docs/brochure/Update2015AIALINK_RP_web%20resize.pdf"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3</Pages>
  <Words>880</Words>
  <Characters>5016</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2016-03-21T06:07:00Z</dcterms:created>
  <dcterms:modified xsi:type="dcterms:W3CDTF">2016-04-01T16:51:00Z</dcterms:modified>
</cp:coreProperties>
</file>