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F3F9C" w14:textId="77777777" w:rsidR="00C62900" w:rsidRPr="00772C49" w:rsidRDefault="00767F99">
      <w:pPr>
        <w:rPr>
          <w:sz w:val="22"/>
          <w:szCs w:val="22"/>
          <w:lang w:val="en-US"/>
        </w:rPr>
      </w:pPr>
      <w:r w:rsidRPr="00987897">
        <w:rPr>
          <w:sz w:val="22"/>
          <w:szCs w:val="22"/>
          <w:lang w:val="en-US"/>
        </w:rPr>
        <w:tab/>
      </w:r>
    </w:p>
    <w:p w14:paraId="66E69012" w14:textId="39B6395B" w:rsidR="00876EEA" w:rsidRPr="00772C49" w:rsidRDefault="00B60C75" w:rsidP="00C62900">
      <w:pPr>
        <w:ind w:firstLine="720"/>
        <w:rPr>
          <w:rFonts w:ascii="Times New Roman" w:hAnsi="Times New Roman" w:cs="Times New Roman"/>
          <w:sz w:val="22"/>
          <w:szCs w:val="22"/>
          <w:lang w:val="en-US"/>
        </w:rPr>
      </w:pPr>
      <w:r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The average return on equity is significantly more than the </w:t>
      </w:r>
      <w:r w:rsidR="00600EC5" w:rsidRPr="00772C49">
        <w:rPr>
          <w:rFonts w:ascii="Times New Roman" w:hAnsi="Times New Roman" w:cs="Times New Roman"/>
          <w:sz w:val="22"/>
          <w:szCs w:val="22"/>
          <w:lang w:val="en-US"/>
        </w:rPr>
        <w:t>short-term risk-free</w:t>
      </w:r>
      <w:r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debt</w:t>
      </w:r>
      <w:r w:rsidR="00600EC5" w:rsidRPr="00772C49">
        <w:rPr>
          <w:rFonts w:ascii="Times New Roman" w:hAnsi="Times New Roman" w:cs="Times New Roman"/>
          <w:sz w:val="22"/>
          <w:szCs w:val="22"/>
          <w:lang w:val="en-US"/>
        </w:rPr>
        <w:t>. Over the period of 1889-1978, the average return according to S&amp;P500 index yiel</w:t>
      </w:r>
      <w:r w:rsidR="00F4026B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ds </w:t>
      </w:r>
      <w:r w:rsidR="002F72BA" w:rsidRPr="00772C49">
        <w:rPr>
          <w:rFonts w:ascii="Times New Roman" w:hAnsi="Times New Roman" w:cs="Times New Roman"/>
          <w:sz w:val="22"/>
          <w:szCs w:val="22"/>
          <w:lang w:val="en-US"/>
        </w:rPr>
        <w:t>7 percent,</w:t>
      </w:r>
      <w:r w:rsidR="00F4026B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which is considerably more than the risk free,</w:t>
      </w:r>
      <w:r w:rsidR="002F72BA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less than</w:t>
      </w:r>
      <w:r w:rsidR="00F4026B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1%. </w:t>
      </w:r>
      <w:r w:rsidR="002F72BA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This paper going to try and answer the question that </w:t>
      </w:r>
      <w:r w:rsidR="00E37093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the difference of the yield can be accounted </w:t>
      </w:r>
      <w:r w:rsidR="00F45362" w:rsidRPr="00772C49">
        <w:rPr>
          <w:rFonts w:ascii="Times New Roman" w:hAnsi="Times New Roman" w:cs="Times New Roman"/>
          <w:sz w:val="22"/>
          <w:szCs w:val="22"/>
          <w:lang w:val="en-US"/>
        </w:rPr>
        <w:t>for by model that abstract from transactions cost, liquidity constraint and other frictions absent f</w:t>
      </w:r>
      <w:r w:rsidR="009B3040" w:rsidRPr="00772C49">
        <w:rPr>
          <w:rFonts w:ascii="Times New Roman" w:hAnsi="Times New Roman" w:cs="Times New Roman"/>
          <w:sz w:val="22"/>
          <w:szCs w:val="22"/>
          <w:lang w:val="en-US"/>
        </w:rPr>
        <w:t>r</w:t>
      </w:r>
      <w:r w:rsidR="00F45362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om the </w:t>
      </w:r>
      <w:r w:rsidR="009B3040" w:rsidRPr="00772C49">
        <w:rPr>
          <w:rFonts w:ascii="Times New Roman" w:hAnsi="Times New Roman" w:cs="Times New Roman"/>
          <w:sz w:val="22"/>
          <w:szCs w:val="22"/>
          <w:lang w:val="en-US"/>
        </w:rPr>
        <w:t>Arrow-Debreu set-up</w:t>
      </w:r>
      <w:r w:rsidR="009F7199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. This paper </w:t>
      </w:r>
      <w:r w:rsidR="0055469C" w:rsidRPr="00772C49">
        <w:rPr>
          <w:rFonts w:ascii="Times New Roman" w:hAnsi="Times New Roman" w:cs="Times New Roman"/>
          <w:sz w:val="22"/>
          <w:szCs w:val="22"/>
          <w:lang w:val="en-US"/>
        </w:rPr>
        <w:t>use estimates that is designed to be</w:t>
      </w:r>
      <w:r w:rsidR="00DB6609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a better estimate for better economics parameter, but not with the quantitative theoretical designed to </w:t>
      </w:r>
      <w:r w:rsidR="003B0B7C" w:rsidRPr="00772C49">
        <w:rPr>
          <w:rFonts w:ascii="Times New Roman" w:hAnsi="Times New Roman" w:cs="Times New Roman"/>
          <w:sz w:val="22"/>
          <w:szCs w:val="22"/>
          <w:lang w:val="en-US"/>
        </w:rPr>
        <w:t>for some other question. In intuitive reason for why the low average</w:t>
      </w:r>
      <w:r w:rsidR="009A2F4B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real</w:t>
      </w:r>
      <w:r w:rsidR="003B0B7C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return</w:t>
      </w:r>
      <w:r w:rsidR="009A2F4B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and high average return on equity </w:t>
      </w:r>
      <w:r w:rsidR="000B55B1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cannot be rationalized in perfect market is that 1. </w:t>
      </w:r>
      <w:r w:rsidR="00B3731B" w:rsidRPr="00772C49">
        <w:rPr>
          <w:rFonts w:ascii="Times New Roman" w:hAnsi="Times New Roman" w:cs="Times New Roman"/>
          <w:sz w:val="22"/>
          <w:szCs w:val="22"/>
          <w:lang w:val="en-US"/>
        </w:rPr>
        <w:t>The elasticity of</w:t>
      </w:r>
      <w:r w:rsidR="00DE4300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substitution between t and t</w:t>
      </w:r>
      <w:r w:rsidR="00B81222" w:rsidRPr="00772C49">
        <w:rPr>
          <w:rFonts w:ascii="Times New Roman" w:hAnsi="Times New Roman" w:cs="Times New Roman"/>
          <w:sz w:val="22"/>
          <w:szCs w:val="22"/>
          <w:lang w:val="en-US"/>
        </w:rPr>
        <w:t>+1 is small.</w:t>
      </w:r>
      <w:r w:rsidR="008F470D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2. Agent with high r</w:t>
      </w:r>
      <w:r w:rsidR="00BD36E3" w:rsidRPr="00772C49">
        <w:rPr>
          <w:rFonts w:ascii="Times New Roman" w:hAnsi="Times New Roman" w:cs="Times New Roman"/>
          <w:sz w:val="22"/>
          <w:szCs w:val="22"/>
          <w:lang w:val="en-US"/>
        </w:rPr>
        <w:t>isk aversion</w:t>
      </w:r>
      <w:r w:rsidR="00CA0629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tends to </w:t>
      </w:r>
      <w:r w:rsidR="00CA0722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excessively discount compared to low risk aversion 3. Future consumption </w:t>
      </w:r>
      <w:r w:rsidR="00843966" w:rsidRPr="00772C49">
        <w:rPr>
          <w:rFonts w:ascii="Times New Roman" w:hAnsi="Times New Roman" w:cs="Times New Roman"/>
          <w:sz w:val="22"/>
          <w:szCs w:val="22"/>
          <w:lang w:val="en-US"/>
        </w:rPr>
        <w:t>will probably exceed the present consumption and with the marginal utility of future consumption is more than the present real interest rate will be higher.</w:t>
      </w:r>
    </w:p>
    <w:p w14:paraId="1EC328D5" w14:textId="36948528" w:rsidR="00372899" w:rsidRPr="00772C49" w:rsidRDefault="000B0B10" w:rsidP="00C62900">
      <w:pPr>
        <w:ind w:firstLine="720"/>
        <w:rPr>
          <w:rFonts w:ascii="Times New Roman" w:hAnsi="Times New Roman" w:cs="Times New Roman"/>
          <w:sz w:val="22"/>
          <w:szCs w:val="22"/>
          <w:lang w:val="en-US"/>
        </w:rPr>
      </w:pPr>
      <w:r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The data used is from the </w:t>
      </w:r>
      <w:r w:rsidR="00372899" w:rsidRPr="00772C49">
        <w:rPr>
          <w:rFonts w:ascii="Times New Roman" w:hAnsi="Times New Roman" w:cs="Times New Roman"/>
          <w:sz w:val="22"/>
          <w:szCs w:val="22"/>
          <w:lang w:val="en-US"/>
        </w:rPr>
        <w:t>U.S. historical experience of the</w:t>
      </w:r>
      <w:r w:rsidR="00C5699B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1889-1978</w:t>
      </w:r>
      <w:r w:rsidR="00837E92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consisting with 5 series, 1. Series P, </w:t>
      </w:r>
      <w:r w:rsidR="00B42AE5" w:rsidRPr="00772C49">
        <w:rPr>
          <w:rFonts w:ascii="Times New Roman" w:hAnsi="Times New Roman" w:cs="Times New Roman"/>
          <w:sz w:val="22"/>
          <w:szCs w:val="22"/>
          <w:lang w:val="en-US"/>
        </w:rPr>
        <w:t>Annual average S&amp;P composite stock price index divided by consumption deflator</w:t>
      </w:r>
      <w:r w:rsidR="006B5144" w:rsidRPr="00772C49">
        <w:rPr>
          <w:rFonts w:ascii="Times New Roman" w:hAnsi="Times New Roman" w:cs="Times New Roman"/>
          <w:sz w:val="22"/>
          <w:szCs w:val="22"/>
          <w:lang w:val="en-US"/>
        </w:rPr>
        <w:t>.</w:t>
      </w:r>
      <w:r w:rsidR="00B42AE5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2. Series D, Real annual </w:t>
      </w:r>
      <w:r w:rsidR="006B5144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dividend for S&amp;P series. 3. Series C, </w:t>
      </w:r>
      <w:r w:rsidR="009D0746" w:rsidRPr="00772C49">
        <w:rPr>
          <w:rFonts w:ascii="Times New Roman" w:hAnsi="Times New Roman" w:cs="Times New Roman"/>
          <w:sz w:val="22"/>
          <w:szCs w:val="22"/>
          <w:lang w:val="en-US"/>
        </w:rPr>
        <w:t>per capita consumption on non-durable goods and services. 4.</w:t>
      </w:r>
      <w:r w:rsidR="001C4869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Series PC, a consumption deflator series </w:t>
      </w:r>
      <w:r w:rsidR="005047A0" w:rsidRPr="00772C49">
        <w:rPr>
          <w:rFonts w:ascii="Times New Roman" w:hAnsi="Times New Roman" w:cs="Times New Roman"/>
          <w:sz w:val="22"/>
          <w:szCs w:val="22"/>
          <w:lang w:val="en-US"/>
        </w:rPr>
        <w:t>5. Series RF, nominal yield on riskless ST securities</w:t>
      </w:r>
      <w:r w:rsidR="00716C51" w:rsidRPr="00772C49">
        <w:rPr>
          <w:rFonts w:ascii="Times New Roman" w:hAnsi="Times New Roman" w:cs="Times New Roman"/>
          <w:sz w:val="22"/>
          <w:szCs w:val="22"/>
          <w:lang w:val="en-US"/>
        </w:rPr>
        <w:t>.</w:t>
      </w:r>
    </w:p>
    <w:p w14:paraId="7AC52F96" w14:textId="505A94B1" w:rsidR="00716C51" w:rsidRPr="00772C49" w:rsidRDefault="00716C51" w:rsidP="00C62900">
      <w:pPr>
        <w:ind w:firstLine="720"/>
        <w:rPr>
          <w:rFonts w:ascii="Times New Roman" w:hAnsi="Times New Roman" w:cs="Times New Roman"/>
          <w:sz w:val="22"/>
          <w:szCs w:val="22"/>
          <w:lang w:val="en-US"/>
        </w:rPr>
      </w:pPr>
      <w:r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In the economy, asset prices and returns, </w:t>
      </w:r>
      <w:r w:rsidR="00356F75" w:rsidRPr="00772C49">
        <w:rPr>
          <w:rFonts w:ascii="Times New Roman" w:hAnsi="Times New Roman" w:cs="Times New Roman"/>
          <w:sz w:val="22"/>
          <w:szCs w:val="22"/>
          <w:lang w:val="en-US"/>
        </w:rPr>
        <w:t>in the paper they use the pure exchange mo</w:t>
      </w:r>
      <w:r w:rsidR="0067181C" w:rsidRPr="00772C49">
        <w:rPr>
          <w:rFonts w:ascii="Times New Roman" w:hAnsi="Times New Roman" w:cs="Times New Roman"/>
          <w:sz w:val="22"/>
          <w:szCs w:val="22"/>
          <w:lang w:val="en-US"/>
        </w:rPr>
        <w:t>del because the per capita consumption growth with assumption that the rate follows a Markov process</w:t>
      </w:r>
      <w:r w:rsidR="00D645C1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allowing us to </w:t>
      </w:r>
      <w:r w:rsidR="00A260FF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capture the non-stationarity in the consumption </w:t>
      </w:r>
      <w:r w:rsidR="005715AA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series. </w:t>
      </w:r>
      <w:r w:rsidR="00DF1846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The economy they choose to use has a </w:t>
      </w:r>
      <w:r w:rsidR="0094662F" w:rsidRPr="00772C49">
        <w:rPr>
          <w:rFonts w:ascii="Times New Roman" w:hAnsi="Times New Roman" w:cs="Times New Roman"/>
          <w:sz w:val="22"/>
          <w:szCs w:val="22"/>
          <w:lang w:val="en-US"/>
        </w:rPr>
        <w:t>representative stand-in household.</w:t>
      </w:r>
      <w:r w:rsidR="00A02D68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AA7DC9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The paper then shows us various equation taken </w:t>
      </w:r>
      <w:r w:rsidR="00951730" w:rsidRPr="00772C49">
        <w:rPr>
          <w:rFonts w:ascii="Times New Roman" w:hAnsi="Times New Roman" w:cs="Times New Roman"/>
          <w:sz w:val="22"/>
          <w:szCs w:val="22"/>
          <w:lang w:val="en-US"/>
        </w:rPr>
        <w:t>into</w:t>
      </w:r>
      <w:r w:rsidR="00AA7DC9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account in this paper to lead to the conclusion.</w:t>
      </w:r>
    </w:p>
    <w:p w14:paraId="7B546617" w14:textId="03CF9ED7" w:rsidR="00446686" w:rsidRPr="00772C49" w:rsidRDefault="00446686" w:rsidP="00C62900">
      <w:pPr>
        <w:ind w:firstLine="720"/>
        <w:rPr>
          <w:rFonts w:ascii="Times New Roman" w:hAnsi="Times New Roman" w:cs="Times New Roman"/>
          <w:sz w:val="22"/>
          <w:szCs w:val="22"/>
          <w:lang w:val="en-US"/>
        </w:rPr>
      </w:pPr>
      <w:r w:rsidRPr="00772C49">
        <w:rPr>
          <w:rFonts w:ascii="Times New Roman" w:hAnsi="Times New Roman" w:cs="Times New Roman"/>
          <w:sz w:val="22"/>
          <w:szCs w:val="22"/>
          <w:lang w:val="en-US"/>
        </w:rPr>
        <w:t>The results,</w:t>
      </w:r>
      <w:r w:rsidR="00846E98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with parameter representing preferences as alpha and beta while for the technology are </w:t>
      </w:r>
      <w:r w:rsidR="006B6C20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phi and </w:t>
      </w:r>
      <w:r w:rsidR="00CE446C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lambda. The process required delta to be more than 1 and phi to be between 0 and 1 because it allows them to independently change the average growth rate of output by simply change </w:t>
      </w:r>
      <w:r w:rsidR="00BF5E75" w:rsidRPr="00772C49">
        <w:rPr>
          <w:rFonts w:ascii="Times New Roman" w:hAnsi="Times New Roman" w:cs="Times New Roman"/>
          <w:sz w:val="22"/>
          <w:szCs w:val="22"/>
          <w:lang w:val="en-US"/>
        </w:rPr>
        <w:t>mu and changing the variability of consumption by changing de</w:t>
      </w:r>
      <w:r w:rsidR="00F8346A" w:rsidRPr="00772C49">
        <w:rPr>
          <w:rFonts w:ascii="Times New Roman" w:hAnsi="Times New Roman" w:cs="Times New Roman"/>
          <w:sz w:val="22"/>
          <w:szCs w:val="22"/>
          <w:lang w:val="en-US"/>
        </w:rPr>
        <w:t>lta and the serial correlation by changing phi.</w:t>
      </w:r>
      <w:r w:rsidR="00886919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These parameters are selected because </w:t>
      </w:r>
      <w:r w:rsidR="000C23AD" w:rsidRPr="00772C49">
        <w:rPr>
          <w:rFonts w:ascii="Times New Roman" w:hAnsi="Times New Roman" w:cs="Times New Roman"/>
          <w:sz w:val="22"/>
          <w:szCs w:val="22"/>
          <w:lang w:val="en-US"/>
        </w:rPr>
        <w:t>the result matched the sample values of the US economy</w:t>
      </w:r>
      <w:r w:rsidR="00910F09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. The parameter alpha, imply the WTP to </w:t>
      </w:r>
      <w:r w:rsidR="008E714C" w:rsidRPr="00772C49">
        <w:rPr>
          <w:rFonts w:ascii="Times New Roman" w:hAnsi="Times New Roman" w:cs="Times New Roman"/>
          <w:sz w:val="22"/>
          <w:szCs w:val="22"/>
          <w:lang w:val="en-US"/>
        </w:rPr>
        <w:t>substitute</w:t>
      </w:r>
      <w:r w:rsidR="00910F09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con</w:t>
      </w:r>
      <w:r w:rsidR="008E714C" w:rsidRPr="00772C49">
        <w:rPr>
          <w:rFonts w:ascii="Times New Roman" w:hAnsi="Times New Roman" w:cs="Times New Roman"/>
          <w:sz w:val="22"/>
          <w:szCs w:val="22"/>
          <w:lang w:val="en-US"/>
        </w:rPr>
        <w:t>sumption intertemporally</w:t>
      </w:r>
      <w:r w:rsidR="003C19E0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with the maximum value of 10 else, it will contradict many studies. </w:t>
      </w:r>
      <w:r w:rsidR="005543E2" w:rsidRPr="00772C49">
        <w:rPr>
          <w:rFonts w:ascii="Times New Roman" w:hAnsi="Times New Roman" w:cs="Times New Roman"/>
          <w:sz w:val="22"/>
          <w:szCs w:val="22"/>
          <w:lang w:val="en-US"/>
        </w:rPr>
        <w:t>With alpha less than 10, it can be concluded that the results were the same for different consumption processes</w:t>
      </w:r>
      <w:r w:rsidR="00585C67" w:rsidRPr="00772C49">
        <w:rPr>
          <w:rFonts w:ascii="Times New Roman" w:hAnsi="Times New Roman" w:cs="Times New Roman"/>
          <w:sz w:val="22"/>
          <w:szCs w:val="22"/>
          <w:lang w:val="en-US"/>
        </w:rPr>
        <w:t>. The average real return on relatively ST riskless asset</w:t>
      </w:r>
      <w:r w:rsidR="001A75F6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does not perfectly </w:t>
      </w:r>
      <w:r w:rsidR="009442AD" w:rsidRPr="00772C49">
        <w:rPr>
          <w:rFonts w:ascii="Times New Roman" w:hAnsi="Times New Roman" w:cs="Times New Roman"/>
          <w:sz w:val="22"/>
          <w:szCs w:val="22"/>
          <w:lang w:val="en-US"/>
        </w:rPr>
        <w:t>match</w:t>
      </w:r>
      <w:r w:rsidR="001A75F6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the real bill</w:t>
      </w:r>
      <w:r w:rsidR="00AA7DC9" w:rsidRPr="00772C49">
        <w:rPr>
          <w:rFonts w:ascii="Times New Roman" w:hAnsi="Times New Roman" w:cs="Times New Roman"/>
          <w:sz w:val="22"/>
          <w:szCs w:val="22"/>
          <w:lang w:val="en-US"/>
        </w:rPr>
        <w:t>.</w:t>
      </w:r>
      <w:r w:rsidR="00F723E4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The estimated process on consumption </w:t>
      </w:r>
      <w:r w:rsidR="00BF1EFD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gives the average risk-free rate and equity </w:t>
      </w:r>
      <w:r w:rsidR="00951730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risk premium consistency with the result of average risk-free between 0 and 4 percent which can be obtained by changing </w:t>
      </w:r>
      <w:r w:rsidR="00B608C3" w:rsidRPr="00772C49">
        <w:rPr>
          <w:rFonts w:ascii="Times New Roman" w:hAnsi="Times New Roman" w:cs="Times New Roman"/>
          <w:sz w:val="22"/>
          <w:szCs w:val="22"/>
          <w:lang w:val="en-US"/>
        </w:rPr>
        <w:t>alpha between 0 and 10 and beta between 1 and 0</w:t>
      </w:r>
      <w:r w:rsidR="00BC59C1" w:rsidRPr="00772C49">
        <w:rPr>
          <w:rFonts w:ascii="Times New Roman" w:hAnsi="Times New Roman" w:cs="Times New Roman"/>
          <w:sz w:val="22"/>
          <w:szCs w:val="22"/>
          <w:lang w:val="en-US"/>
        </w:rPr>
        <w:t>. While the observed of real return of 0.8 percent for risk free and 6 percent for equity premium is inconsistence</w:t>
      </w:r>
      <w:r w:rsidR="00860A8A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and the largest premium able to obtain </w:t>
      </w:r>
      <w:r w:rsidR="00554B48" w:rsidRPr="00772C49">
        <w:rPr>
          <w:rFonts w:ascii="Times New Roman" w:hAnsi="Times New Roman" w:cs="Times New Roman"/>
          <w:sz w:val="22"/>
          <w:szCs w:val="22"/>
          <w:lang w:val="en-US"/>
        </w:rPr>
        <w:t>this</w:t>
      </w:r>
      <w:r w:rsidR="00860A8A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paper model is 0.35% which is not </w:t>
      </w:r>
      <w:r w:rsidR="00554B48" w:rsidRPr="00772C49">
        <w:rPr>
          <w:rFonts w:ascii="Times New Roman" w:hAnsi="Times New Roman" w:cs="Times New Roman"/>
          <w:sz w:val="22"/>
          <w:szCs w:val="22"/>
          <w:lang w:val="en-US"/>
        </w:rPr>
        <w:t>close to the observed value</w:t>
      </w:r>
      <w:r w:rsidR="00BC59C1" w:rsidRPr="00772C49">
        <w:rPr>
          <w:rFonts w:ascii="Times New Roman" w:hAnsi="Times New Roman" w:cs="Times New Roman"/>
          <w:sz w:val="22"/>
          <w:szCs w:val="22"/>
          <w:lang w:val="en-US"/>
        </w:rPr>
        <w:t>.</w:t>
      </w:r>
    </w:p>
    <w:p w14:paraId="40CCD8BA" w14:textId="74FC78A3" w:rsidR="00554B48" w:rsidRPr="00772C49" w:rsidRDefault="00554B48" w:rsidP="00C62900">
      <w:pPr>
        <w:ind w:firstLine="720"/>
        <w:rPr>
          <w:rFonts w:ascii="Times New Roman" w:hAnsi="Times New Roman" w:cs="Times New Roman"/>
          <w:sz w:val="22"/>
          <w:szCs w:val="22"/>
          <w:lang w:val="en-US"/>
        </w:rPr>
      </w:pPr>
      <w:r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The robustness of results, </w:t>
      </w:r>
      <w:r w:rsidR="00C47E59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one problem that might offset the result is the inflation </w:t>
      </w:r>
      <w:r w:rsidR="00897B08" w:rsidRPr="00772C49">
        <w:rPr>
          <w:rFonts w:ascii="Times New Roman" w:hAnsi="Times New Roman" w:cs="Times New Roman"/>
          <w:sz w:val="22"/>
          <w:szCs w:val="22"/>
          <w:lang w:val="en-US"/>
        </w:rPr>
        <w:t>rate,</w:t>
      </w:r>
      <w:r w:rsidR="00037CB3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but the error does not disturb the computed risk premium </w:t>
      </w:r>
      <w:r w:rsidR="00897B08" w:rsidRPr="00772C49">
        <w:rPr>
          <w:rFonts w:ascii="Times New Roman" w:hAnsi="Times New Roman" w:cs="Times New Roman"/>
          <w:sz w:val="22"/>
          <w:szCs w:val="22"/>
          <w:lang w:val="en-US"/>
        </w:rPr>
        <w:t>as they influence the risk-free rate and the computed risk amount in the same magnitude. A more seriou</w:t>
      </w:r>
      <w:r w:rsidR="00631B3F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s problem is the tax </w:t>
      </w:r>
      <w:r w:rsidR="00333D56" w:rsidRPr="00772C49">
        <w:rPr>
          <w:rFonts w:ascii="Times New Roman" w:hAnsi="Times New Roman" w:cs="Times New Roman"/>
          <w:sz w:val="22"/>
          <w:szCs w:val="22"/>
          <w:lang w:val="en-US"/>
        </w:rPr>
        <w:t>consideration because</w:t>
      </w:r>
      <w:r w:rsidR="00ED5A40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it varies across each entity</w:t>
      </w:r>
      <w:r w:rsidR="00CC2BDF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. </w:t>
      </w:r>
      <w:r w:rsidR="00333D56" w:rsidRPr="00772C49">
        <w:rPr>
          <w:rFonts w:ascii="Times New Roman" w:hAnsi="Times New Roman" w:cs="Times New Roman"/>
          <w:sz w:val="22"/>
          <w:szCs w:val="22"/>
          <w:lang w:val="en-US"/>
        </w:rPr>
        <w:t>The test appears to be robust</w:t>
      </w:r>
      <w:r w:rsidR="000A4102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for the case that growth rate grows independently</w:t>
      </w:r>
      <w:r w:rsidR="00333D56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even the </w:t>
      </w:r>
      <w:r w:rsidR="00481DFF" w:rsidRPr="00772C49">
        <w:rPr>
          <w:rFonts w:ascii="Times New Roman" w:hAnsi="Times New Roman" w:cs="Times New Roman"/>
          <w:sz w:val="22"/>
          <w:szCs w:val="22"/>
          <w:lang w:val="en-US"/>
        </w:rPr>
        <w:t>one one-hundredths of a year t</w:t>
      </w:r>
      <w:r w:rsidR="000A4102" w:rsidRPr="00772C49">
        <w:rPr>
          <w:rFonts w:ascii="Times New Roman" w:hAnsi="Times New Roman" w:cs="Times New Roman"/>
          <w:sz w:val="22"/>
          <w:szCs w:val="22"/>
          <w:lang w:val="en-US"/>
        </w:rPr>
        <w:t>o 2 years</w:t>
      </w:r>
      <w:r w:rsidR="00575186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. They tested the sensitivity between theory and </w:t>
      </w:r>
      <w:r w:rsidR="000D19F7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the result and found out that </w:t>
      </w:r>
      <w:r w:rsidR="00195260" w:rsidRPr="00772C49">
        <w:rPr>
          <w:rFonts w:ascii="Times New Roman" w:hAnsi="Times New Roman" w:cs="Times New Roman"/>
          <w:sz w:val="22"/>
          <w:szCs w:val="22"/>
          <w:lang w:val="en-US"/>
        </w:rPr>
        <w:t>the changes are not sensitive to the change of m</w:t>
      </w:r>
      <w:r w:rsidR="00C933E7" w:rsidRPr="00772C49">
        <w:rPr>
          <w:rFonts w:ascii="Times New Roman" w:hAnsi="Times New Roman" w:cs="Times New Roman"/>
          <w:sz w:val="22"/>
          <w:szCs w:val="22"/>
          <w:lang w:val="en-US"/>
        </w:rPr>
        <w:t>u</w:t>
      </w:r>
      <w:r w:rsidR="00195260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at all</w:t>
      </w:r>
      <w:r w:rsidR="00C933E7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and the sensitiv</w:t>
      </w:r>
      <w:r w:rsidR="00DF0D11" w:rsidRPr="00772C49">
        <w:rPr>
          <w:rFonts w:ascii="Times New Roman" w:hAnsi="Times New Roman" w:cs="Times New Roman"/>
          <w:sz w:val="22"/>
          <w:szCs w:val="22"/>
          <w:lang w:val="en-US"/>
        </w:rPr>
        <w:t>ity</w:t>
      </w:r>
      <w:r w:rsidR="00C933E7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to delta is </w:t>
      </w:r>
      <w:r w:rsidR="00DF0D11" w:rsidRPr="00772C49">
        <w:rPr>
          <w:rFonts w:ascii="Times New Roman" w:hAnsi="Times New Roman" w:cs="Times New Roman"/>
          <w:sz w:val="22"/>
          <w:szCs w:val="22"/>
          <w:lang w:val="en-US"/>
        </w:rPr>
        <w:t>larger while phi has only a small sensitivity</w:t>
      </w:r>
      <w:r w:rsidR="00C14769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if not none at all. </w:t>
      </w:r>
    </w:p>
    <w:p w14:paraId="14ACF5AF" w14:textId="1D65B672" w:rsidR="00987897" w:rsidRPr="00772C49" w:rsidRDefault="00987897" w:rsidP="00C62900">
      <w:pPr>
        <w:ind w:firstLine="720"/>
        <w:rPr>
          <w:rFonts w:ascii="Times New Roman" w:hAnsi="Times New Roman" w:cs="Times New Roman"/>
          <w:sz w:val="22"/>
          <w:szCs w:val="22"/>
          <w:lang w:val="en-US"/>
        </w:rPr>
      </w:pPr>
      <w:r w:rsidRPr="00772C49">
        <w:rPr>
          <w:rFonts w:ascii="Times New Roman" w:hAnsi="Times New Roman" w:cs="Times New Roman"/>
          <w:sz w:val="22"/>
          <w:szCs w:val="22"/>
          <w:lang w:val="en-US"/>
        </w:rPr>
        <w:t>The effects of firm leverage</w:t>
      </w:r>
      <w:r w:rsidR="003E64B9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, the securities priced in the model does not correspond to the common stock that is traded in the US. The model only has 1 type of capital while </w:t>
      </w:r>
      <w:r w:rsidR="00033B56" w:rsidRPr="00772C49">
        <w:rPr>
          <w:rFonts w:ascii="Times New Roman" w:hAnsi="Times New Roman" w:cs="Times New Roman"/>
          <w:sz w:val="22"/>
          <w:szCs w:val="22"/>
          <w:lang w:val="en-US"/>
        </w:rPr>
        <w:t>there</w:t>
      </w:r>
      <w:r w:rsidR="003E64B9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are plenty</w:t>
      </w:r>
      <w:r w:rsidR="00033B56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in reality</w:t>
      </w:r>
      <w:r w:rsidR="003E64B9" w:rsidRPr="00772C49">
        <w:rPr>
          <w:rFonts w:ascii="Times New Roman" w:hAnsi="Times New Roman" w:cs="Times New Roman"/>
          <w:sz w:val="22"/>
          <w:szCs w:val="22"/>
          <w:lang w:val="en-US"/>
        </w:rPr>
        <w:t>.</w:t>
      </w:r>
      <w:r w:rsidR="00033B56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BA65A9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The paper concluded that the firm financial arrangement has no effect </w:t>
      </w:r>
      <w:r w:rsidR="0015278D" w:rsidRPr="00772C49">
        <w:rPr>
          <w:rFonts w:ascii="Times New Roman" w:hAnsi="Times New Roman" w:cs="Times New Roman"/>
          <w:sz w:val="22"/>
          <w:szCs w:val="22"/>
          <w:lang w:val="en-US"/>
        </w:rPr>
        <w:t>in resource allocation.</w:t>
      </w:r>
    </w:p>
    <w:p w14:paraId="6214FD24" w14:textId="5E06F1E0" w:rsidR="0015278D" w:rsidRPr="00772C49" w:rsidRDefault="0029050B" w:rsidP="00C62900">
      <w:pPr>
        <w:ind w:firstLine="720"/>
        <w:rPr>
          <w:rFonts w:ascii="Times New Roman" w:hAnsi="Times New Roman" w:cs="Times New Roman"/>
          <w:sz w:val="22"/>
          <w:szCs w:val="22"/>
          <w:lang w:val="en-US"/>
        </w:rPr>
      </w:pPr>
      <w:r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In conclusion, </w:t>
      </w:r>
      <w:r w:rsidR="00A54871" w:rsidRPr="00772C49">
        <w:rPr>
          <w:rFonts w:ascii="Times New Roman" w:hAnsi="Times New Roman" w:cs="Times New Roman"/>
          <w:sz w:val="22"/>
          <w:szCs w:val="22"/>
          <w:lang w:val="en-US"/>
        </w:rPr>
        <w:t>the writers emphasis that we focus on the wrong question and should focus on why the average risk-free rate is so low</w:t>
      </w:r>
      <w:r w:rsidR="0088198E" w:rsidRPr="00772C49">
        <w:rPr>
          <w:rFonts w:ascii="Times New Roman" w:hAnsi="Times New Roman" w:cs="Times New Roman"/>
          <w:sz w:val="22"/>
          <w:szCs w:val="22"/>
          <w:lang w:val="en-US"/>
        </w:rPr>
        <w:t>.</w:t>
      </w:r>
      <w:r w:rsidR="00785643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This paper concur with Friend and </w:t>
      </w:r>
      <w:proofErr w:type="spellStart"/>
      <w:r w:rsidR="00785643" w:rsidRPr="00772C49">
        <w:rPr>
          <w:rFonts w:ascii="Times New Roman" w:hAnsi="Times New Roman" w:cs="Times New Roman"/>
          <w:sz w:val="22"/>
          <w:szCs w:val="22"/>
          <w:lang w:val="en-US"/>
        </w:rPr>
        <w:t>Bleum</w:t>
      </w:r>
      <w:proofErr w:type="spellEnd"/>
      <w:r w:rsidR="00785643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0233DF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with alpha exceeding 1 and some asset return maybe </w:t>
      </w:r>
      <w:r w:rsidR="00664DF5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lower than what is implied by Arrow-Debreu general equilibrium theory. </w:t>
      </w:r>
      <w:r w:rsidR="005B3CB0" w:rsidRPr="00772C49">
        <w:rPr>
          <w:rFonts w:ascii="Times New Roman" w:hAnsi="Times New Roman" w:cs="Times New Roman"/>
          <w:sz w:val="22"/>
          <w:szCs w:val="22"/>
          <w:lang w:val="en-US"/>
        </w:rPr>
        <w:t xml:space="preserve">Also, they </w:t>
      </w:r>
      <w:r w:rsidR="00357578" w:rsidRPr="00772C49">
        <w:rPr>
          <w:rFonts w:ascii="Times New Roman" w:hAnsi="Times New Roman" w:cs="Times New Roman"/>
          <w:sz w:val="22"/>
          <w:szCs w:val="22"/>
          <w:lang w:val="en-US"/>
        </w:rPr>
        <w:t>do not think that heterogeneity will change the outcome.</w:t>
      </w:r>
    </w:p>
    <w:p w14:paraId="180AE4E9" w14:textId="77777777" w:rsidR="00987897" w:rsidRPr="00772C49" w:rsidRDefault="00987897" w:rsidP="00C62900">
      <w:pPr>
        <w:ind w:firstLine="720"/>
        <w:rPr>
          <w:rFonts w:ascii="Times New Roman" w:hAnsi="Times New Roman" w:cs="Times New Roman"/>
          <w:sz w:val="22"/>
          <w:szCs w:val="22"/>
          <w:lang w:val="en-US"/>
        </w:rPr>
      </w:pPr>
    </w:p>
    <w:sectPr w:rsidR="00987897" w:rsidRPr="00772C49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0311C" w14:textId="77777777" w:rsidR="00876EEA" w:rsidRDefault="00876EEA" w:rsidP="00876EEA">
      <w:r>
        <w:separator/>
      </w:r>
    </w:p>
  </w:endnote>
  <w:endnote w:type="continuationSeparator" w:id="0">
    <w:p w14:paraId="2C9B5BF1" w14:textId="77777777" w:rsidR="00876EEA" w:rsidRDefault="00876EEA" w:rsidP="00876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B0C45" w14:textId="77777777" w:rsidR="00876EEA" w:rsidRDefault="00876EEA" w:rsidP="00876EEA">
      <w:r>
        <w:separator/>
      </w:r>
    </w:p>
  </w:footnote>
  <w:footnote w:type="continuationSeparator" w:id="0">
    <w:p w14:paraId="2CFD8F63" w14:textId="77777777" w:rsidR="00876EEA" w:rsidRDefault="00876EEA" w:rsidP="00876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647A5" w14:textId="2D6C09EA" w:rsidR="00876EEA" w:rsidRPr="00D821D7" w:rsidRDefault="00876EEA">
    <w:pPr>
      <w:pStyle w:val="Header"/>
      <w:rPr>
        <w:rFonts w:ascii="Times New Roman" w:hAnsi="Times New Roman" w:cs="Times New Roman"/>
        <w:lang w:val="en-US"/>
      </w:rPr>
    </w:pPr>
    <w:r w:rsidRPr="00D821D7">
      <w:rPr>
        <w:rFonts w:ascii="Times New Roman" w:hAnsi="Times New Roman" w:cs="Times New Roman"/>
        <w:lang w:val="en-US"/>
      </w:rPr>
      <w:t xml:space="preserve">The Equity Premium A puzzle </w:t>
    </w:r>
  </w:p>
  <w:p w14:paraId="24C52FD9" w14:textId="32250582" w:rsidR="00876EEA" w:rsidRPr="00D821D7" w:rsidRDefault="00876EEA">
    <w:pPr>
      <w:pStyle w:val="Header"/>
      <w:rPr>
        <w:rFonts w:ascii="Times New Roman" w:hAnsi="Times New Roman" w:cs="Times New Roman"/>
        <w:lang w:val="en-US"/>
      </w:rPr>
    </w:pPr>
    <w:proofErr w:type="spellStart"/>
    <w:r w:rsidRPr="00D821D7">
      <w:rPr>
        <w:rFonts w:ascii="Times New Roman" w:hAnsi="Times New Roman" w:cs="Times New Roman"/>
        <w:lang w:val="en-US"/>
      </w:rPr>
      <w:t>Tanatat</w:t>
    </w:r>
    <w:proofErr w:type="spellEnd"/>
    <w:r w:rsidRPr="00D821D7">
      <w:rPr>
        <w:rFonts w:ascii="Times New Roman" w:hAnsi="Times New Roman" w:cs="Times New Roman"/>
        <w:lang w:val="en-US"/>
      </w:rPr>
      <w:t xml:space="preserve"> </w:t>
    </w:r>
    <w:proofErr w:type="spellStart"/>
    <w:r w:rsidRPr="00D821D7">
      <w:rPr>
        <w:rFonts w:ascii="Times New Roman" w:hAnsi="Times New Roman" w:cs="Times New Roman"/>
        <w:lang w:val="en-US"/>
      </w:rPr>
      <w:t>Bhurivatana</w:t>
    </w:r>
    <w:proofErr w:type="spellEnd"/>
    <w:r w:rsidRPr="00D821D7">
      <w:rPr>
        <w:rFonts w:ascii="Times New Roman" w:hAnsi="Times New Roman" w:cs="Times New Roman"/>
        <w:lang w:val="en-US"/>
      </w:rPr>
      <w:t xml:space="preserve"> 6204640137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EEA"/>
    <w:rsid w:val="000233DF"/>
    <w:rsid w:val="00033B56"/>
    <w:rsid w:val="00037CB3"/>
    <w:rsid w:val="000A4102"/>
    <w:rsid w:val="000B0B10"/>
    <w:rsid w:val="000B55B1"/>
    <w:rsid w:val="000C23AD"/>
    <w:rsid w:val="000D19F7"/>
    <w:rsid w:val="0015278D"/>
    <w:rsid w:val="00195260"/>
    <w:rsid w:val="001A75F6"/>
    <w:rsid w:val="001C4869"/>
    <w:rsid w:val="0029050B"/>
    <w:rsid w:val="002F72BA"/>
    <w:rsid w:val="00333D56"/>
    <w:rsid w:val="00356F75"/>
    <w:rsid w:val="00357578"/>
    <w:rsid w:val="00372899"/>
    <w:rsid w:val="003B0B7C"/>
    <w:rsid w:val="003C19E0"/>
    <w:rsid w:val="003D69DA"/>
    <w:rsid w:val="003E64B9"/>
    <w:rsid w:val="00446686"/>
    <w:rsid w:val="00481DFF"/>
    <w:rsid w:val="005047A0"/>
    <w:rsid w:val="005543E2"/>
    <w:rsid w:val="0055469C"/>
    <w:rsid w:val="00554B48"/>
    <w:rsid w:val="005715AA"/>
    <w:rsid w:val="00575186"/>
    <w:rsid w:val="00585C67"/>
    <w:rsid w:val="00593F4A"/>
    <w:rsid w:val="005B3CB0"/>
    <w:rsid w:val="00600EC5"/>
    <w:rsid w:val="00631B3F"/>
    <w:rsid w:val="00664DF5"/>
    <w:rsid w:val="0067181C"/>
    <w:rsid w:val="00697104"/>
    <w:rsid w:val="006B5144"/>
    <w:rsid w:val="006B6C20"/>
    <w:rsid w:val="006F2C15"/>
    <w:rsid w:val="00716C51"/>
    <w:rsid w:val="00727B8D"/>
    <w:rsid w:val="00767F99"/>
    <w:rsid w:val="00772C49"/>
    <w:rsid w:val="00785643"/>
    <w:rsid w:val="007C7B2D"/>
    <w:rsid w:val="00837E92"/>
    <w:rsid w:val="00843966"/>
    <w:rsid w:val="00846E98"/>
    <w:rsid w:val="00860A8A"/>
    <w:rsid w:val="00876EEA"/>
    <w:rsid w:val="0088198E"/>
    <w:rsid w:val="00886919"/>
    <w:rsid w:val="00897B08"/>
    <w:rsid w:val="008E714C"/>
    <w:rsid w:val="008F470D"/>
    <w:rsid w:val="00910F09"/>
    <w:rsid w:val="009442AD"/>
    <w:rsid w:val="0094662F"/>
    <w:rsid w:val="00951730"/>
    <w:rsid w:val="00961219"/>
    <w:rsid w:val="00962686"/>
    <w:rsid w:val="00987897"/>
    <w:rsid w:val="00990B17"/>
    <w:rsid w:val="009A2F4B"/>
    <w:rsid w:val="009B3040"/>
    <w:rsid w:val="009D0746"/>
    <w:rsid w:val="009F7199"/>
    <w:rsid w:val="00A02D68"/>
    <w:rsid w:val="00A260FF"/>
    <w:rsid w:val="00A54871"/>
    <w:rsid w:val="00AA7DC9"/>
    <w:rsid w:val="00B3731B"/>
    <w:rsid w:val="00B42AE5"/>
    <w:rsid w:val="00B608C3"/>
    <w:rsid w:val="00B60C75"/>
    <w:rsid w:val="00B70CCE"/>
    <w:rsid w:val="00B81222"/>
    <w:rsid w:val="00BA65A9"/>
    <w:rsid w:val="00BC59C1"/>
    <w:rsid w:val="00BD36E3"/>
    <w:rsid w:val="00BF1EFD"/>
    <w:rsid w:val="00BF5E75"/>
    <w:rsid w:val="00C14769"/>
    <w:rsid w:val="00C47E59"/>
    <w:rsid w:val="00C5699B"/>
    <w:rsid w:val="00C62900"/>
    <w:rsid w:val="00C66D0C"/>
    <w:rsid w:val="00C933E7"/>
    <w:rsid w:val="00CA0629"/>
    <w:rsid w:val="00CA0722"/>
    <w:rsid w:val="00CC2BDF"/>
    <w:rsid w:val="00CE446C"/>
    <w:rsid w:val="00D645C1"/>
    <w:rsid w:val="00D821D7"/>
    <w:rsid w:val="00D83A90"/>
    <w:rsid w:val="00DB6609"/>
    <w:rsid w:val="00DE4300"/>
    <w:rsid w:val="00DF0D11"/>
    <w:rsid w:val="00DF1846"/>
    <w:rsid w:val="00E37093"/>
    <w:rsid w:val="00ED5A40"/>
    <w:rsid w:val="00F4026B"/>
    <w:rsid w:val="00F45362"/>
    <w:rsid w:val="00F723E4"/>
    <w:rsid w:val="00F83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6429F1"/>
  <w15:chartTrackingRefBased/>
  <w15:docId w15:val="{80D4C383-0C99-7C43-AC2B-56610582E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TH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6E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6EEA"/>
    <w:rPr>
      <w:rFonts w:cs="Angsana New"/>
    </w:rPr>
  </w:style>
  <w:style w:type="paragraph" w:styleId="Footer">
    <w:name w:val="footer"/>
    <w:basedOn w:val="Normal"/>
    <w:link w:val="FooterChar"/>
    <w:uiPriority w:val="99"/>
    <w:unhideWhenUsed/>
    <w:rsid w:val="00876E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6EEA"/>
    <w:rPr>
      <w:rFonts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689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tanatat bhurivatana</dc:creator>
  <cp:keywords/>
  <dc:description/>
  <cp:lastModifiedBy>tanatat bhurivatana</cp:lastModifiedBy>
  <cp:revision>107</cp:revision>
  <dcterms:created xsi:type="dcterms:W3CDTF">2022-03-23T09:53:00Z</dcterms:created>
  <dcterms:modified xsi:type="dcterms:W3CDTF">2022-03-23T13:09:00Z</dcterms:modified>
</cp:coreProperties>
</file>