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A6C" w:rsidRPr="00427A6C" w:rsidRDefault="00427A6C" w:rsidP="00427A6C">
      <w:pPr>
        <w:keepNext/>
        <w:spacing w:after="0" w:line="240" w:lineRule="auto"/>
        <w:outlineLvl w:val="1"/>
        <w:rPr>
          <w:rFonts w:ascii="Times New Roman" w:eastAsia="Cordia New" w:hAnsi="Times New Roman" w:cs="Times New Roman"/>
          <w:sz w:val="24"/>
          <w:szCs w:val="24"/>
          <w:lang w:val="x-none" w:eastAsia="x-none"/>
        </w:rPr>
      </w:pPr>
      <w:r w:rsidRPr="00427A6C">
        <w:rPr>
          <w:rFonts w:ascii="Times New Roman" w:eastAsia="Cordia New" w:hAnsi="Times New Roman" w:cs="Times New Roman"/>
          <w:sz w:val="24"/>
          <w:szCs w:val="24"/>
          <w:u w:val="single"/>
          <w:lang w:val="x-none" w:eastAsia="x-none"/>
        </w:rPr>
        <w:t>Valuation of a Merger and Acquisition using Discounted Cash flow technique</w:t>
      </w:r>
      <w:r w:rsidRPr="00427A6C">
        <w:rPr>
          <w:rFonts w:ascii="Times New Roman" w:eastAsia="Cordia New" w:hAnsi="Times New Roman" w:cs="Times New Roman"/>
          <w:sz w:val="24"/>
          <w:szCs w:val="24"/>
          <w:lang w:val="x-none" w:eastAsia="x-none"/>
        </w:rPr>
        <w:t xml:space="preserve"> </w:t>
      </w:r>
      <w:bookmarkStart w:id="0" w:name="_GoBack"/>
      <w:bookmarkEnd w:id="0"/>
    </w:p>
    <w:p w:rsidR="00427A6C" w:rsidRPr="00427A6C" w:rsidRDefault="00427A6C" w:rsidP="00427A6C">
      <w:pPr>
        <w:spacing w:after="200" w:line="276" w:lineRule="auto"/>
        <w:rPr>
          <w:rFonts w:ascii="Times New Roman" w:eastAsia="Calibri" w:hAnsi="Times New Roman" w:cs="Times New Roman"/>
          <w:sz w:val="24"/>
          <w:szCs w:val="24"/>
          <w:lang w:bidi="ar-SA"/>
        </w:rPr>
      </w:pP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It is 1</w:t>
      </w:r>
      <w:r w:rsidRPr="00427A6C">
        <w:rPr>
          <w:rFonts w:ascii="Times New Roman" w:eastAsia="Calibri" w:hAnsi="Times New Roman" w:cs="Times New Roman"/>
          <w:sz w:val="24"/>
          <w:szCs w:val="24"/>
          <w:vertAlign w:val="superscript"/>
          <w:lang w:bidi="ar-SA"/>
        </w:rPr>
        <w:t>st</w:t>
      </w:r>
      <w:r w:rsidRPr="00427A6C">
        <w:rPr>
          <w:rFonts w:ascii="Times New Roman" w:eastAsia="Calibri" w:hAnsi="Times New Roman" w:cs="Times New Roman"/>
          <w:sz w:val="24"/>
          <w:szCs w:val="24"/>
          <w:lang w:bidi="ar-SA"/>
        </w:rPr>
        <w:t xml:space="preserve"> of January, 2019. DTA Inc., a large telecommunications company is evaluating the possible acquisition of Onyx Company (OC), a regional mobile phone company.  DTA’s analysts project the following </w:t>
      </w:r>
      <w:proofErr w:type="spellStart"/>
      <w:r w:rsidRPr="00427A6C">
        <w:rPr>
          <w:rFonts w:ascii="Times New Roman" w:eastAsia="Calibri" w:hAnsi="Times New Roman" w:cs="Times New Roman"/>
          <w:sz w:val="24"/>
          <w:szCs w:val="24"/>
          <w:lang w:bidi="ar-SA"/>
        </w:rPr>
        <w:t>postmerger</w:t>
      </w:r>
      <w:proofErr w:type="spellEnd"/>
      <w:r w:rsidRPr="00427A6C">
        <w:rPr>
          <w:rFonts w:ascii="Times New Roman" w:eastAsia="Calibri" w:hAnsi="Times New Roman" w:cs="Times New Roman"/>
          <w:sz w:val="24"/>
          <w:szCs w:val="24"/>
          <w:lang w:bidi="ar-SA"/>
        </w:rPr>
        <w:t xml:space="preserve"> data for OC (in thousands of dollars):</w:t>
      </w:r>
    </w:p>
    <w:p w:rsidR="00427A6C" w:rsidRPr="00427A6C" w:rsidRDefault="00427A6C" w:rsidP="00427A6C">
      <w:pPr>
        <w:spacing w:after="200" w:line="276" w:lineRule="auto"/>
        <w:rPr>
          <w:rFonts w:ascii="Times New Roman" w:eastAsia="Calibri" w:hAnsi="Times New Roman" w:cs="Times New Roman"/>
          <w:sz w:val="24"/>
          <w:szCs w:val="24"/>
          <w:lang w:bidi="ar-SA"/>
        </w:rPr>
      </w:pP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2019</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2020</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2021</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2022</w:t>
      </w:r>
    </w:p>
    <w:p w:rsidR="00427A6C" w:rsidRPr="00427A6C" w:rsidRDefault="00427A6C" w:rsidP="00427A6C">
      <w:pPr>
        <w:spacing w:after="200" w:line="276" w:lineRule="auto"/>
        <w:rPr>
          <w:rFonts w:ascii="Times New Roman" w:eastAsia="Calibri" w:hAnsi="Times New Roman" w:cs="Times New Roman"/>
          <w:sz w:val="24"/>
          <w:szCs w:val="24"/>
          <w:lang w:bidi="ar-SA"/>
        </w:rPr>
      </w:pP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Net sales</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$750</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$818</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$955</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$980</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Selling and Administrative</w:t>
      </w:r>
      <w:r w:rsidRPr="00427A6C">
        <w:rPr>
          <w:rFonts w:ascii="Times New Roman" w:eastAsia="Calibri" w:hAnsi="Times New Roman" w:cs="Times New Roman"/>
          <w:sz w:val="24"/>
          <w:szCs w:val="24"/>
          <w:lang w:bidi="ar-SA"/>
        </w:rPr>
        <w:tab/>
        <w:t xml:space="preserve">     95</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103</w:t>
      </w:r>
      <w:r w:rsidRPr="00427A6C">
        <w:rPr>
          <w:rFonts w:ascii="Times New Roman" w:eastAsia="Calibri" w:hAnsi="Times New Roman" w:cs="Times New Roman"/>
          <w:sz w:val="24"/>
          <w:szCs w:val="24"/>
          <w:lang w:bidi="ar-SA"/>
        </w:rPr>
        <w:tab/>
        <w:t xml:space="preserve">              110</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118</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Interest</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w:t>
      </w:r>
      <w:r w:rsidRPr="00427A6C">
        <w:rPr>
          <w:rFonts w:ascii="Times New Roman" w:eastAsia="Calibri" w:hAnsi="Times New Roman" w:cs="Times New Roman"/>
          <w:sz w:val="24"/>
          <w:szCs w:val="24"/>
          <w:lang w:bidi="ar-SA"/>
        </w:rPr>
        <w:tab/>
        <w:t xml:space="preserve">     28                   31                   34                     37</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Tax rate</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20 percent</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Cost of service as a percent of sales</w:t>
      </w:r>
      <w:r w:rsidRPr="00427A6C">
        <w:rPr>
          <w:rFonts w:ascii="Times New Roman" w:eastAsia="Calibri" w:hAnsi="Times New Roman" w:cs="Times New Roman"/>
          <w:sz w:val="24"/>
          <w:szCs w:val="24"/>
          <w:lang w:bidi="ar-SA"/>
        </w:rPr>
        <w:tab/>
        <w:t xml:space="preserve">   </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55 percent</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Beta of the target firm after the acquisition</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1.5</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Beta of the acquirer after the acquisition</w:t>
      </w:r>
      <w:r w:rsidRPr="00427A6C">
        <w:rPr>
          <w:rFonts w:ascii="Times New Roman" w:eastAsia="Calibri" w:hAnsi="Times New Roman" w:cs="Times New Roman"/>
          <w:sz w:val="24"/>
          <w:szCs w:val="24"/>
          <w:lang w:bidi="ar-SA"/>
        </w:rPr>
        <w:tab/>
        <w:t xml:space="preserve">                        1.1</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Risk free rate</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 xml:space="preserve">  </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5 percent</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Market risk premium</w:t>
      </w:r>
      <w:r w:rsidRPr="00427A6C">
        <w:rPr>
          <w:rFonts w:ascii="Times New Roman" w:eastAsia="Calibri" w:hAnsi="Times New Roman" w:cs="Times New Roman"/>
          <w:sz w:val="24"/>
          <w:szCs w:val="24"/>
          <w:lang w:bidi="ar-SA"/>
        </w:rPr>
        <w:tab/>
        <w:t xml:space="preserve">             </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t>6 percent</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Terminal growth rate of cash flow available to DTA from OC is 6 percent</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 xml:space="preserve">If the acquisition is made, it will occur on January 1, 2019.  All cash flows shown in the income statements are assumed to occur at the end of the year.  OC currently has a capital structure of 40 percent debt, but DT would increase that to 60 percent if the acquisition were made.  OC, if independent, would pay taxes at 30 percent, but its income would be taxed at 20 percent if it were consolidated.  OC’s current market-determined beta is 1.4, and its investment bankers think that its beta would rise to 1.5 if the debt ratio were increased to 60 percent.  The current loan outstanding is $560,000 and cost of debt is 6 percent per annum.    The beta of the acquirer would be 1.1.  The cost of goods sold is expected to be 55 percent of sales.  Depreciation-generated funds would be used to replace worn-out equipment, so they were not available to DTA’s shareholders (Depreciation is equal to the capital expenditure).  The required additional working capital is zero.  There is no plan to repay the loan outstanding recently.   The risk-free rate is 5 percent, and the market risk premium is 6 percent.  </w:t>
      </w:r>
    </w:p>
    <w:p w:rsidR="00427A6C" w:rsidRPr="00427A6C" w:rsidRDefault="00427A6C" w:rsidP="00427A6C">
      <w:pPr>
        <w:numPr>
          <w:ilvl w:val="0"/>
          <w:numId w:val="1"/>
        </w:numPr>
        <w:spacing w:after="0" w:line="240" w:lineRule="auto"/>
        <w:ind w:left="360"/>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lastRenderedPageBreak/>
        <w:t>What is the appropriate discount rate for valuing the acquisition using the FCF to firm method?</w:t>
      </w:r>
    </w:p>
    <w:p w:rsidR="00427A6C" w:rsidRPr="00427A6C" w:rsidRDefault="00427A6C" w:rsidP="00427A6C">
      <w:pPr>
        <w:numPr>
          <w:ilvl w:val="0"/>
          <w:numId w:val="1"/>
        </w:numPr>
        <w:spacing w:after="0" w:line="240" w:lineRule="auto"/>
        <w:ind w:left="360"/>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 xml:space="preserve">What is the terminal value using a perpetuity method?  </w:t>
      </w:r>
    </w:p>
    <w:p w:rsidR="00427A6C" w:rsidRPr="00427A6C" w:rsidRDefault="00427A6C" w:rsidP="00427A6C">
      <w:pPr>
        <w:spacing w:after="200" w:line="276" w:lineRule="auto"/>
        <w:rPr>
          <w:rFonts w:ascii="Times New Roman" w:eastAsia="Calibri" w:hAnsi="Times New Roman" w:cs="Times New Roman"/>
          <w:sz w:val="24"/>
          <w:szCs w:val="24"/>
          <w:lang w:bidi="ar-SA"/>
        </w:rPr>
      </w:pPr>
      <w:r w:rsidRPr="00427A6C">
        <w:rPr>
          <w:rFonts w:ascii="Times New Roman" w:eastAsia="Calibri" w:hAnsi="Times New Roman" w:cs="Times New Roman"/>
          <w:sz w:val="24"/>
          <w:szCs w:val="24"/>
          <w:lang w:bidi="ar-SA"/>
        </w:rPr>
        <w:t>c.   What is the value of firm and value of equity of OC to DTA using the free cash flow to the firm approach? (Assuming that there is no non-operating asset)</w:t>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r w:rsidRPr="00427A6C">
        <w:rPr>
          <w:rFonts w:ascii="Times New Roman" w:eastAsia="Calibri" w:hAnsi="Times New Roman" w:cs="Times New Roman"/>
          <w:sz w:val="24"/>
          <w:szCs w:val="24"/>
          <w:lang w:bidi="ar-SA"/>
        </w:rPr>
        <w:tab/>
      </w:r>
    </w:p>
    <w:p w:rsidR="00427A6C" w:rsidRPr="00427A6C" w:rsidRDefault="00427A6C" w:rsidP="00427A6C">
      <w:pPr>
        <w:spacing w:after="200" w:line="276" w:lineRule="auto"/>
        <w:rPr>
          <w:rFonts w:ascii="Times New Roman" w:eastAsia="Calibri" w:hAnsi="Times New Roman" w:cs="Times New Roman"/>
          <w:sz w:val="24"/>
          <w:szCs w:val="24"/>
          <w:lang w:bidi="ar-SA"/>
        </w:rPr>
      </w:pPr>
    </w:p>
    <w:p w:rsidR="00427A6C" w:rsidRDefault="00427A6C"/>
    <w:sectPr w:rsidR="00427A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4E795C"/>
    <w:multiLevelType w:val="singleLevel"/>
    <w:tmpl w:val="23ACFC34"/>
    <w:lvl w:ilvl="0">
      <w:start w:val="1"/>
      <w:numFmt w:val="lowerLetter"/>
      <w:lvlText w:val="%1."/>
      <w:lvlJc w:val="left"/>
      <w:pPr>
        <w:tabs>
          <w:tab w:val="num" w:pos="1080"/>
        </w:tabs>
        <w:ind w:left="10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A6C"/>
    <w:rsid w:val="00427A6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F051F-F60B-455E-AF14-C42986D8F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lecturer</dc:creator>
  <cp:keywords/>
  <dc:description/>
  <cp:lastModifiedBy>lecturer</cp:lastModifiedBy>
  <cp:revision>1</cp:revision>
  <dcterms:created xsi:type="dcterms:W3CDTF">2019-04-22T09:15:00Z</dcterms:created>
  <dcterms:modified xsi:type="dcterms:W3CDTF">2019-04-22T09:15:00Z</dcterms:modified>
</cp:coreProperties>
</file>