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E3DAF" w14:textId="77777777" w:rsidR="00E46F6E" w:rsidRPr="00E46F6E" w:rsidRDefault="00E46F6E" w:rsidP="00E30D31">
      <w:pPr>
        <w:spacing w:line="480" w:lineRule="auto"/>
        <w:rPr>
          <w:lang w:val="en-GB"/>
        </w:rPr>
      </w:pPr>
    </w:p>
    <w:p w14:paraId="19D12ACF" w14:textId="41E1190E" w:rsidR="00E46F6E" w:rsidRPr="00E30D31" w:rsidRDefault="00E30D31" w:rsidP="00E30D31">
      <w:pPr>
        <w:spacing w:line="480" w:lineRule="auto"/>
        <w:jc w:val="center"/>
        <w:rPr>
          <w:sz w:val="40"/>
          <w:szCs w:val="40"/>
          <w:lang w:val="en-GB"/>
        </w:rPr>
      </w:pPr>
      <w:r w:rsidRPr="00E30D31">
        <w:rPr>
          <w:sz w:val="40"/>
          <w:szCs w:val="40"/>
          <w:lang w:val="en-GB"/>
        </w:rPr>
        <w:t>Short Paper on United Kingdom Defence Spending</w:t>
      </w:r>
    </w:p>
    <w:p w14:paraId="441BED4B" w14:textId="66FC93BE" w:rsidR="00E46F6E" w:rsidRPr="00E46F6E" w:rsidRDefault="004F4BC5" w:rsidP="00E30D31">
      <w:pPr>
        <w:spacing w:line="480" w:lineRule="auto"/>
        <w:rPr>
          <w:lang w:val="en-GB"/>
        </w:rPr>
      </w:pPr>
      <w:r w:rsidRPr="00E46F6E">
        <w:rPr>
          <w:noProof/>
          <w:lang w:val="en-GB"/>
        </w:rPr>
        <w:drawing>
          <wp:inline distT="0" distB="0" distL="0" distR="0" wp14:anchorId="788F5318" wp14:editId="2D73BB47">
            <wp:extent cx="5941695" cy="4570095"/>
            <wp:effectExtent l="0" t="0" r="27305" b="27305"/>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B744048" w14:textId="3BA90C51" w:rsidR="00877506" w:rsidRDefault="00E46F6E" w:rsidP="00E30D31">
      <w:pPr>
        <w:spacing w:line="480" w:lineRule="auto"/>
        <w:rPr>
          <w:lang w:val="en-GB"/>
        </w:rPr>
      </w:pPr>
      <w:r w:rsidRPr="00E46F6E">
        <w:rPr>
          <w:lang w:val="en-GB"/>
        </w:rPr>
        <w:t>Above you find a pie chart describing the</w:t>
      </w:r>
      <w:r w:rsidR="00ED59F8">
        <w:rPr>
          <w:lang w:val="en-GB"/>
        </w:rPr>
        <w:t xml:space="preserve"> composition of the UK govern</w:t>
      </w:r>
      <w:r w:rsidRPr="00E46F6E">
        <w:rPr>
          <w:lang w:val="en-GB"/>
        </w:rPr>
        <w:t>me</w:t>
      </w:r>
      <w:r w:rsidR="00FA55E4">
        <w:rPr>
          <w:lang w:val="en-GB"/>
        </w:rPr>
        <w:t xml:space="preserve">nt expenditure. As you can see the majority of money spent goes to social security programmes, education and healthcare. Those government services are of great importance in the Western European welfare state and tower greatly, in terms of money spent, over that of more traditional ideals, such as defence and public safety. If we look at how this chart was, say </w:t>
      </w:r>
      <w:r w:rsidR="00401C19">
        <w:rPr>
          <w:lang w:val="en-GB"/>
        </w:rPr>
        <w:t>ten</w:t>
      </w:r>
      <w:r w:rsidR="00FA55E4">
        <w:rPr>
          <w:lang w:val="en-GB"/>
        </w:rPr>
        <w:t xml:space="preserve"> </w:t>
      </w:r>
      <w:r w:rsidR="00401C19">
        <w:rPr>
          <w:lang w:val="en-GB"/>
        </w:rPr>
        <w:t>earlier</w:t>
      </w:r>
      <w:r w:rsidR="00FA55E4">
        <w:rPr>
          <w:lang w:val="en-GB"/>
        </w:rPr>
        <w:t>, we get the following picture.</w:t>
      </w:r>
      <w:r w:rsidR="00877506">
        <w:rPr>
          <w:lang w:val="en-GB"/>
        </w:rPr>
        <w:t xml:space="preserve"> </w:t>
      </w:r>
    </w:p>
    <w:p w14:paraId="48E00405" w14:textId="77777777" w:rsidR="00877506" w:rsidRDefault="00877506" w:rsidP="00E30D31">
      <w:pPr>
        <w:spacing w:line="480" w:lineRule="auto"/>
        <w:rPr>
          <w:lang w:val="en-GB"/>
        </w:rPr>
      </w:pPr>
    </w:p>
    <w:p w14:paraId="097E4191" w14:textId="6F4BAEDD" w:rsidR="00E46F6E" w:rsidRDefault="001D3722" w:rsidP="00E30D31">
      <w:pPr>
        <w:spacing w:line="480" w:lineRule="auto"/>
        <w:rPr>
          <w:lang w:val="en-GB"/>
        </w:rPr>
      </w:pPr>
      <w:r>
        <w:rPr>
          <w:noProof/>
        </w:rPr>
        <w:lastRenderedPageBreak/>
        <w:drawing>
          <wp:inline distT="0" distB="0" distL="0" distR="0" wp14:anchorId="2B35D158" wp14:editId="3D42EDD1">
            <wp:extent cx="5756910" cy="4569540"/>
            <wp:effectExtent l="0" t="0" r="34290" b="27940"/>
            <wp:docPr id="4"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8052FD" w14:textId="77777777" w:rsidR="00E30D31" w:rsidRPr="00E46F6E" w:rsidRDefault="00E30D31" w:rsidP="00E30D31">
      <w:pPr>
        <w:spacing w:line="480" w:lineRule="auto"/>
        <w:rPr>
          <w:lang w:val="en-GB"/>
        </w:rPr>
      </w:pPr>
      <w:r>
        <w:rPr>
          <w:lang w:val="en-GB"/>
        </w:rPr>
        <w:t>The diagram underneath also shows how the aggregate spending has increased and to what function it can be accounted. It is interesting to not that the difference in government composition, a conservative-liberal government coalition in 2013-14 and a labour government in 2003-2004 does not make a huge difference in the way money is spent. This could to a certain degree strengthen the disillusioned masses claiming that no matter which party you vote for you get more or less the same thing. However, the few percentage points that differ make a much bigger difference than what we might expect and the vast majority of government expenditure are must-haves that would create a lot of uproar were one government to take it away.</w:t>
      </w:r>
    </w:p>
    <w:p w14:paraId="52DDC704" w14:textId="4E0696D6" w:rsidR="001D3722" w:rsidRPr="00E46F6E" w:rsidRDefault="001D3722" w:rsidP="00E30D31">
      <w:pPr>
        <w:spacing w:line="480" w:lineRule="auto"/>
        <w:rPr>
          <w:lang w:val="en-GB"/>
        </w:rPr>
      </w:pPr>
    </w:p>
    <w:p w14:paraId="4BA61D6F" w14:textId="6DD57558" w:rsidR="00E46F6E" w:rsidRPr="00E46F6E" w:rsidRDefault="00877506" w:rsidP="00E30D31">
      <w:pPr>
        <w:spacing w:line="480" w:lineRule="auto"/>
        <w:rPr>
          <w:lang w:val="en-GB"/>
        </w:rPr>
      </w:pPr>
      <w:r>
        <w:rPr>
          <w:noProof/>
        </w:rPr>
        <w:drawing>
          <wp:inline distT="0" distB="0" distL="0" distR="0" wp14:anchorId="3103967F" wp14:editId="3722C1DE">
            <wp:extent cx="5756910" cy="3157855"/>
            <wp:effectExtent l="0" t="0" r="34290" b="17145"/>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C40949" w14:textId="43B467A8" w:rsidR="00E46F6E" w:rsidRDefault="006145D3" w:rsidP="00E30D31">
      <w:pPr>
        <w:spacing w:line="480" w:lineRule="auto"/>
        <w:rPr>
          <w:lang w:val="en-GB"/>
        </w:rPr>
      </w:pPr>
      <w:r>
        <w:rPr>
          <w:noProof/>
        </w:rPr>
        <w:drawing>
          <wp:anchor distT="0" distB="0" distL="114300" distR="114300" simplePos="0" relativeHeight="251658240" behindDoc="0" locked="0" layoutInCell="1" allowOverlap="1" wp14:anchorId="5A002263" wp14:editId="4FA63D45">
            <wp:simplePos x="0" y="0"/>
            <wp:positionH relativeFrom="margin">
              <wp:posOffset>1600200</wp:posOffset>
            </wp:positionH>
            <wp:positionV relativeFrom="margin">
              <wp:posOffset>5486400</wp:posOffset>
            </wp:positionV>
            <wp:extent cx="4267200" cy="2922905"/>
            <wp:effectExtent l="0" t="0" r="25400" b="23495"/>
            <wp:wrapSquare wrapText="bothSides"/>
            <wp:docPr id="9" name="Diagram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E30D31">
        <w:rPr>
          <w:lang w:val="en-GB"/>
        </w:rPr>
        <w:t xml:space="preserve">If we look closer at </w:t>
      </w:r>
      <w:proofErr w:type="spellStart"/>
      <w:r w:rsidR="000A2FC4">
        <w:rPr>
          <w:lang w:val="en-GB"/>
        </w:rPr>
        <w:t>defense</w:t>
      </w:r>
      <w:proofErr w:type="spellEnd"/>
      <w:r w:rsidR="000A2FC4">
        <w:rPr>
          <w:lang w:val="en-GB"/>
        </w:rPr>
        <w:t xml:space="preserve"> spending in particular, we can observe the following in the graph </w:t>
      </w:r>
      <w:r>
        <w:rPr>
          <w:lang w:val="en-GB"/>
        </w:rPr>
        <w:t>to the right</w:t>
      </w:r>
      <w:r w:rsidR="00E30D31">
        <w:rPr>
          <w:lang w:val="en-GB"/>
        </w:rPr>
        <w:t>.</w:t>
      </w:r>
      <w:r w:rsidR="000A2FC4">
        <w:rPr>
          <w:lang w:val="en-GB"/>
        </w:rPr>
        <w:t xml:space="preserve"> On a whole, defence spending has been trending downwards since 1991. Apart from an increased spending in 1998-99 and a slight distortion in the percentage due to the financial crisis of 2008-09 dampening GDP growth, we cannot observe any increases at all during this time period. This is in line with the changed national security situation in Europe after the fall of the Iron Curtain and the dissolution of the USSR.</w:t>
      </w:r>
      <w:r w:rsidR="00D24A37">
        <w:rPr>
          <w:lang w:val="en-GB"/>
        </w:rPr>
        <w:t xml:space="preserve"> Surprisingly the Iraq War and the NATO operations in Afghanistan did not increase</w:t>
      </w:r>
      <w:r>
        <w:rPr>
          <w:lang w:val="en-GB"/>
        </w:rPr>
        <w:t xml:space="preserve"> government spending on defence.</w:t>
      </w:r>
    </w:p>
    <w:p w14:paraId="37894D9E" w14:textId="77777777" w:rsidR="006145D3" w:rsidRDefault="006145D3" w:rsidP="00E30D31">
      <w:pPr>
        <w:spacing w:line="480" w:lineRule="auto"/>
        <w:rPr>
          <w:lang w:val="en-GB"/>
        </w:rPr>
      </w:pPr>
    </w:p>
    <w:p w14:paraId="2973802A" w14:textId="6B1DB869" w:rsidR="006145D3" w:rsidRDefault="006145D3" w:rsidP="00E30D31">
      <w:pPr>
        <w:spacing w:line="480" w:lineRule="auto"/>
        <w:rPr>
          <w:lang w:val="en-GB"/>
        </w:rPr>
      </w:pPr>
      <w:r>
        <w:rPr>
          <w:lang w:val="en-GB"/>
        </w:rPr>
        <w:t>If we instead focus on the situation at hand in the year that is the one latest available, we can see that Defence spending totals 5 % of</w:t>
      </w:r>
      <w:r w:rsidR="00ED59F8">
        <w:rPr>
          <w:lang w:val="en-GB"/>
        </w:rPr>
        <w:t xml:space="preserve"> the government expenditure or, in nominal terms, £36.4 billion. For this money the United Kingdom maintains </w:t>
      </w:r>
      <w:r w:rsidR="00C453B9">
        <w:rPr>
          <w:lang w:val="en-GB"/>
        </w:rPr>
        <w:t xml:space="preserve">the world’s sixth highest military spending according to </w:t>
      </w:r>
      <w:proofErr w:type="spellStart"/>
      <w:r w:rsidR="00C453B9">
        <w:rPr>
          <w:lang w:val="en-GB"/>
        </w:rPr>
        <w:t>SIPRI</w:t>
      </w:r>
      <w:proofErr w:type="spellEnd"/>
      <w:r w:rsidR="00C453B9">
        <w:rPr>
          <w:lang w:val="en-GB"/>
        </w:rPr>
        <w:t>. (</w:t>
      </w:r>
      <w:proofErr w:type="spellStart"/>
      <w:r w:rsidR="00C453B9">
        <w:rPr>
          <w:lang w:val="en-GB"/>
        </w:rPr>
        <w:t>SIPRI</w:t>
      </w:r>
      <w:proofErr w:type="spellEnd"/>
      <w:r w:rsidR="00C453B9">
        <w:rPr>
          <w:lang w:val="en-GB"/>
        </w:rPr>
        <w:t xml:space="preserve">, 2015) During the last few years, especially after the Russian military intervention in Ukraine and the on-going conflict in Syria and the Middle East, NATO has expressed concerns regarding the military spending of it’s member states being to small. (NATO, 2015) After a NATO summit in Wales in September of 2014 a joint declaration of the heads of state and government in attendance agreed on keeping defence spending at a minimum level above 2 % of GDP. </w:t>
      </w:r>
    </w:p>
    <w:p w14:paraId="0B05731C" w14:textId="77777777" w:rsidR="00C453B9" w:rsidRDefault="00C453B9" w:rsidP="00E30D31">
      <w:pPr>
        <w:spacing w:line="480" w:lineRule="auto"/>
        <w:rPr>
          <w:lang w:val="en-GB"/>
        </w:rPr>
      </w:pPr>
    </w:p>
    <w:p w14:paraId="6E3879AB" w14:textId="33971D5B" w:rsidR="00C453B9" w:rsidRDefault="00C453B9" w:rsidP="00E30D31">
      <w:pPr>
        <w:spacing w:line="480" w:lineRule="auto"/>
        <w:rPr>
          <w:lang w:val="en-GB"/>
        </w:rPr>
      </w:pPr>
      <w:r>
        <w:rPr>
          <w:lang w:val="en-GB"/>
        </w:rPr>
        <w:t>By previous figures shown in this paper we can easily say that the UK is well beyond this lower limit and the decision should not cause the UK government to change it’s military policy to any greater degree. However, there are other factors to bear in mind for the UK. As one of nine countries in the world with nuclear weapons (</w:t>
      </w:r>
      <w:proofErr w:type="spellStart"/>
      <w:r>
        <w:rPr>
          <w:lang w:val="en-GB"/>
        </w:rPr>
        <w:t>ICAN</w:t>
      </w:r>
      <w:proofErr w:type="spellEnd"/>
      <w:r>
        <w:rPr>
          <w:lang w:val="en-GB"/>
        </w:rPr>
        <w:t xml:space="preserve">, 2016) and in possession of </w:t>
      </w:r>
      <w:r w:rsidR="00440A4E">
        <w:rPr>
          <w:lang w:val="en-GB"/>
        </w:rPr>
        <w:t>a blue-water navy (</w:t>
      </w:r>
      <w:proofErr w:type="spellStart"/>
      <w:r w:rsidR="00440A4E">
        <w:rPr>
          <w:lang w:val="en-GB"/>
        </w:rPr>
        <w:t>Kirchberger</w:t>
      </w:r>
      <w:proofErr w:type="spellEnd"/>
      <w:r w:rsidR="00440A4E">
        <w:rPr>
          <w:lang w:val="en-GB"/>
        </w:rPr>
        <w:t xml:space="preserve">, 2015), generally regarded as one of the most advanced and wide reaching in the world, the spending needs to be maintained at a considerably higher level than the average NATO member in order to keep military capabilities stable.  </w:t>
      </w:r>
    </w:p>
    <w:p w14:paraId="474E0D04" w14:textId="77777777" w:rsidR="00440A4E" w:rsidRDefault="00440A4E" w:rsidP="00E30D31">
      <w:pPr>
        <w:spacing w:line="480" w:lineRule="auto"/>
        <w:rPr>
          <w:lang w:val="en-GB"/>
        </w:rPr>
      </w:pPr>
    </w:p>
    <w:p w14:paraId="18563972" w14:textId="0BAEFB3D" w:rsidR="00440A4E" w:rsidRDefault="00440A4E" w:rsidP="00E30D31">
      <w:pPr>
        <w:spacing w:line="480" w:lineRule="auto"/>
        <w:rPr>
          <w:lang w:val="en-GB"/>
        </w:rPr>
      </w:pPr>
      <w:r>
        <w:rPr>
          <w:lang w:val="en-GB"/>
        </w:rPr>
        <w:t xml:space="preserve">One should also remember that even though the British Empire might belong to history, the United Kingdom still has overseas territories all over the world to which the country still guarantees military protection. </w:t>
      </w:r>
      <w:r w:rsidR="00B948C3">
        <w:rPr>
          <w:lang w:val="en-GB"/>
        </w:rPr>
        <w:t xml:space="preserve">This puts the UK in a position where military expenditure will at some point </w:t>
      </w:r>
      <w:r w:rsidR="0093603A">
        <w:rPr>
          <w:lang w:val="en-GB"/>
        </w:rPr>
        <w:t>encounter some downward rigidity and not being able to shrink considerably without making some major restructuring in the overall military capability of country.</w:t>
      </w:r>
    </w:p>
    <w:p w14:paraId="52E904C3" w14:textId="77777777" w:rsidR="0093603A" w:rsidRDefault="0093603A" w:rsidP="00E30D31">
      <w:pPr>
        <w:spacing w:line="480" w:lineRule="auto"/>
        <w:rPr>
          <w:lang w:val="en-GB"/>
        </w:rPr>
      </w:pPr>
    </w:p>
    <w:p w14:paraId="5068901F" w14:textId="6F818E78" w:rsidR="0093603A" w:rsidRDefault="006D4BCE" w:rsidP="00E30D31">
      <w:pPr>
        <w:spacing w:line="480" w:lineRule="auto"/>
        <w:rPr>
          <w:lang w:val="en-GB"/>
        </w:rPr>
      </w:pPr>
      <w:r>
        <w:rPr>
          <w:lang w:val="en-GB"/>
        </w:rPr>
        <w:t xml:space="preserve">The current subject dominating the political debate on defence spending in the UK is, perhaps not all too surprisingly, that on whether or not to extend the nuclear capabilities further in to the future. Many of the nuclear warheads in possession by the UK military </w:t>
      </w:r>
      <w:proofErr w:type="gramStart"/>
      <w:r>
        <w:rPr>
          <w:lang w:val="en-GB"/>
        </w:rPr>
        <w:t>is</w:t>
      </w:r>
      <w:proofErr w:type="gramEnd"/>
      <w:r>
        <w:rPr>
          <w:lang w:val="en-GB"/>
        </w:rPr>
        <w:t xml:space="preserve"> deployed on deep sea submarines. The program and its missiles, known as Trident, was ordered by the then British Prime Minister Margaret </w:t>
      </w:r>
      <w:r w:rsidR="00BF0245">
        <w:rPr>
          <w:lang w:val="en-GB"/>
        </w:rPr>
        <w:t>Thatcher in 1983, and then commissioned in the1990s. (BBC, 2015) The submarines, soon reaching the end their 25 year expected life span, are now about to be replaced and this has been the source of much controversy.</w:t>
      </w:r>
    </w:p>
    <w:p w14:paraId="279B7C8D" w14:textId="77777777" w:rsidR="00BF0245" w:rsidRDefault="00BF0245" w:rsidP="00E30D31">
      <w:pPr>
        <w:spacing w:line="480" w:lineRule="auto"/>
        <w:rPr>
          <w:lang w:val="en-GB"/>
        </w:rPr>
      </w:pPr>
    </w:p>
    <w:p w14:paraId="68584D58" w14:textId="1C5E744F" w:rsidR="00BF0245" w:rsidRDefault="00BF0245" w:rsidP="00E30D31">
      <w:pPr>
        <w:spacing w:line="480" w:lineRule="auto"/>
        <w:rPr>
          <w:lang w:val="en-GB"/>
        </w:rPr>
      </w:pPr>
      <w:r>
        <w:rPr>
          <w:lang w:val="en-GB"/>
        </w:rPr>
        <w:t>First and foremost it’s the matter of nuclear bombs that is the reason for this, but the main argument put forth by opponents of the renewal of the programme has more to do with cost. The latest figures from the government expect the successive programme to come at a cost around £31 billion pounds. (The Independent, 2015) This</w:t>
      </w:r>
      <w:r w:rsidR="001F594B">
        <w:rPr>
          <w:lang w:val="en-GB"/>
        </w:rPr>
        <w:t xml:space="preserve"> is</w:t>
      </w:r>
      <w:r>
        <w:rPr>
          <w:lang w:val="en-GB"/>
        </w:rPr>
        <w:t xml:space="preserve"> roughly as much as one year of British military spending and by all means anything but a small investment. </w:t>
      </w:r>
      <w:r w:rsidR="00501C81">
        <w:rPr>
          <w:lang w:val="en-GB"/>
        </w:rPr>
        <w:t>There is however general parliamentary consensus among the majority of members, which will most probably extend this programme either in this or the coming year.</w:t>
      </w:r>
    </w:p>
    <w:p w14:paraId="3B0F1B3F" w14:textId="51F8099E" w:rsidR="004F4BC5" w:rsidRDefault="004F4BC5" w:rsidP="00E30D31">
      <w:pPr>
        <w:spacing w:line="480" w:lineRule="auto"/>
        <w:rPr>
          <w:lang w:val="en-GB"/>
        </w:rPr>
      </w:pPr>
    </w:p>
    <w:p w14:paraId="3395C160" w14:textId="77777777" w:rsidR="00501C81" w:rsidRDefault="00501C81" w:rsidP="00E30D31">
      <w:pPr>
        <w:spacing w:line="480" w:lineRule="auto"/>
        <w:rPr>
          <w:lang w:val="en-GB"/>
        </w:rPr>
      </w:pPr>
    </w:p>
    <w:p w14:paraId="13284496" w14:textId="77777777" w:rsidR="00501C81" w:rsidRDefault="00501C81" w:rsidP="00E30D31">
      <w:pPr>
        <w:spacing w:line="480" w:lineRule="auto"/>
        <w:rPr>
          <w:lang w:val="en-GB"/>
        </w:rPr>
      </w:pPr>
    </w:p>
    <w:p w14:paraId="0ADBF7A0" w14:textId="77777777" w:rsidR="00501C81" w:rsidRPr="00E46F6E" w:rsidRDefault="00501C81" w:rsidP="00E30D31">
      <w:pPr>
        <w:spacing w:line="480" w:lineRule="auto"/>
        <w:rPr>
          <w:lang w:val="en-GB"/>
        </w:rPr>
      </w:pPr>
      <w:bookmarkStart w:id="0" w:name="_GoBack"/>
      <w:bookmarkEnd w:id="0"/>
    </w:p>
    <w:p w14:paraId="4D95136E" w14:textId="77777777" w:rsidR="004F4BC5" w:rsidRPr="00E46F6E" w:rsidRDefault="004F4BC5" w:rsidP="00E30D31">
      <w:pPr>
        <w:spacing w:line="480" w:lineRule="auto"/>
        <w:rPr>
          <w:lang w:val="en-GB"/>
        </w:rPr>
      </w:pPr>
    </w:p>
    <w:p w14:paraId="549AC1B9" w14:textId="1D68E4C2" w:rsidR="00401C19" w:rsidRDefault="004F4BC5" w:rsidP="00E30D31">
      <w:pPr>
        <w:spacing w:line="480" w:lineRule="auto"/>
        <w:rPr>
          <w:lang w:val="en-GB"/>
        </w:rPr>
      </w:pPr>
      <w:r w:rsidRPr="00E46F6E">
        <w:rPr>
          <w:lang w:val="en-GB"/>
        </w:rPr>
        <w:t>Source</w:t>
      </w:r>
      <w:r w:rsidR="00ED59F8">
        <w:rPr>
          <w:lang w:val="en-GB"/>
        </w:rPr>
        <w:t>s</w:t>
      </w:r>
      <w:r w:rsidR="006E4C8A" w:rsidRPr="00E46F6E">
        <w:rPr>
          <w:lang w:val="en-GB"/>
        </w:rPr>
        <w:t>:</w:t>
      </w:r>
    </w:p>
    <w:p w14:paraId="5C1C9F45" w14:textId="7C85EFB0" w:rsidR="00ED59F8" w:rsidRDefault="00ED59F8" w:rsidP="00E30D31">
      <w:pPr>
        <w:spacing w:line="480" w:lineRule="auto"/>
        <w:rPr>
          <w:lang w:val="en-GB"/>
        </w:rPr>
      </w:pPr>
      <w:r>
        <w:rPr>
          <w:lang w:val="en-GB"/>
        </w:rPr>
        <w:t>All of the data concerning the relationship between Expenditure and GDP on a general level for the United Kingdom can be found in the following source:</w:t>
      </w:r>
    </w:p>
    <w:p w14:paraId="6B17511A" w14:textId="1E70602B" w:rsidR="004F4BC5" w:rsidRDefault="006E4C8A" w:rsidP="00E30D31">
      <w:pPr>
        <w:spacing w:line="480" w:lineRule="auto"/>
        <w:rPr>
          <w:lang w:val="en-GB"/>
        </w:rPr>
      </w:pPr>
      <w:r w:rsidRPr="00E46F6E">
        <w:rPr>
          <w:lang w:val="en-GB"/>
        </w:rPr>
        <w:t xml:space="preserve">Public Expenditure Statistical Analyses 2014, Chapter 4: Trends in public sector expenditure tables. </w:t>
      </w:r>
      <w:hyperlink r:id="rId12" w:history="1">
        <w:r w:rsidRPr="00E46F6E">
          <w:rPr>
            <w:rStyle w:val="Hyperlnk"/>
            <w:lang w:val="en-GB"/>
          </w:rPr>
          <w:t>https://www.gov.uk/g</w:t>
        </w:r>
        <w:r w:rsidRPr="00E46F6E">
          <w:rPr>
            <w:rStyle w:val="Hyperlnk"/>
            <w:lang w:val="en-GB"/>
          </w:rPr>
          <w:t>o</w:t>
        </w:r>
        <w:r w:rsidRPr="00E46F6E">
          <w:rPr>
            <w:rStyle w:val="Hyperlnk"/>
            <w:lang w:val="en-GB"/>
          </w:rPr>
          <w:t>vernment/statistics/public-expenditure-statistical-analyses-2014</w:t>
        </w:r>
      </w:hyperlink>
      <w:r w:rsidRPr="00E46F6E">
        <w:rPr>
          <w:lang w:val="en-GB"/>
        </w:rPr>
        <w:t xml:space="preserve"> </w:t>
      </w:r>
      <w:r w:rsidR="00ED59F8">
        <w:rPr>
          <w:lang w:val="en-GB"/>
        </w:rPr>
        <w:t>(2016-01-06)</w:t>
      </w:r>
    </w:p>
    <w:p w14:paraId="39491BC3" w14:textId="77777777" w:rsidR="00ED59F8" w:rsidRDefault="00ED59F8" w:rsidP="00E30D31">
      <w:pPr>
        <w:spacing w:line="480" w:lineRule="auto"/>
        <w:rPr>
          <w:lang w:val="en-GB"/>
        </w:rPr>
      </w:pPr>
    </w:p>
    <w:p w14:paraId="71DDD7BA" w14:textId="3CE7F81F" w:rsidR="00ED59F8" w:rsidRDefault="00ED59F8" w:rsidP="00E30D31">
      <w:pPr>
        <w:spacing w:line="480" w:lineRule="auto"/>
        <w:rPr>
          <w:lang w:val="en-GB"/>
        </w:rPr>
      </w:pPr>
      <w:r>
        <w:rPr>
          <w:lang w:val="en-GB"/>
        </w:rPr>
        <w:t xml:space="preserve">Figures on defence expenditure between countries can be downloaded from </w:t>
      </w:r>
      <w:proofErr w:type="spellStart"/>
      <w:r>
        <w:rPr>
          <w:lang w:val="en-GB"/>
        </w:rPr>
        <w:t>SIPRI</w:t>
      </w:r>
      <w:proofErr w:type="spellEnd"/>
      <w:r>
        <w:rPr>
          <w:lang w:val="en-GB"/>
        </w:rPr>
        <w:t xml:space="preserve"> on the following hyperlink: </w:t>
      </w:r>
      <w:hyperlink r:id="rId13" w:history="1">
        <w:r w:rsidRPr="003A39E1">
          <w:rPr>
            <w:rStyle w:val="Hyperlnk"/>
            <w:lang w:val="en-GB"/>
          </w:rPr>
          <w:t>http://www.sipri.org/research/armaments/milex/milex_database</w:t>
        </w:r>
      </w:hyperlink>
      <w:r>
        <w:rPr>
          <w:lang w:val="en-GB"/>
        </w:rPr>
        <w:t xml:space="preserve"> (2016-01-06)</w:t>
      </w:r>
    </w:p>
    <w:p w14:paraId="084D5CFA" w14:textId="77777777" w:rsidR="00C453B9" w:rsidRDefault="00C453B9" w:rsidP="00E30D31">
      <w:pPr>
        <w:spacing w:line="480" w:lineRule="auto"/>
        <w:rPr>
          <w:lang w:val="en-GB"/>
        </w:rPr>
      </w:pPr>
    </w:p>
    <w:p w14:paraId="1AF49B18" w14:textId="54472D2A" w:rsidR="00C453B9" w:rsidRDefault="00C453B9" w:rsidP="00E30D31">
      <w:pPr>
        <w:spacing w:line="480" w:lineRule="auto"/>
        <w:rPr>
          <w:lang w:val="en-GB"/>
        </w:rPr>
      </w:pPr>
      <w:r>
        <w:rPr>
          <w:lang w:val="en-GB"/>
        </w:rPr>
        <w:t xml:space="preserve">NATO: </w:t>
      </w:r>
      <w:hyperlink r:id="rId14" w:history="1">
        <w:r w:rsidRPr="003A39E1">
          <w:rPr>
            <w:rStyle w:val="Hyperlnk"/>
            <w:lang w:val="en-GB"/>
          </w:rPr>
          <w:t>http://www.nato.int/cps/en/natohq/official_texts_112964.htm</w:t>
        </w:r>
      </w:hyperlink>
      <w:r>
        <w:rPr>
          <w:lang w:val="en-GB"/>
        </w:rPr>
        <w:t xml:space="preserve"> (2016-01-06)</w:t>
      </w:r>
    </w:p>
    <w:p w14:paraId="13B2868F" w14:textId="77777777" w:rsidR="00440A4E" w:rsidRDefault="00440A4E" w:rsidP="00C453B9">
      <w:pPr>
        <w:spacing w:line="480" w:lineRule="auto"/>
        <w:rPr>
          <w:lang w:val="en-GB"/>
        </w:rPr>
      </w:pPr>
    </w:p>
    <w:p w14:paraId="43988EA4" w14:textId="77777777" w:rsidR="00C453B9" w:rsidRDefault="00C453B9" w:rsidP="00C453B9">
      <w:pPr>
        <w:spacing w:line="480" w:lineRule="auto"/>
        <w:rPr>
          <w:lang w:val="en-GB"/>
        </w:rPr>
      </w:pPr>
      <w:proofErr w:type="spellStart"/>
      <w:r>
        <w:rPr>
          <w:lang w:val="en-GB"/>
        </w:rPr>
        <w:t>ICAN</w:t>
      </w:r>
      <w:proofErr w:type="spellEnd"/>
      <w:r>
        <w:rPr>
          <w:lang w:val="en-GB"/>
        </w:rPr>
        <w:t xml:space="preserve">: </w:t>
      </w:r>
      <w:hyperlink r:id="rId15" w:history="1">
        <w:r w:rsidRPr="003A39E1">
          <w:rPr>
            <w:rStyle w:val="Hyperlnk"/>
            <w:lang w:val="en-GB"/>
          </w:rPr>
          <w:t>http://www.icanw.org/the-facts/nuclear-arsenals/</w:t>
        </w:r>
      </w:hyperlink>
      <w:r>
        <w:rPr>
          <w:lang w:val="en-GB"/>
        </w:rPr>
        <w:t xml:space="preserve"> (2016-01-06)</w:t>
      </w:r>
    </w:p>
    <w:p w14:paraId="42E0E5D4" w14:textId="77777777" w:rsidR="00440A4E" w:rsidRDefault="00440A4E" w:rsidP="00E30D31">
      <w:pPr>
        <w:spacing w:line="480" w:lineRule="auto"/>
        <w:rPr>
          <w:lang w:val="en-GB"/>
        </w:rPr>
      </w:pPr>
    </w:p>
    <w:p w14:paraId="25F778AC" w14:textId="36421215" w:rsidR="00BF0245" w:rsidRDefault="00440A4E" w:rsidP="00E30D31">
      <w:pPr>
        <w:spacing w:line="480" w:lineRule="auto"/>
        <w:rPr>
          <w:lang w:val="en-GB"/>
        </w:rPr>
      </w:pPr>
      <w:proofErr w:type="spellStart"/>
      <w:r>
        <w:rPr>
          <w:lang w:val="en-GB"/>
        </w:rPr>
        <w:t>Kirchberger</w:t>
      </w:r>
      <w:proofErr w:type="spellEnd"/>
      <w:r>
        <w:rPr>
          <w:lang w:val="en-GB"/>
        </w:rPr>
        <w:t xml:space="preserve">, Sarah, Assessing China’s Naval Power, Springer, 2015. Info available in Wikipedia article: </w:t>
      </w:r>
      <w:hyperlink r:id="rId16" w:history="1">
        <w:r w:rsidRPr="003A39E1">
          <w:rPr>
            <w:rStyle w:val="Hyperlnk"/>
            <w:lang w:val="en-GB"/>
          </w:rPr>
          <w:t>https://en.wikipedia.org/wiki/Blue-water_navy#Classification</w:t>
        </w:r>
      </w:hyperlink>
      <w:r>
        <w:rPr>
          <w:lang w:val="en-GB"/>
        </w:rPr>
        <w:t xml:space="preserve"> (2016-01-06)</w:t>
      </w:r>
    </w:p>
    <w:p w14:paraId="2854A2D8" w14:textId="77777777" w:rsidR="00501C81" w:rsidRDefault="00501C81" w:rsidP="00E30D31">
      <w:pPr>
        <w:spacing w:line="480" w:lineRule="auto"/>
        <w:rPr>
          <w:lang w:val="en-GB"/>
        </w:rPr>
      </w:pPr>
    </w:p>
    <w:p w14:paraId="21DD3062" w14:textId="201D95D0" w:rsidR="00BF0245" w:rsidRDefault="00BF0245" w:rsidP="00E30D31">
      <w:pPr>
        <w:spacing w:line="480" w:lineRule="auto"/>
        <w:rPr>
          <w:lang w:val="en-GB"/>
        </w:rPr>
      </w:pPr>
      <w:r>
        <w:rPr>
          <w:lang w:val="en-GB"/>
        </w:rPr>
        <w:t xml:space="preserve">BBC: </w:t>
      </w:r>
      <w:hyperlink r:id="rId17" w:history="1">
        <w:r w:rsidRPr="003A39E1">
          <w:rPr>
            <w:rStyle w:val="Hyperlnk"/>
            <w:lang w:val="en-GB"/>
          </w:rPr>
          <w:t>http://www.bbc.com/news/uk-politics-13442735</w:t>
        </w:r>
      </w:hyperlink>
      <w:r>
        <w:rPr>
          <w:lang w:val="en-GB"/>
        </w:rPr>
        <w:t xml:space="preserve"> (2016-01-06)</w:t>
      </w:r>
    </w:p>
    <w:p w14:paraId="6EA0C28E" w14:textId="77777777" w:rsidR="00501C81" w:rsidRDefault="00501C81" w:rsidP="00E30D31">
      <w:pPr>
        <w:spacing w:line="480" w:lineRule="auto"/>
        <w:rPr>
          <w:lang w:val="en-GB"/>
        </w:rPr>
      </w:pPr>
    </w:p>
    <w:p w14:paraId="30E44BF6" w14:textId="2A08FF97" w:rsidR="00BF0245" w:rsidRDefault="00BF0245" w:rsidP="00E30D31">
      <w:pPr>
        <w:spacing w:line="480" w:lineRule="auto"/>
        <w:rPr>
          <w:lang w:val="en-GB"/>
        </w:rPr>
      </w:pPr>
      <w:r>
        <w:rPr>
          <w:lang w:val="en-GB"/>
        </w:rPr>
        <w:t xml:space="preserve">The Independent: </w:t>
      </w:r>
      <w:hyperlink r:id="rId18" w:history="1">
        <w:r w:rsidRPr="003A39E1">
          <w:rPr>
            <w:rStyle w:val="Hyperlnk"/>
            <w:lang w:val="en-GB"/>
          </w:rPr>
          <w:t>http://www.independent.co.uk/life-style/gadgets-and-tech/news/trident-nuclear-deterrent-under-threat-from-underwater-drones-expert-warns-a6786946.html</w:t>
        </w:r>
      </w:hyperlink>
      <w:r>
        <w:rPr>
          <w:lang w:val="en-GB"/>
        </w:rPr>
        <w:t xml:space="preserve"> (2016-01-06)</w:t>
      </w:r>
    </w:p>
    <w:p w14:paraId="464FF7BA" w14:textId="77777777" w:rsidR="00BF0245" w:rsidRDefault="00BF0245" w:rsidP="00E30D31">
      <w:pPr>
        <w:spacing w:line="480" w:lineRule="auto"/>
        <w:rPr>
          <w:lang w:val="en-GB"/>
        </w:rPr>
      </w:pPr>
    </w:p>
    <w:p w14:paraId="28D03F1A" w14:textId="77777777" w:rsidR="00BF0245" w:rsidRDefault="00BF0245" w:rsidP="00E30D31">
      <w:pPr>
        <w:spacing w:line="480" w:lineRule="auto"/>
        <w:rPr>
          <w:lang w:val="en-GB"/>
        </w:rPr>
      </w:pPr>
    </w:p>
    <w:p w14:paraId="581188A8" w14:textId="77777777" w:rsidR="00BF0245" w:rsidRPr="00E46F6E" w:rsidRDefault="00BF0245" w:rsidP="00E30D31">
      <w:pPr>
        <w:spacing w:line="480" w:lineRule="auto"/>
        <w:rPr>
          <w:lang w:val="en-GB"/>
        </w:rPr>
      </w:pPr>
    </w:p>
    <w:sectPr w:rsidR="00BF0245" w:rsidRPr="00E46F6E" w:rsidSect="00B948C3">
      <w:headerReference w:type="first" r:id="rId19"/>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F19EB0" w14:textId="77777777" w:rsidR="00BF0245" w:rsidRDefault="00BF0245" w:rsidP="006E4C8A">
      <w:r>
        <w:separator/>
      </w:r>
    </w:p>
  </w:endnote>
  <w:endnote w:type="continuationSeparator" w:id="0">
    <w:p w14:paraId="3EDC8B3C" w14:textId="77777777" w:rsidR="00BF0245" w:rsidRDefault="00BF0245" w:rsidP="006E4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AF5888" w14:textId="77777777" w:rsidR="00BF0245" w:rsidRDefault="00BF0245" w:rsidP="006E4C8A">
      <w:r>
        <w:separator/>
      </w:r>
    </w:p>
  </w:footnote>
  <w:footnote w:type="continuationSeparator" w:id="0">
    <w:p w14:paraId="4EBA95A8" w14:textId="77777777" w:rsidR="00BF0245" w:rsidRDefault="00BF0245" w:rsidP="006E4C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9F18D6" w14:textId="7E81CBDF" w:rsidR="00BF0245" w:rsidRDefault="00BF0245" w:rsidP="00B948C3">
    <w:pPr>
      <w:pStyle w:val="Sidhuvud"/>
      <w:jc w:val="right"/>
    </w:pPr>
    <w:r>
      <w:t>Edvard von Sydow, 5804930013</w:t>
    </w:r>
    <w:r>
      <w:br/>
    </w:r>
    <w:proofErr w:type="spellStart"/>
    <w:r>
      <w:t>Economics</w:t>
    </w:r>
    <w:proofErr w:type="spellEnd"/>
    <w:r>
      <w:t xml:space="preserve"> </w:t>
    </w:r>
    <w:proofErr w:type="spellStart"/>
    <w:r>
      <w:t>of</w:t>
    </w:r>
    <w:proofErr w:type="spellEnd"/>
    <w:r>
      <w:t xml:space="preserve"> Public </w:t>
    </w:r>
    <w:proofErr w:type="spellStart"/>
    <w:r>
      <w:t>Expenditure</w:t>
    </w:r>
    <w:proofErr w:type="spellEnd"/>
    <w:r>
      <w:t xml:space="preserve"> EE441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1304"/>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BC5"/>
    <w:rsid w:val="000704F3"/>
    <w:rsid w:val="000A2FC4"/>
    <w:rsid w:val="001D3722"/>
    <w:rsid w:val="001F594B"/>
    <w:rsid w:val="002F7D82"/>
    <w:rsid w:val="003E5D03"/>
    <w:rsid w:val="00401C19"/>
    <w:rsid w:val="00440A4E"/>
    <w:rsid w:val="004F4BC5"/>
    <w:rsid w:val="00501C81"/>
    <w:rsid w:val="006145D3"/>
    <w:rsid w:val="006D4BCE"/>
    <w:rsid w:val="006E4C8A"/>
    <w:rsid w:val="008143B4"/>
    <w:rsid w:val="00877506"/>
    <w:rsid w:val="0093603A"/>
    <w:rsid w:val="009D4221"/>
    <w:rsid w:val="00B948C3"/>
    <w:rsid w:val="00BF0245"/>
    <w:rsid w:val="00C453B9"/>
    <w:rsid w:val="00CD6BB2"/>
    <w:rsid w:val="00D24A37"/>
    <w:rsid w:val="00E30D31"/>
    <w:rsid w:val="00E46F6E"/>
    <w:rsid w:val="00E95C9A"/>
    <w:rsid w:val="00ED59F8"/>
    <w:rsid w:val="00FA55E4"/>
    <w:rsid w:val="00FD0F89"/>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AAC7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yp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ubbeltext">
    <w:name w:val="Balloon Text"/>
    <w:basedOn w:val="Normal"/>
    <w:link w:val="BubbeltextChar"/>
    <w:uiPriority w:val="99"/>
    <w:semiHidden/>
    <w:unhideWhenUsed/>
    <w:rsid w:val="004F4BC5"/>
    <w:rPr>
      <w:rFonts w:ascii="Lucida Grande" w:hAnsi="Lucida Grande" w:cs="Lucida Grande"/>
      <w:sz w:val="18"/>
      <w:szCs w:val="18"/>
    </w:rPr>
  </w:style>
  <w:style w:type="character" w:customStyle="1" w:styleId="BubbeltextChar">
    <w:name w:val="Bubbeltext Char"/>
    <w:basedOn w:val="Standardstycketypsnitt"/>
    <w:link w:val="Bubbeltext"/>
    <w:uiPriority w:val="99"/>
    <w:semiHidden/>
    <w:rsid w:val="004F4BC5"/>
    <w:rPr>
      <w:rFonts w:ascii="Lucida Grande" w:hAnsi="Lucida Grande" w:cs="Lucida Grande"/>
      <w:sz w:val="18"/>
      <w:szCs w:val="18"/>
    </w:rPr>
  </w:style>
  <w:style w:type="character" w:styleId="Hyperlnk">
    <w:name w:val="Hyperlink"/>
    <w:basedOn w:val="Standardstycketypsnitt"/>
    <w:uiPriority w:val="99"/>
    <w:unhideWhenUsed/>
    <w:rsid w:val="006E4C8A"/>
    <w:rPr>
      <w:color w:val="0000FF" w:themeColor="hyperlink"/>
      <w:u w:val="single"/>
    </w:rPr>
  </w:style>
  <w:style w:type="paragraph" w:styleId="Sidhuvud">
    <w:name w:val="header"/>
    <w:basedOn w:val="Normal"/>
    <w:link w:val="SidhuvudChar"/>
    <w:uiPriority w:val="99"/>
    <w:unhideWhenUsed/>
    <w:rsid w:val="006E4C8A"/>
    <w:pPr>
      <w:tabs>
        <w:tab w:val="center" w:pos="4536"/>
        <w:tab w:val="right" w:pos="9072"/>
      </w:tabs>
    </w:pPr>
  </w:style>
  <w:style w:type="character" w:customStyle="1" w:styleId="SidhuvudChar">
    <w:name w:val="Sidhuvud Char"/>
    <w:basedOn w:val="Standardstycketypsnitt"/>
    <w:link w:val="Sidhuvud"/>
    <w:uiPriority w:val="99"/>
    <w:rsid w:val="006E4C8A"/>
  </w:style>
  <w:style w:type="paragraph" w:styleId="Sidfot">
    <w:name w:val="footer"/>
    <w:basedOn w:val="Normal"/>
    <w:link w:val="SidfotChar"/>
    <w:uiPriority w:val="99"/>
    <w:unhideWhenUsed/>
    <w:rsid w:val="006E4C8A"/>
    <w:pPr>
      <w:tabs>
        <w:tab w:val="center" w:pos="4536"/>
        <w:tab w:val="right" w:pos="9072"/>
      </w:tabs>
    </w:pPr>
  </w:style>
  <w:style w:type="character" w:customStyle="1" w:styleId="SidfotChar">
    <w:name w:val="Sidfot Char"/>
    <w:basedOn w:val="Standardstycketypsnitt"/>
    <w:link w:val="Sidfot"/>
    <w:uiPriority w:val="99"/>
    <w:rsid w:val="006E4C8A"/>
  </w:style>
  <w:style w:type="character" w:styleId="AnvndHyperlnk">
    <w:name w:val="FollowedHyperlink"/>
    <w:basedOn w:val="Standardstycketypsnitt"/>
    <w:uiPriority w:val="99"/>
    <w:semiHidden/>
    <w:unhideWhenUsed/>
    <w:rsid w:val="00FA55E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yp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ubbeltext">
    <w:name w:val="Balloon Text"/>
    <w:basedOn w:val="Normal"/>
    <w:link w:val="BubbeltextChar"/>
    <w:uiPriority w:val="99"/>
    <w:semiHidden/>
    <w:unhideWhenUsed/>
    <w:rsid w:val="004F4BC5"/>
    <w:rPr>
      <w:rFonts w:ascii="Lucida Grande" w:hAnsi="Lucida Grande" w:cs="Lucida Grande"/>
      <w:sz w:val="18"/>
      <w:szCs w:val="18"/>
    </w:rPr>
  </w:style>
  <w:style w:type="character" w:customStyle="1" w:styleId="BubbeltextChar">
    <w:name w:val="Bubbeltext Char"/>
    <w:basedOn w:val="Standardstycketypsnitt"/>
    <w:link w:val="Bubbeltext"/>
    <w:uiPriority w:val="99"/>
    <w:semiHidden/>
    <w:rsid w:val="004F4BC5"/>
    <w:rPr>
      <w:rFonts w:ascii="Lucida Grande" w:hAnsi="Lucida Grande" w:cs="Lucida Grande"/>
      <w:sz w:val="18"/>
      <w:szCs w:val="18"/>
    </w:rPr>
  </w:style>
  <w:style w:type="character" w:styleId="Hyperlnk">
    <w:name w:val="Hyperlink"/>
    <w:basedOn w:val="Standardstycketypsnitt"/>
    <w:uiPriority w:val="99"/>
    <w:unhideWhenUsed/>
    <w:rsid w:val="006E4C8A"/>
    <w:rPr>
      <w:color w:val="0000FF" w:themeColor="hyperlink"/>
      <w:u w:val="single"/>
    </w:rPr>
  </w:style>
  <w:style w:type="paragraph" w:styleId="Sidhuvud">
    <w:name w:val="header"/>
    <w:basedOn w:val="Normal"/>
    <w:link w:val="SidhuvudChar"/>
    <w:uiPriority w:val="99"/>
    <w:unhideWhenUsed/>
    <w:rsid w:val="006E4C8A"/>
    <w:pPr>
      <w:tabs>
        <w:tab w:val="center" w:pos="4536"/>
        <w:tab w:val="right" w:pos="9072"/>
      </w:tabs>
    </w:pPr>
  </w:style>
  <w:style w:type="character" w:customStyle="1" w:styleId="SidhuvudChar">
    <w:name w:val="Sidhuvud Char"/>
    <w:basedOn w:val="Standardstycketypsnitt"/>
    <w:link w:val="Sidhuvud"/>
    <w:uiPriority w:val="99"/>
    <w:rsid w:val="006E4C8A"/>
  </w:style>
  <w:style w:type="paragraph" w:styleId="Sidfot">
    <w:name w:val="footer"/>
    <w:basedOn w:val="Normal"/>
    <w:link w:val="SidfotChar"/>
    <w:uiPriority w:val="99"/>
    <w:unhideWhenUsed/>
    <w:rsid w:val="006E4C8A"/>
    <w:pPr>
      <w:tabs>
        <w:tab w:val="center" w:pos="4536"/>
        <w:tab w:val="right" w:pos="9072"/>
      </w:tabs>
    </w:pPr>
  </w:style>
  <w:style w:type="character" w:customStyle="1" w:styleId="SidfotChar">
    <w:name w:val="Sidfot Char"/>
    <w:basedOn w:val="Standardstycketypsnitt"/>
    <w:link w:val="Sidfot"/>
    <w:uiPriority w:val="99"/>
    <w:rsid w:val="006E4C8A"/>
  </w:style>
  <w:style w:type="character" w:styleId="AnvndHyperlnk">
    <w:name w:val="FollowedHyperlink"/>
    <w:basedOn w:val="Standardstycketypsnitt"/>
    <w:uiPriority w:val="99"/>
    <w:semiHidden/>
    <w:unhideWhenUsed/>
    <w:rsid w:val="00FA55E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1857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chart" Target="charts/chart3.xml"/><Relationship Id="rId11" Type="http://schemas.openxmlformats.org/officeDocument/2006/relationships/chart" Target="charts/chart4.xml"/><Relationship Id="rId12" Type="http://schemas.openxmlformats.org/officeDocument/2006/relationships/hyperlink" Target="https://www.gov.uk/government/statistics/public-expenditure-statistical-analyses-2014" TargetMode="External"/><Relationship Id="rId13" Type="http://schemas.openxmlformats.org/officeDocument/2006/relationships/hyperlink" Target="http://www.sipri.org/research/armaments/milex/milex_database" TargetMode="External"/><Relationship Id="rId14" Type="http://schemas.openxmlformats.org/officeDocument/2006/relationships/hyperlink" Target="http://www.nato.int/cps/en/natohq/official_texts_112964.htm" TargetMode="External"/><Relationship Id="rId15" Type="http://schemas.openxmlformats.org/officeDocument/2006/relationships/hyperlink" Target="http://www.icanw.org/the-facts/nuclear-arsenals/" TargetMode="External"/><Relationship Id="rId16" Type="http://schemas.openxmlformats.org/officeDocument/2006/relationships/hyperlink" Target="https://en.wikipedia.org/wiki/Blue-water_navy#Classification" TargetMode="External"/><Relationship Id="rId17" Type="http://schemas.openxmlformats.org/officeDocument/2006/relationships/hyperlink" Target="http://www.bbc.com/news/uk-politics-13442735" TargetMode="External"/><Relationship Id="rId18" Type="http://schemas.openxmlformats.org/officeDocument/2006/relationships/hyperlink" Target="http://www.independent.co.uk/life-style/gadgets-and-tech/news/trident-nuclear-deterrent-under-threat-from-underwater-drones-expert-warns-a6786946.html"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edvardvonsydow:Documents:1Thammasat:EE441:UK%20Public%20Expenditur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edvardvonsydow:Downloads:pesa_2010_tables_chapter4.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edvardvonsydow:Downloads:PESA_2015_CM_Chapter_4_Tabl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edvardvonsydow:Downloads:PESA_2015_CM_Chapter_4_Tabl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latin typeface="Times New Roman"/>
              </a:defRPr>
            </a:pPr>
            <a:r>
              <a:rPr lang="sv-SE">
                <a:latin typeface="Times New Roman"/>
              </a:rPr>
              <a:t>Composition of Government Expenditure 2013-2014 Outturn</a:t>
            </a:r>
          </a:p>
        </c:rich>
      </c:tx>
      <c:layout/>
      <c:overlay val="0"/>
    </c:title>
    <c:autoTitleDeleted val="0"/>
    <c:plotArea>
      <c:layout/>
      <c:pieChart>
        <c:varyColors val="1"/>
        <c:ser>
          <c:idx val="0"/>
          <c:order val="0"/>
          <c:dPt>
            <c:idx val="0"/>
            <c:bubble3D val="0"/>
            <c:spPr>
              <a:solidFill>
                <a:schemeClr val="tx2">
                  <a:lumMod val="60000"/>
                  <a:lumOff val="40000"/>
                </a:schemeClr>
              </a:solidFill>
            </c:spPr>
          </c:dPt>
          <c:dLbls>
            <c:dLbl>
              <c:idx val="1"/>
              <c:layout>
                <c:manualLayout>
                  <c:x val="-0.0232458919550734"/>
                  <c:y val="-0.0606932678642348"/>
                </c:manualLayout>
              </c:layout>
              <c:showLegendKey val="0"/>
              <c:showVal val="0"/>
              <c:showCatName val="1"/>
              <c:showSerName val="0"/>
              <c:showPercent val="1"/>
              <c:showBubbleSize val="0"/>
            </c:dLbl>
            <c:dLbl>
              <c:idx val="2"/>
              <c:layout>
                <c:manualLayout>
                  <c:x val="0.0417668695548997"/>
                  <c:y val="-0.0399689721986086"/>
                </c:manualLayout>
              </c:layout>
              <c:showLegendKey val="0"/>
              <c:showVal val="0"/>
              <c:showCatName val="1"/>
              <c:showSerName val="0"/>
              <c:showPercent val="1"/>
              <c:showBubbleSize val="0"/>
            </c:dLbl>
            <c:dLbl>
              <c:idx val="3"/>
              <c:layout>
                <c:manualLayout>
                  <c:x val="-0.00333440205193972"/>
                  <c:y val="-0.0391153794395959"/>
                </c:manualLayout>
              </c:layout>
              <c:showLegendKey val="0"/>
              <c:showVal val="0"/>
              <c:showCatName val="1"/>
              <c:showSerName val="0"/>
              <c:showPercent val="1"/>
              <c:showBubbleSize val="0"/>
            </c:dLbl>
            <c:dLbl>
              <c:idx val="10"/>
              <c:layout>
                <c:manualLayout>
                  <c:x val="-0.147390769805586"/>
                  <c:y val="0.0291516915950325"/>
                </c:manualLayout>
              </c:layout>
              <c:showLegendKey val="0"/>
              <c:showVal val="0"/>
              <c:showCatName val="1"/>
              <c:showSerName val="0"/>
              <c:showPercent val="1"/>
              <c:showBubbleSize val="0"/>
            </c:dLbl>
            <c:txPr>
              <a:bodyPr/>
              <a:lstStyle/>
              <a:p>
                <a:pPr>
                  <a:defRPr cap="small">
                    <a:latin typeface="Times New Roman"/>
                  </a:defRPr>
                </a:pPr>
                <a:endParaRPr lang="sv-SE"/>
              </a:p>
            </c:txPr>
            <c:showLegendKey val="0"/>
            <c:showVal val="0"/>
            <c:showCatName val="1"/>
            <c:showSerName val="0"/>
            <c:showPercent val="1"/>
            <c:showBubbleSize val="0"/>
            <c:showLeaderLines val="1"/>
          </c:dLbls>
          <c:cat>
            <c:strRef>
              <c:f>'[UK Public Expenditure.xlsx]Blad2'!$A$1:$A$11</c:f>
              <c:strCache>
                <c:ptCount val="11"/>
                <c:pt idx="0">
                  <c:v>1. General public services</c:v>
                </c:pt>
                <c:pt idx="1">
                  <c:v>2. Defence</c:v>
                </c:pt>
                <c:pt idx="2">
                  <c:v>3. Public order and safety</c:v>
                </c:pt>
                <c:pt idx="3">
                  <c:v>4. Economic affairs</c:v>
                </c:pt>
                <c:pt idx="4">
                  <c:v>5. Environment protection</c:v>
                </c:pt>
                <c:pt idx="5">
                  <c:v>6. Housing and community amenities</c:v>
                </c:pt>
                <c:pt idx="6">
                  <c:v>7. Health</c:v>
                </c:pt>
                <c:pt idx="7">
                  <c:v>8. Recreation, culture and religion</c:v>
                </c:pt>
                <c:pt idx="8">
                  <c:v>9. Education</c:v>
                </c:pt>
                <c:pt idx="9">
                  <c:v>10. Social protection</c:v>
                </c:pt>
                <c:pt idx="10">
                  <c:v>11. EU transactions</c:v>
                </c:pt>
              </c:strCache>
            </c:strRef>
          </c:cat>
          <c:val>
            <c:numRef>
              <c:f>'[UK Public Expenditure.xlsx]Blad2'!$B$1:$B$11</c:f>
              <c:numCache>
                <c:formatCode>#\ ##0.0_ ;\-#\ ##0.0\ </c:formatCode>
                <c:ptCount val="11"/>
                <c:pt idx="0">
                  <c:v>70.0</c:v>
                </c:pt>
                <c:pt idx="1">
                  <c:v>36.4</c:v>
                </c:pt>
                <c:pt idx="2">
                  <c:v>30.2</c:v>
                </c:pt>
                <c:pt idx="3">
                  <c:v>39.0</c:v>
                </c:pt>
                <c:pt idx="4">
                  <c:v>11.4</c:v>
                </c:pt>
                <c:pt idx="5">
                  <c:v>11.3</c:v>
                </c:pt>
                <c:pt idx="6">
                  <c:v>129.5</c:v>
                </c:pt>
                <c:pt idx="7">
                  <c:v>11.6</c:v>
                </c:pt>
                <c:pt idx="8">
                  <c:v>90.2</c:v>
                </c:pt>
                <c:pt idx="9">
                  <c:v>251.3</c:v>
                </c:pt>
                <c:pt idx="10">
                  <c:v>5.2</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latin typeface="Times New Roman"/>
              </a:defRPr>
            </a:pPr>
            <a:r>
              <a:rPr lang="sv-SE">
                <a:latin typeface="Times New Roman"/>
              </a:rPr>
              <a:t>Composition of Government Expenditure 2003-2004</a:t>
            </a:r>
            <a:r>
              <a:rPr lang="sv-SE" baseline="0">
                <a:latin typeface="Times New Roman"/>
              </a:rPr>
              <a:t> Outturn</a:t>
            </a:r>
            <a:endParaRPr lang="sv-SE">
              <a:latin typeface="Times New Roman"/>
            </a:endParaRPr>
          </a:p>
        </c:rich>
      </c:tx>
      <c:layout/>
      <c:overlay val="0"/>
    </c:title>
    <c:autoTitleDeleted val="0"/>
    <c:plotArea>
      <c:layout/>
      <c:pieChart>
        <c:varyColors val="1"/>
        <c:ser>
          <c:idx val="0"/>
          <c:order val="0"/>
          <c:dLbls>
            <c:txPr>
              <a:bodyPr/>
              <a:lstStyle/>
              <a:p>
                <a:pPr>
                  <a:defRPr sz="1000">
                    <a:latin typeface="Times New Roman"/>
                  </a:defRPr>
                </a:pPr>
                <a:endParaRPr lang="sv-SE"/>
              </a:p>
            </c:txPr>
            <c:showLegendKey val="0"/>
            <c:showVal val="0"/>
            <c:showCatName val="1"/>
            <c:showSerName val="0"/>
            <c:showPercent val="1"/>
            <c:showBubbleSize val="0"/>
            <c:showLeaderLines val="1"/>
          </c:dLbls>
          <c:cat>
            <c:strRef>
              <c:f>[pesa_2010_tables_chapter4.xls]Blad1!$G$29:$G$38</c:f>
              <c:strCache>
                <c:ptCount val="10"/>
                <c:pt idx="0">
                  <c:v>1. General public services</c:v>
                </c:pt>
                <c:pt idx="1">
                  <c:v>2. Defence</c:v>
                </c:pt>
                <c:pt idx="2">
                  <c:v>3. Public order and safety</c:v>
                </c:pt>
                <c:pt idx="3">
                  <c:v>4. Economic affairs</c:v>
                </c:pt>
                <c:pt idx="4">
                  <c:v>5. Environment protection</c:v>
                </c:pt>
                <c:pt idx="5">
                  <c:v>6. Housing and community amenities</c:v>
                </c:pt>
                <c:pt idx="6">
                  <c:v>7. Health</c:v>
                </c:pt>
                <c:pt idx="7">
                  <c:v>8. Recreation, culture and religion</c:v>
                </c:pt>
                <c:pt idx="8">
                  <c:v>9. Education</c:v>
                </c:pt>
                <c:pt idx="9">
                  <c:v>10. Social protection</c:v>
                </c:pt>
              </c:strCache>
            </c:strRef>
          </c:cat>
          <c:val>
            <c:numRef>
              <c:f>[pesa_2010_tables_chapter4.xls]Blad1!$H$29:$H$38</c:f>
              <c:numCache>
                <c:formatCode>0.0</c:formatCode>
                <c:ptCount val="10"/>
                <c:pt idx="0">
                  <c:v>3.379350496972544</c:v>
                </c:pt>
                <c:pt idx="1">
                  <c:v>2.489868309187426</c:v>
                </c:pt>
                <c:pt idx="2">
                  <c:v>2.281977487627526</c:v>
                </c:pt>
                <c:pt idx="3">
                  <c:v>2.858398680499876</c:v>
                </c:pt>
                <c:pt idx="4">
                  <c:v>0.537648348724045</c:v>
                </c:pt>
                <c:pt idx="5">
                  <c:v>0.579028829937239</c:v>
                </c:pt>
                <c:pt idx="6">
                  <c:v>6.47269139318201</c:v>
                </c:pt>
                <c:pt idx="7">
                  <c:v>0.833896344245072</c:v>
                </c:pt>
                <c:pt idx="8">
                  <c:v>5.272688541983466</c:v>
                </c:pt>
                <c:pt idx="9">
                  <c:v>13.44500884735547</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23"/>
    </mc:Choice>
    <mc:Fallback>
      <c:style val="23"/>
    </mc:Fallback>
  </mc:AlternateContent>
  <c:chart>
    <c:autoTitleDeleted val="0"/>
    <c:plotArea>
      <c:layout/>
      <c:lineChart>
        <c:grouping val="stacked"/>
        <c:varyColors val="0"/>
        <c:ser>
          <c:idx val="0"/>
          <c:order val="0"/>
          <c:tx>
            <c:strRef>
              <c:f>[PESA_2015_CM_Chapter_4_Tables.xlsx]Blad1!$C$28</c:f>
              <c:strCache>
                <c:ptCount val="1"/>
                <c:pt idx="0">
                  <c:v>EU transactions</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[PESA_2015_CM_Chapter_4_Tables.xlsx]Blad1!$D$28:$R$28</c:f>
              <c:numCache>
                <c:formatCode>#\ ##0.0_ ;\-#\ ##0.0\ </c:formatCode>
                <c:ptCount val="15"/>
                <c:pt idx="0">
                  <c:v>-2.6</c:v>
                </c:pt>
                <c:pt idx="1">
                  <c:v>-4.8</c:v>
                </c:pt>
                <c:pt idx="2">
                  <c:v>-1.9</c:v>
                </c:pt>
                <c:pt idx="3">
                  <c:v>-2.1</c:v>
                </c:pt>
                <c:pt idx="4">
                  <c:v>-0.9</c:v>
                </c:pt>
                <c:pt idx="5">
                  <c:v>-0.6</c:v>
                </c:pt>
                <c:pt idx="6">
                  <c:v>-1.8</c:v>
                </c:pt>
                <c:pt idx="7">
                  <c:v>-1.5</c:v>
                </c:pt>
                <c:pt idx="8">
                  <c:v>-2.9</c:v>
                </c:pt>
                <c:pt idx="9">
                  <c:v>0.9</c:v>
                </c:pt>
                <c:pt idx="10">
                  <c:v>3.6</c:v>
                </c:pt>
                <c:pt idx="11">
                  <c:v>2.0</c:v>
                </c:pt>
                <c:pt idx="12">
                  <c:v>4.3</c:v>
                </c:pt>
                <c:pt idx="13">
                  <c:v>5.0</c:v>
                </c:pt>
                <c:pt idx="14">
                  <c:v>3.7</c:v>
                </c:pt>
              </c:numCache>
            </c:numRef>
          </c:val>
          <c:smooth val="0"/>
        </c:ser>
        <c:ser>
          <c:idx val="1"/>
          <c:order val="1"/>
          <c:tx>
            <c:strRef>
              <c:f>[PESA_2015_CM_Chapter_4_Tables.xlsx]Blad1!$C$29</c:f>
              <c:strCache>
                <c:ptCount val="1"/>
                <c:pt idx="0">
                  <c:v>6. Housing and community amenities</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[PESA_2015_CM_Chapter_4_Tables.xlsx]Blad1!$D$29:$R$29</c:f>
              <c:numCache>
                <c:formatCode>#\ ##0.0_ ;\-#\ ##0.0\ </c:formatCode>
                <c:ptCount val="15"/>
                <c:pt idx="0">
                  <c:v>5.5</c:v>
                </c:pt>
                <c:pt idx="1">
                  <c:v>6.2</c:v>
                </c:pt>
                <c:pt idx="2">
                  <c:v>5.4</c:v>
                </c:pt>
                <c:pt idx="3">
                  <c:v>6.7</c:v>
                </c:pt>
                <c:pt idx="4">
                  <c:v>8.0</c:v>
                </c:pt>
                <c:pt idx="5">
                  <c:v>10.7</c:v>
                </c:pt>
                <c:pt idx="6">
                  <c:v>11.5</c:v>
                </c:pt>
                <c:pt idx="7">
                  <c:v>13.0</c:v>
                </c:pt>
                <c:pt idx="8">
                  <c:v>15.3</c:v>
                </c:pt>
                <c:pt idx="9">
                  <c:v>16.3</c:v>
                </c:pt>
                <c:pt idx="10">
                  <c:v>13.1</c:v>
                </c:pt>
                <c:pt idx="11">
                  <c:v>10.0</c:v>
                </c:pt>
                <c:pt idx="12">
                  <c:v>9.9</c:v>
                </c:pt>
                <c:pt idx="13">
                  <c:v>9.7</c:v>
                </c:pt>
                <c:pt idx="14">
                  <c:v>10.9</c:v>
                </c:pt>
              </c:numCache>
            </c:numRef>
          </c:val>
          <c:smooth val="0"/>
        </c:ser>
        <c:ser>
          <c:idx val="2"/>
          <c:order val="2"/>
          <c:tx>
            <c:strRef>
              <c:f>[PESA_2015_CM_Chapter_4_Tables.xlsx]Blad1!$C$30</c:f>
              <c:strCache>
                <c:ptCount val="1"/>
                <c:pt idx="0">
                  <c:v>5. Environment protection</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[PESA_2015_CM_Chapter_4_Tables.xlsx]Blad1!$D$30:$R$30</c:f>
              <c:numCache>
                <c:formatCode>#\ ##0.0_ ;\-#\ ##0.0\ </c:formatCode>
                <c:ptCount val="15"/>
                <c:pt idx="0">
                  <c:v>5.1</c:v>
                </c:pt>
                <c:pt idx="1">
                  <c:v>5.4</c:v>
                </c:pt>
                <c:pt idx="2">
                  <c:v>6.0</c:v>
                </c:pt>
                <c:pt idx="3">
                  <c:v>6.2</c:v>
                </c:pt>
                <c:pt idx="4">
                  <c:v>7.0</c:v>
                </c:pt>
                <c:pt idx="5">
                  <c:v>8.5</c:v>
                </c:pt>
                <c:pt idx="6">
                  <c:v>9.4</c:v>
                </c:pt>
                <c:pt idx="7">
                  <c:v>9.6</c:v>
                </c:pt>
                <c:pt idx="8">
                  <c:v>9.2</c:v>
                </c:pt>
                <c:pt idx="9">
                  <c:v>10.4</c:v>
                </c:pt>
                <c:pt idx="10">
                  <c:v>10.9</c:v>
                </c:pt>
                <c:pt idx="11">
                  <c:v>10.5</c:v>
                </c:pt>
                <c:pt idx="12">
                  <c:v>10.6</c:v>
                </c:pt>
                <c:pt idx="13">
                  <c:v>11.0</c:v>
                </c:pt>
                <c:pt idx="14">
                  <c:v>11.7</c:v>
                </c:pt>
              </c:numCache>
            </c:numRef>
          </c:val>
          <c:smooth val="0"/>
        </c:ser>
        <c:ser>
          <c:idx val="3"/>
          <c:order val="3"/>
          <c:tx>
            <c:strRef>
              <c:f>[PESA_2015_CM_Chapter_4_Tables.xlsx]Blad1!$C$31</c:f>
              <c:strCache>
                <c:ptCount val="1"/>
                <c:pt idx="0">
                  <c:v>8. Recreation, culture and religion</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[PESA_2015_CM_Chapter_4_Tables.xlsx]Blad1!$D$31:$R$31</c:f>
              <c:numCache>
                <c:formatCode>#\ ##0.0_ ;\-#\ ##0.0\ </c:formatCode>
                <c:ptCount val="15"/>
                <c:pt idx="0">
                  <c:v>7.8</c:v>
                </c:pt>
                <c:pt idx="1">
                  <c:v>8.6</c:v>
                </c:pt>
                <c:pt idx="2">
                  <c:v>9.3</c:v>
                </c:pt>
                <c:pt idx="3">
                  <c:v>9.7</c:v>
                </c:pt>
                <c:pt idx="4">
                  <c:v>10.0</c:v>
                </c:pt>
                <c:pt idx="5">
                  <c:v>10.8</c:v>
                </c:pt>
                <c:pt idx="6">
                  <c:v>11.4</c:v>
                </c:pt>
                <c:pt idx="7">
                  <c:v>11.9</c:v>
                </c:pt>
                <c:pt idx="8">
                  <c:v>12.4</c:v>
                </c:pt>
                <c:pt idx="9">
                  <c:v>13.2</c:v>
                </c:pt>
                <c:pt idx="10">
                  <c:v>13.0</c:v>
                </c:pt>
                <c:pt idx="11">
                  <c:v>12.5</c:v>
                </c:pt>
                <c:pt idx="12">
                  <c:v>12.7</c:v>
                </c:pt>
                <c:pt idx="13">
                  <c:v>11.4</c:v>
                </c:pt>
                <c:pt idx="14">
                  <c:v>11.9</c:v>
                </c:pt>
              </c:numCache>
            </c:numRef>
          </c:val>
          <c:smooth val="0"/>
        </c:ser>
        <c:ser>
          <c:idx val="4"/>
          <c:order val="4"/>
          <c:tx>
            <c:strRef>
              <c:f>[PESA_2015_CM_Chapter_4_Tables.xlsx]Blad1!$C$32</c:f>
              <c:strCache>
                <c:ptCount val="1"/>
                <c:pt idx="0">
                  <c:v>3. Public order and safety</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[PESA_2015_CM_Chapter_4_Tables.xlsx]Blad1!$D$32:$R$32</c:f>
              <c:numCache>
                <c:formatCode>#\ ##0.0_ ;\-#\ ##0.0\ </c:formatCode>
                <c:ptCount val="15"/>
                <c:pt idx="0">
                  <c:v>20.4</c:v>
                </c:pt>
                <c:pt idx="1">
                  <c:v>23.1</c:v>
                </c:pt>
                <c:pt idx="2">
                  <c:v>24.4</c:v>
                </c:pt>
                <c:pt idx="3">
                  <c:v>26.4</c:v>
                </c:pt>
                <c:pt idx="4">
                  <c:v>28.5</c:v>
                </c:pt>
                <c:pt idx="5">
                  <c:v>29.3</c:v>
                </c:pt>
                <c:pt idx="6">
                  <c:v>30.4</c:v>
                </c:pt>
                <c:pt idx="7">
                  <c:v>31.7</c:v>
                </c:pt>
                <c:pt idx="8">
                  <c:v>33.7</c:v>
                </c:pt>
                <c:pt idx="9">
                  <c:v>34.1</c:v>
                </c:pt>
                <c:pt idx="10">
                  <c:v>33.0</c:v>
                </c:pt>
                <c:pt idx="11">
                  <c:v>32.0</c:v>
                </c:pt>
                <c:pt idx="12">
                  <c:v>31.2</c:v>
                </c:pt>
                <c:pt idx="13">
                  <c:v>29.5</c:v>
                </c:pt>
                <c:pt idx="14">
                  <c:v>29.9</c:v>
                </c:pt>
              </c:numCache>
            </c:numRef>
          </c:val>
          <c:smooth val="0"/>
        </c:ser>
        <c:ser>
          <c:idx val="5"/>
          <c:order val="5"/>
          <c:tx>
            <c:strRef>
              <c:f>[PESA_2015_CM_Chapter_4_Tables.xlsx]Blad1!$C$33</c:f>
              <c:strCache>
                <c:ptCount val="1"/>
                <c:pt idx="0">
                  <c:v>2. Defence</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[PESA_2015_CM_Chapter_4_Tables.xlsx]Blad1!$D$33:$R$33</c:f>
              <c:numCache>
                <c:formatCode>#\ ##0.0_ ;\-#\ ##0.0\ </c:formatCode>
                <c:ptCount val="15"/>
                <c:pt idx="0">
                  <c:v>25.7</c:v>
                </c:pt>
                <c:pt idx="1">
                  <c:v>25.4</c:v>
                </c:pt>
                <c:pt idx="2">
                  <c:v>27.0</c:v>
                </c:pt>
                <c:pt idx="3">
                  <c:v>28.8</c:v>
                </c:pt>
                <c:pt idx="4">
                  <c:v>29.8</c:v>
                </c:pt>
                <c:pt idx="5">
                  <c:v>31.0</c:v>
                </c:pt>
                <c:pt idx="6">
                  <c:v>32.2</c:v>
                </c:pt>
                <c:pt idx="7">
                  <c:v>33.7</c:v>
                </c:pt>
                <c:pt idx="8">
                  <c:v>36.8</c:v>
                </c:pt>
                <c:pt idx="9">
                  <c:v>37.7</c:v>
                </c:pt>
                <c:pt idx="10">
                  <c:v>39.3</c:v>
                </c:pt>
                <c:pt idx="11">
                  <c:v>38.7</c:v>
                </c:pt>
                <c:pt idx="12">
                  <c:v>36.4</c:v>
                </c:pt>
                <c:pt idx="13">
                  <c:v>36.4</c:v>
                </c:pt>
                <c:pt idx="14">
                  <c:v>36.5</c:v>
                </c:pt>
              </c:numCache>
            </c:numRef>
          </c:val>
          <c:smooth val="0"/>
        </c:ser>
        <c:ser>
          <c:idx val="6"/>
          <c:order val="6"/>
          <c:tx>
            <c:strRef>
              <c:f>[PESA_2015_CM_Chapter_4_Tables.xlsx]Blad1!$C$34</c:f>
              <c:strCache>
                <c:ptCount val="1"/>
                <c:pt idx="0">
                  <c:v>4. Economic affairs</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[PESA_2015_CM_Chapter_4_Tables.xlsx]Blad1!$D$34:$R$34</c:f>
              <c:numCache>
                <c:formatCode>#\ ##0.0_ ;\-#\ ##0.0\ </c:formatCode>
                <c:ptCount val="15"/>
                <c:pt idx="0">
                  <c:v>23.8</c:v>
                </c:pt>
                <c:pt idx="1">
                  <c:v>27.8</c:v>
                </c:pt>
                <c:pt idx="2">
                  <c:v>30.8</c:v>
                </c:pt>
                <c:pt idx="3">
                  <c:v>33.1</c:v>
                </c:pt>
                <c:pt idx="4">
                  <c:v>33.7</c:v>
                </c:pt>
                <c:pt idx="5">
                  <c:v>35.4</c:v>
                </c:pt>
                <c:pt idx="6">
                  <c:v>37.7</c:v>
                </c:pt>
                <c:pt idx="7">
                  <c:v>37.4</c:v>
                </c:pt>
                <c:pt idx="8">
                  <c:v>49.7</c:v>
                </c:pt>
                <c:pt idx="9">
                  <c:v>48.7</c:v>
                </c:pt>
                <c:pt idx="10">
                  <c:v>39.9</c:v>
                </c:pt>
                <c:pt idx="11">
                  <c:v>37.5</c:v>
                </c:pt>
                <c:pt idx="12">
                  <c:v>35.4</c:v>
                </c:pt>
                <c:pt idx="13">
                  <c:v>38.1</c:v>
                </c:pt>
                <c:pt idx="14">
                  <c:v>38.4</c:v>
                </c:pt>
              </c:numCache>
            </c:numRef>
          </c:val>
          <c:smooth val="0"/>
        </c:ser>
        <c:ser>
          <c:idx val="7"/>
          <c:order val="7"/>
          <c:tx>
            <c:strRef>
              <c:f>[PESA_2015_CM_Chapter_4_Tables.xlsx]Blad1!$C$35</c:f>
              <c:strCache>
                <c:ptCount val="1"/>
                <c:pt idx="0">
                  <c:v>1. General public services</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[PESA_2015_CM_Chapter_4_Tables.xlsx]Blad1!$D$35:$R$35</c:f>
              <c:numCache>
                <c:formatCode>#\ ##0.0_ ;\-#\ ##0.0\ </c:formatCode>
                <c:ptCount val="15"/>
                <c:pt idx="0">
                  <c:v>38.7</c:v>
                </c:pt>
                <c:pt idx="1">
                  <c:v>36.2</c:v>
                </c:pt>
                <c:pt idx="2">
                  <c:v>35.5</c:v>
                </c:pt>
                <c:pt idx="3">
                  <c:v>38.7</c:v>
                </c:pt>
                <c:pt idx="4">
                  <c:v>43.0</c:v>
                </c:pt>
                <c:pt idx="5">
                  <c:v>46.1</c:v>
                </c:pt>
                <c:pt idx="6">
                  <c:v>48.5</c:v>
                </c:pt>
                <c:pt idx="7">
                  <c:v>51.4</c:v>
                </c:pt>
                <c:pt idx="8">
                  <c:v>53.9</c:v>
                </c:pt>
                <c:pt idx="9">
                  <c:v>48.0</c:v>
                </c:pt>
                <c:pt idx="10">
                  <c:v>60.7</c:v>
                </c:pt>
                <c:pt idx="11">
                  <c:v>61.4</c:v>
                </c:pt>
                <c:pt idx="12">
                  <c:v>57.0</c:v>
                </c:pt>
                <c:pt idx="13">
                  <c:v>58.4</c:v>
                </c:pt>
                <c:pt idx="14">
                  <c:v>56.1</c:v>
                </c:pt>
              </c:numCache>
            </c:numRef>
          </c:val>
          <c:smooth val="0"/>
        </c:ser>
        <c:ser>
          <c:idx val="8"/>
          <c:order val="8"/>
          <c:tx>
            <c:strRef>
              <c:f>[PESA_2015_CM_Chapter_4_Tables.xlsx]Blad1!$C$36</c:f>
              <c:strCache>
                <c:ptCount val="1"/>
                <c:pt idx="0">
                  <c:v>9. Education(2)</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[PESA_2015_CM_Chapter_4_Tables.xlsx]Blad1!$D$36:$R$36</c:f>
              <c:numCache>
                <c:formatCode>#\ ##0.0_ ;\-#\ ##0.0\ </c:formatCode>
                <c:ptCount val="15"/>
                <c:pt idx="0">
                  <c:v>45.9</c:v>
                </c:pt>
                <c:pt idx="1">
                  <c:v>51.2</c:v>
                </c:pt>
                <c:pt idx="2">
                  <c:v>54.7</c:v>
                </c:pt>
                <c:pt idx="3">
                  <c:v>61.0</c:v>
                </c:pt>
                <c:pt idx="4">
                  <c:v>65.1</c:v>
                </c:pt>
                <c:pt idx="5">
                  <c:v>69.8</c:v>
                </c:pt>
                <c:pt idx="6">
                  <c:v>73.0</c:v>
                </c:pt>
                <c:pt idx="7">
                  <c:v>78.7</c:v>
                </c:pt>
                <c:pt idx="8">
                  <c:v>83.0</c:v>
                </c:pt>
                <c:pt idx="9">
                  <c:v>88.5</c:v>
                </c:pt>
                <c:pt idx="10">
                  <c:v>91.5</c:v>
                </c:pt>
                <c:pt idx="11">
                  <c:v>86.9</c:v>
                </c:pt>
                <c:pt idx="12">
                  <c:v>87.0</c:v>
                </c:pt>
                <c:pt idx="13">
                  <c:v>89.2</c:v>
                </c:pt>
                <c:pt idx="14">
                  <c:v>84.3</c:v>
                </c:pt>
              </c:numCache>
            </c:numRef>
          </c:val>
          <c:smooth val="0"/>
        </c:ser>
        <c:ser>
          <c:idx val="9"/>
          <c:order val="9"/>
          <c:tx>
            <c:strRef>
              <c:f>[PESA_2015_CM_Chapter_4_Tables.xlsx]Blad1!$C$37</c:f>
              <c:strCache>
                <c:ptCount val="1"/>
                <c:pt idx="0">
                  <c:v>7. Health</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[PESA_2015_CM_Chapter_4_Tables.xlsx]Blad1!$D$37:$R$37</c:f>
              <c:numCache>
                <c:formatCode>#\ ##0.0_ ;\-#\ ##0.0\ </c:formatCode>
                <c:ptCount val="15"/>
                <c:pt idx="0">
                  <c:v>54.2</c:v>
                </c:pt>
                <c:pt idx="1">
                  <c:v>59.8</c:v>
                </c:pt>
                <c:pt idx="2">
                  <c:v>66.2</c:v>
                </c:pt>
                <c:pt idx="3">
                  <c:v>74.9</c:v>
                </c:pt>
                <c:pt idx="4">
                  <c:v>82.9</c:v>
                </c:pt>
                <c:pt idx="5">
                  <c:v>89.8</c:v>
                </c:pt>
                <c:pt idx="6">
                  <c:v>94.7</c:v>
                </c:pt>
                <c:pt idx="7">
                  <c:v>101.1</c:v>
                </c:pt>
                <c:pt idx="8">
                  <c:v>108.7</c:v>
                </c:pt>
                <c:pt idx="9">
                  <c:v>116.9</c:v>
                </c:pt>
                <c:pt idx="10">
                  <c:v>119.8</c:v>
                </c:pt>
                <c:pt idx="11">
                  <c:v>121.2</c:v>
                </c:pt>
                <c:pt idx="12">
                  <c:v>124.3</c:v>
                </c:pt>
                <c:pt idx="13">
                  <c:v>129.2</c:v>
                </c:pt>
                <c:pt idx="14">
                  <c:v>134.1</c:v>
                </c:pt>
              </c:numCache>
            </c:numRef>
          </c:val>
          <c:smooth val="0"/>
        </c:ser>
        <c:ser>
          <c:idx val="10"/>
          <c:order val="10"/>
          <c:tx>
            <c:strRef>
              <c:f>[PESA_2015_CM_Chapter_4_Tables.xlsx]Blad1!$C$38</c:f>
              <c:strCache>
                <c:ptCount val="1"/>
                <c:pt idx="0">
                  <c:v>10. Social protection</c:v>
                </c:pt>
              </c:strCache>
            </c:strRef>
          </c:tx>
          <c:marker>
            <c:symbol val="none"/>
          </c:marker>
          <c:cat>
            <c:strRef>
              <c:f>[PESA_2015_CM_Chapter_4_Tables.xlsx]Blad1!$D$27:$R$27</c:f>
              <c:strCache>
                <c:ptCount val="15"/>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pt idx="13">
                  <c:v>2013-14</c:v>
                </c:pt>
                <c:pt idx="14">
                  <c:v>2014-15</c:v>
                </c:pt>
              </c:strCache>
            </c:strRef>
          </c:cat>
          <c:val>
            <c:numRef>
              <c:f>[PESA_2015_CM_Chapter_4_Tables.xlsx]Blad1!$D$38:$R$38</c:f>
              <c:numCache>
                <c:formatCode>#\ ##0.0_ ;\-#\ ##0.0\ </c:formatCode>
                <c:ptCount val="15"/>
                <c:pt idx="0">
                  <c:v>128.5</c:v>
                </c:pt>
                <c:pt idx="1">
                  <c:v>137.4</c:v>
                </c:pt>
                <c:pt idx="2">
                  <c:v>145.3</c:v>
                </c:pt>
                <c:pt idx="3">
                  <c:v>155.6</c:v>
                </c:pt>
                <c:pt idx="4">
                  <c:v>164.1</c:v>
                </c:pt>
                <c:pt idx="5">
                  <c:v>171.0</c:v>
                </c:pt>
                <c:pt idx="6">
                  <c:v>177.0</c:v>
                </c:pt>
                <c:pt idx="7">
                  <c:v>188.6</c:v>
                </c:pt>
                <c:pt idx="8">
                  <c:v>203.4</c:v>
                </c:pt>
                <c:pt idx="9">
                  <c:v>223.0</c:v>
                </c:pt>
                <c:pt idx="10">
                  <c:v>230.4</c:v>
                </c:pt>
                <c:pt idx="11">
                  <c:v>240.3</c:v>
                </c:pt>
                <c:pt idx="12">
                  <c:v>250.7</c:v>
                </c:pt>
                <c:pt idx="13">
                  <c:v>250.9</c:v>
                </c:pt>
                <c:pt idx="14">
                  <c:v>257.6</c:v>
                </c:pt>
              </c:numCache>
            </c:numRef>
          </c:val>
          <c:smooth val="0"/>
        </c:ser>
        <c:dLbls>
          <c:showLegendKey val="0"/>
          <c:showVal val="0"/>
          <c:showCatName val="0"/>
          <c:showSerName val="0"/>
          <c:showPercent val="0"/>
          <c:showBubbleSize val="0"/>
        </c:dLbls>
        <c:marker val="1"/>
        <c:smooth val="0"/>
        <c:axId val="-2137476232"/>
        <c:axId val="-2136522024"/>
      </c:lineChart>
      <c:catAx>
        <c:axId val="-2137476232"/>
        <c:scaling>
          <c:orientation val="minMax"/>
        </c:scaling>
        <c:delete val="0"/>
        <c:axPos val="b"/>
        <c:majorTickMark val="out"/>
        <c:minorTickMark val="none"/>
        <c:tickLblPos val="nextTo"/>
        <c:crossAx val="-2136522024"/>
        <c:crosses val="autoZero"/>
        <c:auto val="1"/>
        <c:lblAlgn val="ctr"/>
        <c:lblOffset val="100"/>
        <c:noMultiLvlLbl val="0"/>
      </c:catAx>
      <c:valAx>
        <c:axId val="-2136522024"/>
        <c:scaling>
          <c:orientation val="minMax"/>
        </c:scaling>
        <c:delete val="0"/>
        <c:axPos val="l"/>
        <c:majorGridlines/>
        <c:numFmt formatCode="#\ ##0.0_ ;\-#\ ##0.0\ " sourceLinked="1"/>
        <c:majorTickMark val="out"/>
        <c:minorTickMark val="none"/>
        <c:tickLblPos val="nextTo"/>
        <c:crossAx val="-2137476232"/>
        <c:crosses val="autoZero"/>
        <c:crossBetween val="between"/>
      </c:valAx>
    </c:plotArea>
    <c:legend>
      <c:legendPos val="r"/>
      <c:layout/>
      <c:overlay val="0"/>
      <c:txPr>
        <a:bodyPr/>
        <a:lstStyle/>
        <a:p>
          <a:pPr>
            <a:defRPr sz="700"/>
          </a:pPr>
          <a:endParaRPr lang="sv-SE"/>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sv-SE"/>
              <a:t>Defence</a:t>
            </a:r>
            <a:r>
              <a:rPr lang="sv-SE" baseline="0"/>
              <a:t> Expenditure 1991-2015</a:t>
            </a:r>
            <a:endParaRPr lang="sv-SE"/>
          </a:p>
        </c:rich>
      </c:tx>
      <c:layout/>
      <c:overlay val="0"/>
    </c:title>
    <c:autoTitleDeleted val="0"/>
    <c:plotArea>
      <c:layout/>
      <c:lineChart>
        <c:grouping val="standard"/>
        <c:varyColors val="0"/>
        <c:ser>
          <c:idx val="0"/>
          <c:order val="0"/>
          <c:tx>
            <c:strRef>
              <c:f>[PESA_2015_CM_Chapter_4_Tables.xlsx]Blad2!$A$14</c:f>
              <c:strCache>
                <c:ptCount val="1"/>
                <c:pt idx="0">
                  <c:v>Percentage of Total Expenditure Spent on Defence</c:v>
                </c:pt>
              </c:strCache>
            </c:strRef>
          </c:tx>
          <c:marker>
            <c:symbol val="none"/>
          </c:marker>
          <c:cat>
            <c:strRef>
              <c:f>[PESA_2015_CM_Chapter_4_Tables.xlsx]Blad2!$B$13:$Y$13</c:f>
              <c:strCache>
                <c:ptCount val="24"/>
                <c:pt idx="0">
                  <c:v>1991-92</c:v>
                </c:pt>
                <c:pt idx="1">
                  <c:v>1992-93</c:v>
                </c:pt>
                <c:pt idx="2">
                  <c:v>1993-94</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strCache>
            </c:strRef>
          </c:cat>
          <c:val>
            <c:numRef>
              <c:f>[PESA_2015_CM_Chapter_4_Tables.xlsx]Blad2!$B$14:$Y$14</c:f>
              <c:numCache>
                <c:formatCode>0.00%</c:formatCode>
                <c:ptCount val="24"/>
                <c:pt idx="0">
                  <c:v>0.0973971452560873</c:v>
                </c:pt>
                <c:pt idx="1">
                  <c:v>0.0914329619669612</c:v>
                </c:pt>
                <c:pt idx="2">
                  <c:v>0.0864924549135075</c:v>
                </c:pt>
                <c:pt idx="3">
                  <c:v>0.0820422535211267</c:v>
                </c:pt>
                <c:pt idx="4">
                  <c:v>0.0760906323977004</c:v>
                </c:pt>
                <c:pt idx="5">
                  <c:v>0.0730578512396694</c:v>
                </c:pt>
                <c:pt idx="6">
                  <c:v>0.0703403565640194</c:v>
                </c:pt>
                <c:pt idx="7">
                  <c:v>0.0769472361809045</c:v>
                </c:pt>
                <c:pt idx="8">
                  <c:v>0.0757392878696439</c:v>
                </c:pt>
                <c:pt idx="9">
                  <c:v>0.0728045325779037</c:v>
                </c:pt>
                <c:pt idx="10">
                  <c:v>0.0674993356364603</c:v>
                </c:pt>
                <c:pt idx="11">
                  <c:v>0.0670474298485225</c:v>
                </c:pt>
                <c:pt idx="12">
                  <c:v>0.0656036446469248</c:v>
                </c:pt>
                <c:pt idx="13">
                  <c:v>0.0632427843803056</c:v>
                </c:pt>
                <c:pt idx="14">
                  <c:v>0.0617776006377043</c:v>
                </c:pt>
                <c:pt idx="15">
                  <c:v>0.0614503816793893</c:v>
                </c:pt>
                <c:pt idx="16">
                  <c:v>0.0606551475881929</c:v>
                </c:pt>
                <c:pt idx="17">
                  <c:v>0.0610079575596817</c:v>
                </c:pt>
                <c:pt idx="18">
                  <c:v>0.0591187078563588</c:v>
                </c:pt>
                <c:pt idx="19">
                  <c:v>0.0599725316648863</c:v>
                </c:pt>
                <c:pt idx="20">
                  <c:v>0.0592649310872894</c:v>
                </c:pt>
                <c:pt idx="21">
                  <c:v>0.0551933282789992</c:v>
                </c:pt>
                <c:pt idx="22">
                  <c:v>0.0544095665171898</c:v>
                </c:pt>
                <c:pt idx="23">
                  <c:v>0.0540660642867723</c:v>
                </c:pt>
              </c:numCache>
            </c:numRef>
          </c:val>
          <c:smooth val="0"/>
        </c:ser>
        <c:ser>
          <c:idx val="1"/>
          <c:order val="1"/>
          <c:tx>
            <c:strRef>
              <c:f>[PESA_2015_CM_Chapter_4_Tables.xlsx]Blad2!$A$15</c:f>
              <c:strCache>
                <c:ptCount val="1"/>
                <c:pt idx="0">
                  <c:v>Defense Expenditure as Percentage of Nominal GDP</c:v>
                </c:pt>
              </c:strCache>
            </c:strRef>
          </c:tx>
          <c:marker>
            <c:symbol val="none"/>
          </c:marker>
          <c:cat>
            <c:strRef>
              <c:f>[PESA_2015_CM_Chapter_4_Tables.xlsx]Blad2!$B$13:$Y$13</c:f>
              <c:strCache>
                <c:ptCount val="24"/>
                <c:pt idx="0">
                  <c:v>1991-92</c:v>
                </c:pt>
                <c:pt idx="1">
                  <c:v>1992-93</c:v>
                </c:pt>
                <c:pt idx="2">
                  <c:v>1993-94</c:v>
                </c:pt>
                <c:pt idx="3">
                  <c:v>1994-95</c:v>
                </c:pt>
                <c:pt idx="4">
                  <c:v>1995-96</c:v>
                </c:pt>
                <c:pt idx="5">
                  <c:v>1996-97</c:v>
                </c:pt>
                <c:pt idx="6">
                  <c:v>1997-98</c:v>
                </c:pt>
                <c:pt idx="7">
                  <c:v>1998-99</c:v>
                </c:pt>
                <c:pt idx="8">
                  <c:v>1999-00</c:v>
                </c:pt>
                <c:pt idx="9">
                  <c:v>2000-01</c:v>
                </c:pt>
                <c:pt idx="10">
                  <c:v>2001-02</c:v>
                </c:pt>
                <c:pt idx="11">
                  <c:v>2002-03</c:v>
                </c:pt>
                <c:pt idx="12">
                  <c:v>2003-04</c:v>
                </c:pt>
                <c:pt idx="13">
                  <c:v>2004-05</c:v>
                </c:pt>
                <c:pt idx="14">
                  <c:v>2005-06</c:v>
                </c:pt>
                <c:pt idx="15">
                  <c:v>2006-07</c:v>
                </c:pt>
                <c:pt idx="16">
                  <c:v>2007-08</c:v>
                </c:pt>
                <c:pt idx="17">
                  <c:v>2008-09</c:v>
                </c:pt>
                <c:pt idx="18">
                  <c:v>2009-10</c:v>
                </c:pt>
                <c:pt idx="19">
                  <c:v>2010-11</c:v>
                </c:pt>
                <c:pt idx="20">
                  <c:v>2011-12</c:v>
                </c:pt>
                <c:pt idx="21">
                  <c:v>2012-13</c:v>
                </c:pt>
                <c:pt idx="22">
                  <c:v>2013-14</c:v>
                </c:pt>
                <c:pt idx="23">
                  <c:v>2014-15</c:v>
                </c:pt>
              </c:strCache>
            </c:strRef>
          </c:cat>
          <c:val>
            <c:numRef>
              <c:f>[PESA_2015_CM_Chapter_4_Tables.xlsx]Blad2!$B$15:$Y$15</c:f>
              <c:numCache>
                <c:formatCode>0.00%</c:formatCode>
                <c:ptCount val="24"/>
                <c:pt idx="0">
                  <c:v>0.10051993067591</c:v>
                </c:pt>
                <c:pt idx="1">
                  <c:v>0.0952380952380952</c:v>
                </c:pt>
                <c:pt idx="2">
                  <c:v>0.0890488821523304</c:v>
                </c:pt>
                <c:pt idx="3">
                  <c:v>0.0843286283025696</c:v>
                </c:pt>
                <c:pt idx="4">
                  <c:v>0.0780978826796251</c:v>
                </c:pt>
                <c:pt idx="5">
                  <c:v>0.0741610738255033</c:v>
                </c:pt>
                <c:pt idx="6">
                  <c:v>0.0710776285620701</c:v>
                </c:pt>
                <c:pt idx="7">
                  <c:v>0.0782247765006386</c:v>
                </c:pt>
                <c:pt idx="8">
                  <c:v>0.077159545035352</c:v>
                </c:pt>
                <c:pt idx="9">
                  <c:v>0.0741274877415633</c:v>
                </c:pt>
                <c:pt idx="10">
                  <c:v>0.0696653867251783</c:v>
                </c:pt>
                <c:pt idx="11">
                  <c:v>0.0686673448626653</c:v>
                </c:pt>
                <c:pt idx="12">
                  <c:v>0.0677009873060649</c:v>
                </c:pt>
                <c:pt idx="13">
                  <c:v>0.0651650994970479</c:v>
                </c:pt>
                <c:pt idx="14">
                  <c:v>0.0639702847709451</c:v>
                </c:pt>
                <c:pt idx="15">
                  <c:v>0.0633359559402046</c:v>
                </c:pt>
                <c:pt idx="16">
                  <c:v>0.0626976744186046</c:v>
                </c:pt>
                <c:pt idx="17">
                  <c:v>0.0648001408698714</c:v>
                </c:pt>
                <c:pt idx="18">
                  <c:v>0.0623140495867769</c:v>
                </c:pt>
                <c:pt idx="19">
                  <c:v>0.0618605383283488</c:v>
                </c:pt>
                <c:pt idx="20">
                  <c:v>0.0600931677018633</c:v>
                </c:pt>
                <c:pt idx="21">
                  <c:v>0.0554708930204206</c:v>
                </c:pt>
                <c:pt idx="22">
                  <c:v>0.0546382467727409</c:v>
                </c:pt>
                <c:pt idx="23">
                  <c:v>0.0536843653478453</c:v>
                </c:pt>
              </c:numCache>
            </c:numRef>
          </c:val>
          <c:smooth val="0"/>
        </c:ser>
        <c:dLbls>
          <c:showLegendKey val="0"/>
          <c:showVal val="0"/>
          <c:showCatName val="0"/>
          <c:showSerName val="0"/>
          <c:showPercent val="0"/>
          <c:showBubbleSize val="0"/>
        </c:dLbls>
        <c:marker val="1"/>
        <c:smooth val="0"/>
        <c:axId val="-2126873528"/>
        <c:axId val="-2126975160"/>
      </c:lineChart>
      <c:catAx>
        <c:axId val="-2126873528"/>
        <c:scaling>
          <c:orientation val="minMax"/>
        </c:scaling>
        <c:delete val="0"/>
        <c:axPos val="b"/>
        <c:majorTickMark val="none"/>
        <c:minorTickMark val="none"/>
        <c:tickLblPos val="nextTo"/>
        <c:crossAx val="-2126975160"/>
        <c:crosses val="autoZero"/>
        <c:auto val="1"/>
        <c:lblAlgn val="ctr"/>
        <c:lblOffset val="100"/>
        <c:tickLblSkip val="3"/>
        <c:noMultiLvlLbl val="0"/>
      </c:catAx>
      <c:valAx>
        <c:axId val="-2126975160"/>
        <c:scaling>
          <c:orientation val="minMax"/>
          <c:min val="0.04"/>
        </c:scaling>
        <c:delete val="0"/>
        <c:axPos val="l"/>
        <c:majorGridlines/>
        <c:numFmt formatCode="0.00%" sourceLinked="1"/>
        <c:majorTickMark val="none"/>
        <c:minorTickMark val="none"/>
        <c:tickLblPos val="nextTo"/>
        <c:spPr>
          <a:ln w="9525">
            <a:noFill/>
          </a:ln>
        </c:spPr>
        <c:crossAx val="-2126873528"/>
        <c:crosses val="autoZero"/>
        <c:crossBetween val="between"/>
      </c:valAx>
    </c:plotArea>
    <c:legend>
      <c:legendPos val="b"/>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260B-EF91-634E-90C9-9C9C75539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1069</Words>
  <Characters>5669</Characters>
  <Application>Microsoft Macintosh Word</Application>
  <DocSecurity>0</DocSecurity>
  <Lines>47</Lines>
  <Paragraphs>13</Paragraphs>
  <ScaleCrop>false</ScaleCrop>
  <Company/>
  <LinksUpToDate>false</LinksUpToDate>
  <CharactersWithSpaces>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Edvard</dc:creator>
  <cp:keywords/>
  <dc:description/>
  <cp:lastModifiedBy>Edvard</cp:lastModifiedBy>
  <cp:revision>2</cp:revision>
  <cp:lastPrinted>2015-08-31T03:18:00Z</cp:lastPrinted>
  <dcterms:created xsi:type="dcterms:W3CDTF">2016-01-06T15:59:00Z</dcterms:created>
  <dcterms:modified xsi:type="dcterms:W3CDTF">2016-01-06T15:59:00Z</dcterms:modified>
</cp:coreProperties>
</file>