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/>
        <w:spacing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FN281 Mutual Fund</w:t>
      </w:r>
    </w:p>
    <w:p w:rsidR="00000000" w:rsidDel="00000000" w:rsidP="00000000" w:rsidRDefault="00000000" w:rsidRPr="00000000">
      <w:pPr>
        <w:pBdr/>
        <w:spacing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220" w:line="240" w:lineRule="auto"/>
        <w:ind w:left="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From choosing one mutual fund.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 consider the Multi asset income mutual fund according to the level of risk that we can tolerate which is moderate. We choose SCBPLUS because it is the best match to 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ur criteria which are</w:t>
      </w:r>
    </w:p>
    <w:p w:rsidR="00000000" w:rsidDel="00000000" w:rsidP="00000000" w:rsidRDefault="00000000" w:rsidRPr="00000000">
      <w:pPr>
        <w:numPr>
          <w:ilvl w:val="0"/>
          <w:numId w:val="3"/>
        </w:numPr>
        <w:pBdr/>
        <w:spacing w:after="220" w:line="240" w:lineRule="auto"/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This fund allow investor to choose the potion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among equity instruments, and/or debt instruments, and/or hybrid instruments, and/or cash deposits, and/or investment units of funds, such as Property Fund, Real Estate Investment Trust (REITs), Infrastructure Fund (IFF), and/or Exchange-Traded Fund (ETF), etc.</w:t>
      </w:r>
    </w:p>
    <w:p w:rsidR="00000000" w:rsidDel="00000000" w:rsidP="00000000" w:rsidRDefault="00000000" w:rsidRPr="00000000">
      <w:pPr>
        <w:numPr>
          <w:ilvl w:val="0"/>
          <w:numId w:val="3"/>
        </w:numPr>
        <w:pBdr/>
        <w:spacing w:after="220" w:line="240" w:lineRule="auto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SCBPLUS fund will hedge the Exchange rate risk by using derivatives in which investors will face the lower level of risk.</w:t>
      </w:r>
    </w:p>
    <w:p w:rsidR="00000000" w:rsidDel="00000000" w:rsidP="00000000" w:rsidRDefault="00000000" w:rsidRPr="00000000">
      <w:pPr>
        <w:numPr>
          <w:ilvl w:val="0"/>
          <w:numId w:val="3"/>
        </w:numPr>
        <w:pBdr/>
        <w:spacing w:after="220" w:line="240" w:lineRule="auto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Investor can buy at any time and can sell on 20th of every month.</w:t>
      </w:r>
    </w:p>
    <w:p w:rsidR="00000000" w:rsidDel="00000000" w:rsidP="00000000" w:rsidRDefault="00000000" w:rsidRPr="00000000">
      <w:pPr>
        <w:numPr>
          <w:ilvl w:val="0"/>
          <w:numId w:val="3"/>
        </w:numPr>
        <w:pBdr/>
        <w:spacing w:after="220" w:line="240" w:lineRule="auto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ransaction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fee is not exceeding 3% per year of NAV</w:t>
      </w:r>
    </w:p>
    <w:p w:rsidR="00000000" w:rsidDel="00000000" w:rsidP="00000000" w:rsidRDefault="00000000" w:rsidRPr="00000000">
      <w:pPr>
        <w:pBdr/>
        <w:spacing w:after="220" w:line="240" w:lineRule="auto"/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drawing>
          <wp:inline distB="114300" distT="114300" distL="114300" distR="114300">
            <wp:extent cx="4090988" cy="1016695"/>
            <wp:effectExtent b="0" l="0" r="0" t="0"/>
            <wp:docPr descr="Screen Shot 2017-05-06 at 12.25.57 PM.png" id="1" name="image2.png"/>
            <a:graphic>
              <a:graphicData uri="http://schemas.openxmlformats.org/drawingml/2006/picture">
                <pic:pic>
                  <pic:nvPicPr>
                    <pic:cNvPr descr="Screen Shot 2017-05-06 at 12.25.57 PM.png" id="0" name="image2.pn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90988" cy="10166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220"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Also, From the NAV, It can perform better compared to the benchmark. </w:t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color w:val="777777"/>
          <w:sz w:val="24"/>
          <w:szCs w:val="24"/>
          <w:highlight w:val="white"/>
        </w:rPr>
      </w:pPr>
      <w:r w:rsidDel="00000000" w:rsidR="00000000" w:rsidRPr="00000000">
        <w:drawing>
          <wp:inline distB="114300" distT="114300" distL="114300" distR="114300">
            <wp:extent cx="5731200" cy="850900"/>
            <wp:effectExtent b="0" l="0" r="0" t="0"/>
            <wp:docPr descr="Screen Shot 2560-05-06 at 11.27.40 AM.png" id="2" name="image4.png"/>
            <a:graphic>
              <a:graphicData uri="http://schemas.openxmlformats.org/drawingml/2006/picture">
                <pic:pic>
                  <pic:nvPicPr>
                    <pic:cNvPr descr="Screen Shot 2560-05-06 at 11.27.40 AM.png"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50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color w:val="777777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220" w:line="240" w:lineRule="auto"/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 which I would decided to diversification by holding both High level of risk to get more return and lower risk for hedging. The portion that I would prefer is Fixed Income funds, Government bond funds and Equity Funds.</w:t>
      </w:r>
    </w:p>
    <w:p w:rsidR="00000000" w:rsidDel="00000000" w:rsidP="00000000" w:rsidRDefault="00000000" w:rsidRPr="00000000">
      <w:pPr>
        <w:pBdr/>
        <w:spacing w:after="220" w:line="240" w:lineRule="auto"/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220"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Members: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1. Chalisa Songthanasak</w:t>
        <w:tab/>
        <w:t xml:space="preserve">      </w:t>
        <w:tab/>
        <w:t xml:space="preserve">5704640225</w:t>
      </w:r>
    </w:p>
    <w:p w:rsidR="00000000" w:rsidDel="00000000" w:rsidP="00000000" w:rsidRDefault="00000000" w:rsidRPr="00000000">
      <w:pPr>
        <w:pBdr/>
        <w:spacing w:after="220"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2. Chanokporn Sophonkiattikun  </w:t>
        <w:tab/>
        <w:t xml:space="preserve">5704640233</w:t>
      </w:r>
    </w:p>
    <w:p w:rsidR="00000000" w:rsidDel="00000000" w:rsidP="00000000" w:rsidRDefault="00000000" w:rsidRPr="00000000">
      <w:pPr>
        <w:pBdr/>
        <w:spacing w:after="220"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3. Nutchada Parinayawanich</w:t>
        <w:tab/>
        <w:t xml:space="preserve">5704641322</w:t>
      </w:r>
    </w:p>
    <w:p w:rsidR="00000000" w:rsidDel="00000000" w:rsidP="00000000" w:rsidRDefault="00000000" w:rsidRPr="00000000">
      <w:pPr>
        <w:pBdr/>
        <w:spacing w:after="220"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4. Salinee Siripongsusilpa           </w:t>
        <w:tab/>
        <w:t xml:space="preserve">5704641967</w:t>
      </w:r>
    </w:p>
    <w:p w:rsidR="00000000" w:rsidDel="00000000" w:rsidP="00000000" w:rsidRDefault="00000000" w:rsidRPr="00000000">
      <w:pPr>
        <w:pBdr/>
        <w:spacing w:after="220" w:line="24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5. Suphattra Chatromyen          </w:t>
        <w:tab/>
        <w:t xml:space="preserve">5704642171</w:t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color w:val="777777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color w:val="777777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color w:val="777777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color w:val="777777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rFonts w:ascii="Times New Roman" w:cs="Times New Roman" w:eastAsia="Times New Roman" w:hAnsi="Times New Roman"/>
          <w:color w:val="777777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777777"/>
          <w:sz w:val="24"/>
          <w:szCs w:val="24"/>
          <w:highlight w:val="white"/>
          <w:rtl w:val="0"/>
        </w:rPr>
        <w:t xml:space="preserve">Multi asset income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spacing w:line="360" w:lineRule="auto"/>
        <w:ind w:left="720" w:hanging="360"/>
        <w:contextualSpacing w:val="1"/>
        <w:rPr>
          <w:rFonts w:ascii="Times New Roman" w:cs="Times New Roman" w:eastAsia="Times New Roman" w:hAnsi="Times New Roman"/>
          <w:color w:val="777777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777777"/>
          <w:sz w:val="24"/>
          <w:szCs w:val="24"/>
          <w:highlight w:val="white"/>
          <w:rtl w:val="0"/>
        </w:rPr>
        <w:t xml:space="preserve">SCBPLUS</w:t>
      </w:r>
    </w:p>
    <w:p w:rsidR="00000000" w:rsidDel="00000000" w:rsidP="00000000" w:rsidRDefault="00000000" w:rsidRPr="00000000">
      <w:pPr>
        <w:pBdr/>
        <w:spacing w:after="220" w:line="342.85714285714283" w:lineRule="auto"/>
        <w:contextualSpacing w:val="0"/>
        <w:rPr>
          <w:rFonts w:ascii="Times New Roman" w:cs="Times New Roman" w:eastAsia="Times New Roman" w:hAnsi="Times New Roman"/>
          <w:color w:val="777777"/>
          <w:sz w:val="24"/>
          <w:szCs w:val="24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777777"/>
          <w:sz w:val="24"/>
          <w:szCs w:val="24"/>
          <w:highlight w:val="white"/>
          <w:rtl w:val="0"/>
        </w:rPr>
        <w:t xml:space="preserve">เหมาะกับนักลงทุนแบบไหนกันนะ..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after="160" w:line="432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626262"/>
          <w:sz w:val="24"/>
          <w:szCs w:val="24"/>
          <w:highlight w:val="white"/>
          <w:rtl w:val="0"/>
        </w:rPr>
        <w:t xml:space="preserve">นักลงทุนที่ต้องการผลตอบแทนที่ดีและยังสามารถรับความเสี่ยงได้สูง   เพราะกองทุนมีสัดส่วนของการลงทุนในหุ้นผสมอยู่ 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after="160" w:line="432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626262"/>
          <w:sz w:val="24"/>
          <w:szCs w:val="24"/>
          <w:highlight w:val="white"/>
          <w:rtl w:val="0"/>
        </w:rPr>
        <w:t xml:space="preserve">นักลงทุนที่คาดหวังให้เงินลงทุนมีโอกาสการเติบโตในระยะยาวสูงกว่ากองทุนตราสารหนี้อย่างเดียว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after="160" w:line="432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626262"/>
          <w:sz w:val="24"/>
          <w:szCs w:val="24"/>
          <w:highlight w:val="white"/>
          <w:rtl w:val="0"/>
        </w:rPr>
        <w:t xml:space="preserve">นักลงทุนที่ต้องการรายได้ระหว่างทาง  </w:t>
      </w:r>
    </w:p>
    <w:p w:rsidR="00000000" w:rsidDel="00000000" w:rsidP="00000000" w:rsidRDefault="00000000" w:rsidRPr="00000000">
      <w:pPr>
        <w:pBdr/>
        <w:spacing w:line="360" w:lineRule="auto"/>
        <w:contextualSpacing w:val="0"/>
        <w:rPr>
          <w:rFonts w:ascii="Times New Roman" w:cs="Times New Roman" w:eastAsia="Times New Roman" w:hAnsi="Times New Roman"/>
          <w:color w:val="777777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360" w:lineRule="auto"/>
        <w:contextualSpacing w:val="0"/>
        <w:rPr>
          <w:rFonts w:ascii="Times New Roman" w:cs="Times New Roman" w:eastAsia="Times New Roman" w:hAnsi="Times New Roman"/>
          <w:color w:val="777777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  <w:color w:val="626262"/>
        <w:sz w:val="20"/>
        <w:szCs w:val="20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144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firstLine="252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firstLine="468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2.png"/><Relationship Id="rId6" Type="http://schemas.openxmlformats.org/officeDocument/2006/relationships/image" Target="media/image4.png"/></Relationships>
</file>