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CBF94" w14:textId="0EF5927F" w:rsidR="00943FB3" w:rsidRDefault="00943FB3" w:rsidP="00943FB3">
      <w:pPr>
        <w:pStyle w:val="NormalWeb"/>
        <w:spacing w:before="0" w:beforeAutospacing="0" w:after="0" w:afterAutospacing="0" w:line="360" w:lineRule="auto"/>
        <w:jc w:val="right"/>
        <w:rPr>
          <w:rFonts w:ascii="Times New Roman" w:hAnsi="Times New Roman" w:cs="Times New Roman"/>
          <w:sz w:val="22"/>
          <w:szCs w:val="22"/>
        </w:rPr>
      </w:pPr>
      <w:r>
        <w:rPr>
          <w:rFonts w:ascii="Times New Roman" w:hAnsi="Times New Roman" w:cs="Times New Roman"/>
          <w:sz w:val="22"/>
          <w:szCs w:val="22"/>
        </w:rPr>
        <w:t>Montlaya 5904640736</w:t>
      </w:r>
    </w:p>
    <w:p w14:paraId="7E01D199" w14:textId="77777777" w:rsidR="00943FB3" w:rsidRDefault="00943FB3" w:rsidP="00943FB3">
      <w:pPr>
        <w:pStyle w:val="NormalWeb"/>
        <w:spacing w:before="0" w:beforeAutospacing="0" w:after="0" w:afterAutospacing="0" w:line="360" w:lineRule="auto"/>
        <w:jc w:val="right"/>
        <w:rPr>
          <w:rFonts w:ascii="Times New Roman" w:hAnsi="Times New Roman" w:cs="Times New Roman"/>
          <w:sz w:val="22"/>
          <w:szCs w:val="22"/>
        </w:rPr>
      </w:pPr>
    </w:p>
    <w:p w14:paraId="734E7BD6" w14:textId="74A9D987" w:rsidR="00943FB3" w:rsidRPr="00943FB3" w:rsidRDefault="00943FB3" w:rsidP="00943FB3">
      <w:pPr>
        <w:pStyle w:val="NormalWeb"/>
        <w:spacing w:before="0" w:beforeAutospacing="0" w:after="0" w:afterAutospacing="0" w:line="360" w:lineRule="auto"/>
        <w:jc w:val="center"/>
        <w:rPr>
          <w:rFonts w:ascii="Times New Roman" w:hAnsi="Times New Roman" w:cs="Times New Roman"/>
          <w:sz w:val="22"/>
          <w:szCs w:val="22"/>
        </w:rPr>
      </w:pPr>
      <w:r w:rsidRPr="00943FB3">
        <w:rPr>
          <w:rFonts w:ascii="Times New Roman" w:hAnsi="Times New Roman" w:cs="Times New Roman"/>
          <w:sz w:val="22"/>
          <w:szCs w:val="22"/>
        </w:rPr>
        <w:t xml:space="preserve">The effect of information on product </w:t>
      </w:r>
      <w:r w:rsidRPr="00943FB3">
        <w:rPr>
          <w:rFonts w:ascii="Times New Roman" w:hAnsi="Times New Roman" w:cs="Times New Roman"/>
          <w:sz w:val="22"/>
          <w:szCs w:val="22"/>
        </w:rPr>
        <w:t>quality:</w:t>
      </w:r>
      <w:r w:rsidRPr="00943FB3">
        <w:rPr>
          <w:rFonts w:ascii="Times New Roman" w:hAnsi="Times New Roman" w:cs="Times New Roman"/>
          <w:sz w:val="22"/>
          <w:szCs w:val="22"/>
        </w:rPr>
        <w:t xml:space="preserve"> Evidence from restaurant hygiene grade cards</w:t>
      </w:r>
    </w:p>
    <w:p w14:paraId="24F1B03D" w14:textId="77777777" w:rsidR="00943FB3" w:rsidRPr="00943FB3" w:rsidRDefault="00943FB3" w:rsidP="00943FB3">
      <w:pPr>
        <w:pStyle w:val="NormalWeb"/>
        <w:spacing w:before="0" w:beforeAutospacing="0" w:after="0" w:afterAutospacing="0" w:line="360" w:lineRule="auto"/>
        <w:rPr>
          <w:rFonts w:ascii="Times New Roman" w:hAnsi="Times New Roman" w:cs="Times New Roman"/>
          <w:sz w:val="22"/>
          <w:szCs w:val="22"/>
        </w:rPr>
      </w:pPr>
      <w:r w:rsidRPr="00943FB3">
        <w:rPr>
          <w:rFonts w:ascii="Times New Roman" w:hAnsi="Times New Roman" w:cs="Times New Roman"/>
          <w:sz w:val="22"/>
          <w:szCs w:val="22"/>
        </w:rPr>
        <w:t> </w:t>
      </w:r>
    </w:p>
    <w:p w14:paraId="724F7743" w14:textId="33016346" w:rsidR="00A24EDA" w:rsidRPr="00943FB3" w:rsidRDefault="00943FB3" w:rsidP="00943FB3">
      <w:pPr>
        <w:pStyle w:val="NormalWeb"/>
        <w:spacing w:before="0" w:beforeAutospacing="0" w:after="0" w:afterAutospacing="0" w:line="360" w:lineRule="auto"/>
        <w:rPr>
          <w:rFonts w:ascii="Times New Roman" w:hAnsi="Times New Roman" w:cs="Times New Roman"/>
          <w:sz w:val="22"/>
          <w:szCs w:val="22"/>
        </w:rPr>
      </w:pPr>
      <w:r>
        <w:rPr>
          <w:rFonts w:ascii="Times New Roman" w:hAnsi="Times New Roman" w:cs="Times New Roman"/>
          <w:sz w:val="22"/>
          <w:szCs w:val="22"/>
        </w:rPr>
        <w:tab/>
      </w:r>
      <w:r w:rsidRPr="00943FB3">
        <w:rPr>
          <w:rFonts w:ascii="Times New Roman" w:hAnsi="Times New Roman" w:cs="Times New Roman"/>
          <w:sz w:val="22"/>
          <w:szCs w:val="22"/>
        </w:rPr>
        <w:t>This paper clarifies about the effect of an increase in product quality information to consumers on firms' choice of product quality. Los Angeles government required restaurants to publicly show hygiene grade cards in order to provide more information to consumers. Then, it causes the behavior of firms as well as the more efficient in markets. They capture the effect by observing these 3 factors which are outcome of restaurants, quarter revenue for individual restaurants and number of people who admitted to hospitals due to food-related and nonfood-related digestive disorders. As a result from this finding, there are the change in the increase in hygiene quality because consumers become more sensitive to the hygiene quality so the restaurant concerns more on the quality of product which affects to the decrease in number of incidence of foodborne illness. The effect has a large magnitude amount 20 percent.</w:t>
      </w:r>
      <w:r>
        <w:rPr>
          <w:rFonts w:ascii="Times New Roman" w:hAnsi="Times New Roman" w:cs="Times New Roman"/>
          <w:sz w:val="22"/>
          <w:szCs w:val="22"/>
        </w:rPr>
        <w:t xml:space="preserve"> </w:t>
      </w:r>
      <w:r w:rsidRPr="00943FB3">
        <w:rPr>
          <w:rFonts w:ascii="Times New Roman" w:hAnsi="Times New Roman" w:cs="Times New Roman"/>
          <w:sz w:val="22"/>
          <w:szCs w:val="22"/>
        </w:rPr>
        <w:t>Therefore, it seems to be effective to use the hygiene grade card to develop more hygiene quality in the restaurant.</w:t>
      </w:r>
      <w:r>
        <w:rPr>
          <w:rFonts w:ascii="Times New Roman" w:hAnsi="Times New Roman" w:cs="Times New Roman"/>
          <w:sz w:val="22"/>
          <w:szCs w:val="22"/>
        </w:rPr>
        <w:t xml:space="preserve"> However, this study can’t fully explain that the more information that consumers receive from grade card will affect the decision of restaurant from low hygiene quality restaurant to high hygiene quality restaurant.</w:t>
      </w:r>
      <w:bookmarkStart w:id="0" w:name="_GoBack"/>
      <w:bookmarkEnd w:id="0"/>
    </w:p>
    <w:sectPr w:rsidR="00A24EDA" w:rsidRPr="00943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FB3"/>
    <w:rsid w:val="001F5A2B"/>
    <w:rsid w:val="002866E4"/>
    <w:rsid w:val="00320470"/>
    <w:rsid w:val="00380962"/>
    <w:rsid w:val="0045436A"/>
    <w:rsid w:val="00943FB3"/>
    <w:rsid w:val="009B41E4"/>
    <w:rsid w:val="00AA0C23"/>
    <w:rsid w:val="00DA320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07186"/>
  <w15:chartTrackingRefBased/>
  <w15:docId w15:val="{BBF69773-4F93-4807-87EF-C47FF47E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3FB3"/>
    <w:pPr>
      <w:spacing w:before="100" w:beforeAutospacing="1" w:after="100" w:afterAutospacing="1" w:line="240" w:lineRule="auto"/>
    </w:pPr>
    <w:rPr>
      <w:rFonts w:ascii="Tahoma" w:eastAsia="Times New Roman" w:hAnsi="Tahoma" w:cs="Tahom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23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204</Words>
  <Characters>1163</Characters>
  <Application>Microsoft Office Word</Application>
  <DocSecurity>0</DocSecurity>
  <Lines>9</Lines>
  <Paragraphs>2</Paragraphs>
  <ScaleCrop>false</ScaleCrop>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Montlaya L</dc:creator>
  <cp:keywords/>
  <dc:description/>
  <cp:lastModifiedBy>Montlaya L</cp:lastModifiedBy>
  <cp:revision>1</cp:revision>
  <dcterms:created xsi:type="dcterms:W3CDTF">2020-02-03T10:17:00Z</dcterms:created>
  <dcterms:modified xsi:type="dcterms:W3CDTF">2020-02-03T10:24:00Z</dcterms:modified>
</cp:coreProperties>
</file>