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4EF" w:rsidRPr="00A15B6F" w:rsidRDefault="00A15B6F" w:rsidP="00A15B6F">
      <w:pPr>
        <w:jc w:val="center"/>
        <w:rPr>
          <w:rFonts w:ascii="Times New Roman" w:hAnsi="Times New Roman" w:cs="Times New Roman"/>
          <w:b/>
          <w:bCs/>
          <w:szCs w:val="22"/>
        </w:rPr>
      </w:pPr>
      <w:r w:rsidRPr="00A15B6F">
        <w:rPr>
          <w:rFonts w:ascii="Times New Roman" w:hAnsi="Times New Roman" w:cs="Times New Roman"/>
          <w:b/>
          <w:bCs/>
          <w:szCs w:val="22"/>
        </w:rPr>
        <w:t>Solutions to Assignment 4</w:t>
      </w:r>
    </w:p>
    <w:p w:rsidR="00A15B6F" w:rsidRPr="00A15B6F" w:rsidRDefault="00A15B6F" w:rsidP="00A15B6F">
      <w:pPr>
        <w:rPr>
          <w:rFonts w:ascii="Times New Roman" w:hAnsi="Times New Roman" w:cs="Times New Roman"/>
          <w:b/>
          <w:bCs/>
          <w:szCs w:val="22"/>
        </w:rPr>
      </w:pPr>
      <w:r w:rsidRPr="00A15B6F">
        <w:rPr>
          <w:rFonts w:ascii="Times New Roman" w:hAnsi="Times New Roman" w:cs="Times New Roman"/>
          <w:b/>
          <w:bCs/>
          <w:szCs w:val="22"/>
        </w:rPr>
        <w:t>Chapter 14</w:t>
      </w:r>
    </w:p>
    <w:p w:rsidR="00A15B6F" w:rsidRPr="00A15B6F" w:rsidRDefault="00A15B6F" w:rsidP="00A15B6F">
      <w:pPr>
        <w:spacing w:line="240" w:lineRule="auto"/>
        <w:ind w:left="720" w:hanging="720"/>
        <w:rPr>
          <w:rFonts w:ascii="Times New Roman" w:hAnsi="Times New Roman"/>
          <w:szCs w:val="22"/>
        </w:rPr>
      </w:pPr>
      <w:r w:rsidRPr="00A15B6F">
        <w:rPr>
          <w:rFonts w:ascii="Times New Roman" w:hAnsi="Times New Roman"/>
          <w:szCs w:val="22"/>
        </w:rPr>
        <w:t>2.</w:t>
      </w:r>
      <w:r w:rsidRPr="00A15B6F">
        <w:rPr>
          <w:rFonts w:ascii="Times New Roman" w:hAnsi="Times New Roman"/>
          <w:szCs w:val="22"/>
        </w:rPr>
        <w:tab/>
        <w:t>The bond callable at 105 should sell at a lower price because the call provision is more valuable to the firm.  Therefore, its yiel</w:t>
      </w:r>
      <w:r w:rsidRPr="00A15B6F">
        <w:rPr>
          <w:rFonts w:ascii="Times New Roman" w:hAnsi="Times New Roman"/>
          <w:szCs w:val="22"/>
        </w:rPr>
        <w:t>d to maturity should be higher.</w:t>
      </w:r>
    </w:p>
    <w:p w:rsidR="00A15B6F" w:rsidRPr="00A15B6F" w:rsidRDefault="00A15B6F" w:rsidP="00A15B6F">
      <w:pPr>
        <w:spacing w:line="240" w:lineRule="auto"/>
        <w:ind w:left="720" w:hanging="720"/>
        <w:rPr>
          <w:rFonts w:ascii="Times New Roman" w:hAnsi="Times New Roman"/>
          <w:szCs w:val="22"/>
        </w:rPr>
      </w:pPr>
      <w:r w:rsidRPr="00A15B6F">
        <w:rPr>
          <w:rFonts w:ascii="Times New Roman" w:hAnsi="Times New Roman"/>
          <w:szCs w:val="22"/>
        </w:rPr>
        <w:t>4.</w:t>
      </w:r>
      <w:r w:rsidRPr="00A15B6F">
        <w:rPr>
          <w:rFonts w:ascii="Times New Roman" w:hAnsi="Times New Roman"/>
          <w:szCs w:val="22"/>
        </w:rPr>
        <w:tab/>
        <w:t>A bond’s coupon interest payments and principal repayment are not affected by changes in market rates.  Consequently, if market rates increase, bond investors in the secondary markets are not willing to pay as much for a claim on a given bond’s fixed interest and principal payments as they would if market rates were lower.  This relationship is apparent from the inverse relationship between interest rates and present value.  An increase in the discount rate (i.e., the market rate) decreases the present value of the future cash flows.</w:t>
      </w:r>
    </w:p>
    <w:p w:rsidR="00A15B6F" w:rsidRPr="00A15B6F" w:rsidRDefault="00A15B6F" w:rsidP="00A15B6F">
      <w:pPr>
        <w:tabs>
          <w:tab w:val="left" w:pos="540"/>
          <w:tab w:val="left" w:pos="1080"/>
        </w:tabs>
        <w:spacing w:line="200" w:lineRule="exact"/>
        <w:ind w:left="720" w:hanging="720"/>
        <w:rPr>
          <w:rFonts w:ascii="Times New Roman" w:hAnsi="Times New Roman"/>
          <w:szCs w:val="22"/>
        </w:rPr>
      </w:pPr>
      <w:r w:rsidRPr="00A15B6F">
        <w:rPr>
          <w:rFonts w:ascii="Times New Roman" w:hAnsi="Times New Roman"/>
          <w:szCs w:val="22"/>
        </w:rPr>
        <w:t>10.</w:t>
      </w:r>
    </w:p>
    <w:tbl>
      <w:tblPr>
        <w:tblW w:w="0" w:type="auto"/>
        <w:tblInd w:w="555" w:type="dxa"/>
        <w:tblLayout w:type="fixed"/>
        <w:tblCellMar>
          <w:left w:w="80" w:type="dxa"/>
          <w:right w:w="80" w:type="dxa"/>
        </w:tblCellMar>
        <w:tblLook w:val="0000" w:firstRow="0" w:lastRow="0" w:firstColumn="0" w:lastColumn="0" w:noHBand="0" w:noVBand="0"/>
      </w:tblPr>
      <w:tblGrid>
        <w:gridCol w:w="3140"/>
        <w:gridCol w:w="1250"/>
        <w:gridCol w:w="280"/>
        <w:gridCol w:w="1160"/>
        <w:gridCol w:w="100"/>
        <w:gridCol w:w="1340"/>
        <w:gridCol w:w="280"/>
      </w:tblGrid>
      <w:tr w:rsidR="00A15B6F" w:rsidRPr="00A15B6F" w:rsidTr="0026133D">
        <w:trPr>
          <w:cantSplit/>
        </w:trPr>
        <w:tc>
          <w:tcPr>
            <w:tcW w:w="3140" w:type="dxa"/>
          </w:tcPr>
          <w:p w:rsidR="00A15B6F" w:rsidRPr="00A15B6F" w:rsidRDefault="00A15B6F" w:rsidP="0026133D">
            <w:pPr>
              <w:tabs>
                <w:tab w:val="left" w:pos="540"/>
              </w:tabs>
              <w:spacing w:line="240" w:lineRule="auto"/>
              <w:ind w:left="720" w:hanging="720"/>
              <w:rPr>
                <w:rFonts w:ascii="Times New Roman" w:hAnsi="Times New Roman"/>
                <w:szCs w:val="22"/>
              </w:rPr>
            </w:pPr>
            <w:r w:rsidRPr="00A15B6F">
              <w:rPr>
                <w:rFonts w:ascii="Times New Roman" w:hAnsi="Times New Roman"/>
                <w:szCs w:val="22"/>
              </w:rPr>
              <w:t>a.</w:t>
            </w:r>
          </w:p>
        </w:tc>
        <w:tc>
          <w:tcPr>
            <w:tcW w:w="1530" w:type="dxa"/>
            <w:gridSpan w:val="2"/>
          </w:tcPr>
          <w:p w:rsidR="00A15B6F" w:rsidRPr="00A15B6F" w:rsidRDefault="00A15B6F" w:rsidP="0026133D">
            <w:pPr>
              <w:pStyle w:val="1"/>
              <w:spacing w:line="240" w:lineRule="auto"/>
              <w:jc w:val="center"/>
              <w:rPr>
                <w:rFonts w:ascii="Times New Roman" w:hAnsi="Times New Roman"/>
                <w:sz w:val="22"/>
                <w:szCs w:val="22"/>
              </w:rPr>
            </w:pPr>
            <w:r w:rsidRPr="00A15B6F">
              <w:rPr>
                <w:rFonts w:ascii="Times New Roman" w:hAnsi="Times New Roman"/>
                <w:sz w:val="22"/>
                <w:szCs w:val="22"/>
              </w:rPr>
              <w:t>Zero coupon</w:t>
            </w:r>
          </w:p>
        </w:tc>
        <w:tc>
          <w:tcPr>
            <w:tcW w:w="1260" w:type="dxa"/>
            <w:gridSpan w:val="2"/>
          </w:tcPr>
          <w:p w:rsidR="00A15B6F" w:rsidRPr="00A15B6F" w:rsidRDefault="00A15B6F" w:rsidP="0026133D">
            <w:pPr>
              <w:spacing w:line="240" w:lineRule="auto"/>
              <w:ind w:left="720" w:hanging="720"/>
              <w:jc w:val="right"/>
              <w:rPr>
                <w:rFonts w:ascii="Times New Roman" w:hAnsi="Times New Roman"/>
                <w:szCs w:val="22"/>
                <w:u w:val="single"/>
              </w:rPr>
            </w:pPr>
            <w:r w:rsidRPr="00A15B6F">
              <w:rPr>
                <w:rFonts w:ascii="Times New Roman" w:hAnsi="Times New Roman"/>
                <w:szCs w:val="22"/>
                <w:u w:val="single"/>
              </w:rPr>
              <w:t>8% coupon</w:t>
            </w:r>
          </w:p>
        </w:tc>
        <w:tc>
          <w:tcPr>
            <w:tcW w:w="1620" w:type="dxa"/>
            <w:gridSpan w:val="2"/>
          </w:tcPr>
          <w:p w:rsidR="00A15B6F" w:rsidRPr="00A15B6F" w:rsidRDefault="00A15B6F" w:rsidP="0026133D">
            <w:pPr>
              <w:spacing w:line="240" w:lineRule="auto"/>
              <w:ind w:left="720" w:hanging="720"/>
              <w:jc w:val="center"/>
              <w:rPr>
                <w:rFonts w:ascii="Times New Roman" w:hAnsi="Times New Roman"/>
                <w:szCs w:val="22"/>
                <w:u w:val="single"/>
              </w:rPr>
            </w:pPr>
            <w:r w:rsidRPr="00A15B6F">
              <w:rPr>
                <w:rFonts w:ascii="Times New Roman" w:hAnsi="Times New Roman"/>
                <w:szCs w:val="22"/>
                <w:u w:val="single"/>
              </w:rPr>
              <w:t>10% coupon</w:t>
            </w:r>
          </w:p>
        </w:tc>
      </w:tr>
      <w:tr w:rsidR="00A15B6F" w:rsidRPr="00A15B6F" w:rsidTr="0026133D">
        <w:trPr>
          <w:gridAfter w:val="1"/>
          <w:wAfter w:w="280" w:type="dxa"/>
          <w:cantSplit/>
          <w:trHeight w:hRule="exact" w:val="280"/>
        </w:trPr>
        <w:tc>
          <w:tcPr>
            <w:tcW w:w="3140" w:type="dxa"/>
            <w:vAlign w:val="bottom"/>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Current prices</w:t>
            </w:r>
          </w:p>
        </w:tc>
        <w:tc>
          <w:tcPr>
            <w:tcW w:w="1250" w:type="dxa"/>
            <w:vAlign w:val="bottom"/>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$463.19</w:t>
            </w:r>
          </w:p>
        </w:tc>
        <w:tc>
          <w:tcPr>
            <w:tcW w:w="1440" w:type="dxa"/>
            <w:gridSpan w:val="2"/>
            <w:vAlign w:val="bottom"/>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$1,000.00</w:t>
            </w:r>
          </w:p>
        </w:tc>
        <w:tc>
          <w:tcPr>
            <w:tcW w:w="1440" w:type="dxa"/>
            <w:gridSpan w:val="2"/>
            <w:vAlign w:val="bottom"/>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$1,134.20</w:t>
            </w:r>
          </w:p>
        </w:tc>
      </w:tr>
      <w:tr w:rsidR="00A15B6F" w:rsidRPr="00A15B6F" w:rsidTr="0026133D">
        <w:trPr>
          <w:gridAfter w:val="1"/>
          <w:wAfter w:w="280" w:type="dxa"/>
          <w:cantSplit/>
        </w:trPr>
        <w:tc>
          <w:tcPr>
            <w:tcW w:w="3140" w:type="dxa"/>
          </w:tcPr>
          <w:p w:rsidR="00A15B6F" w:rsidRPr="00A15B6F" w:rsidRDefault="00A15B6F" w:rsidP="0026133D">
            <w:pPr>
              <w:tabs>
                <w:tab w:val="left" w:pos="540"/>
              </w:tabs>
              <w:spacing w:line="240" w:lineRule="auto"/>
              <w:ind w:left="720" w:hanging="720"/>
              <w:rPr>
                <w:rFonts w:ascii="Times New Roman" w:hAnsi="Times New Roman"/>
                <w:szCs w:val="22"/>
              </w:rPr>
            </w:pP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b. Price 1 year from now</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$500.25</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$1,000.00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$1,124.94</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Price increase</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$ 37.06</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0.00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$ 9.26</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Coupon income</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0.00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$ 80.00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$100.00</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Pre-tax income</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$ 37.06</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$ 80.00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$ 90.74</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Pre-tax rate of return</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8.00%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8.00%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8.00%</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Taxes*</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$ 11.12</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$ 24.00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$ 28.15</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After-tax income</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$ 25.94</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$ 56.00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$ 62.59</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After-tax rate of return</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5.60%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5.60%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5.52%</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c. Price 1 year from now</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$543.93</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$1,065.15</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$1,195.46</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Price increase</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$ 80.74</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$ 65.15</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$ 61.26</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Coupon income</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0.00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$ 80.00</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$100.00</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Pre-tax income</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$ 80.74</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$145.15</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$161.26</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Pre-tax rate of return</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17.43%</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14.52%</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14.22%</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Taxes**</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$ 19.86</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$ 37.03</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$ 42.25</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After-tax income</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$ 60.88</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$108.12</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$119.01</w:t>
            </w:r>
          </w:p>
        </w:tc>
      </w:tr>
      <w:tr w:rsidR="00A15B6F" w:rsidRPr="00A15B6F" w:rsidTr="0026133D">
        <w:trPr>
          <w:gridAfter w:val="1"/>
          <w:wAfter w:w="280" w:type="dxa"/>
          <w:cantSplit/>
        </w:trPr>
        <w:tc>
          <w:tcPr>
            <w:tcW w:w="3140" w:type="dxa"/>
          </w:tcPr>
          <w:p w:rsidR="00A15B6F" w:rsidRPr="00A15B6F" w:rsidRDefault="00A15B6F" w:rsidP="0026133D">
            <w:pPr>
              <w:spacing w:line="240" w:lineRule="auto"/>
              <w:ind w:left="720" w:hanging="720"/>
              <w:rPr>
                <w:rFonts w:ascii="Times New Roman" w:hAnsi="Times New Roman"/>
                <w:szCs w:val="22"/>
              </w:rPr>
            </w:pPr>
            <w:r w:rsidRPr="00A15B6F">
              <w:rPr>
                <w:rFonts w:ascii="Times New Roman" w:hAnsi="Times New Roman"/>
                <w:szCs w:val="22"/>
              </w:rPr>
              <w:t>After-tax rate of return</w:t>
            </w:r>
          </w:p>
        </w:tc>
        <w:tc>
          <w:tcPr>
            <w:tcW w:w="1250" w:type="dxa"/>
          </w:tcPr>
          <w:p w:rsidR="00A15B6F" w:rsidRPr="00A15B6F" w:rsidRDefault="00A15B6F" w:rsidP="0026133D">
            <w:pPr>
              <w:spacing w:line="240" w:lineRule="auto"/>
              <w:ind w:left="720" w:right="20" w:hanging="720"/>
              <w:jc w:val="right"/>
              <w:rPr>
                <w:rFonts w:ascii="Times New Roman" w:hAnsi="Times New Roman"/>
                <w:szCs w:val="22"/>
              </w:rPr>
            </w:pPr>
            <w:r w:rsidRPr="00A15B6F">
              <w:rPr>
                <w:rFonts w:ascii="Times New Roman" w:hAnsi="Times New Roman"/>
                <w:szCs w:val="22"/>
              </w:rPr>
              <w:t>13.14%</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10.81%</w:t>
            </w:r>
          </w:p>
        </w:tc>
        <w:tc>
          <w:tcPr>
            <w:tcW w:w="1440" w:type="dxa"/>
            <w:gridSpan w:val="2"/>
          </w:tcPr>
          <w:p w:rsidR="00A15B6F" w:rsidRPr="00A15B6F" w:rsidRDefault="00A15B6F" w:rsidP="0026133D">
            <w:pPr>
              <w:spacing w:line="240" w:lineRule="auto"/>
              <w:ind w:left="720" w:hanging="720"/>
              <w:jc w:val="right"/>
              <w:rPr>
                <w:rFonts w:ascii="Times New Roman" w:hAnsi="Times New Roman"/>
                <w:szCs w:val="22"/>
              </w:rPr>
            </w:pPr>
            <w:r w:rsidRPr="00A15B6F">
              <w:rPr>
                <w:rFonts w:ascii="Times New Roman" w:hAnsi="Times New Roman"/>
                <w:szCs w:val="22"/>
              </w:rPr>
              <w:t>10.49%</w:t>
            </w:r>
          </w:p>
        </w:tc>
      </w:tr>
    </w:tbl>
    <w:p w:rsidR="00A15B6F" w:rsidRPr="00A15B6F" w:rsidRDefault="00A15B6F" w:rsidP="00A15B6F">
      <w:pPr>
        <w:pStyle w:val="2"/>
        <w:tabs>
          <w:tab w:val="clear" w:pos="540"/>
        </w:tabs>
        <w:spacing w:before="120" w:after="60"/>
        <w:ind w:left="720" w:firstLine="0"/>
        <w:rPr>
          <w:rFonts w:ascii="Times New Roman" w:hAnsi="Times New Roman"/>
          <w:sz w:val="22"/>
          <w:szCs w:val="22"/>
        </w:rPr>
      </w:pPr>
      <w:r w:rsidRPr="00A15B6F">
        <w:rPr>
          <w:rFonts w:ascii="Times New Roman" w:hAnsi="Times New Roman"/>
          <w:sz w:val="22"/>
          <w:szCs w:val="22"/>
        </w:rPr>
        <w:t>* In computing taxes, we assume that the 10% coupon bond was issued at par and that the decrease in price when the bond is sold at year end is treated as a capital loss and therefore is not treated as an offset to ordinary income.</w:t>
      </w:r>
    </w:p>
    <w:p w:rsidR="00A15B6F" w:rsidRPr="00A15B6F" w:rsidRDefault="00A15B6F" w:rsidP="00A15B6F">
      <w:pPr>
        <w:spacing w:line="240" w:lineRule="auto"/>
        <w:ind w:left="720"/>
        <w:rPr>
          <w:rFonts w:ascii="Times New Roman" w:hAnsi="Times New Roman"/>
          <w:szCs w:val="22"/>
        </w:rPr>
      </w:pPr>
      <w:r w:rsidRPr="00A15B6F">
        <w:rPr>
          <w:rFonts w:ascii="Times New Roman" w:hAnsi="Times New Roman"/>
          <w:szCs w:val="22"/>
        </w:rPr>
        <w:lastRenderedPageBreak/>
        <w:t>** In computing taxes for the zero coupon bond, $37.06 is taxed as ordinary income (see part (b)); the remainder of the price increase is taxed as a capital gain.</w:t>
      </w:r>
    </w:p>
    <w:p w:rsidR="00A15B6F" w:rsidRPr="00A15B6F" w:rsidRDefault="00A15B6F" w:rsidP="00A15B6F">
      <w:pPr>
        <w:spacing w:line="220" w:lineRule="exact"/>
        <w:ind w:left="720" w:hanging="720"/>
        <w:rPr>
          <w:rFonts w:ascii="Times New Roman" w:hAnsi="Times New Roman"/>
          <w:szCs w:val="22"/>
        </w:rPr>
      </w:pPr>
    </w:p>
    <w:p w:rsidR="00A15B6F" w:rsidRPr="00A15B6F" w:rsidRDefault="00A15B6F" w:rsidP="00A15B6F">
      <w:pPr>
        <w:tabs>
          <w:tab w:val="left" w:pos="540"/>
        </w:tabs>
        <w:spacing w:after="100" w:line="240" w:lineRule="auto"/>
        <w:ind w:left="720" w:hanging="720"/>
        <w:rPr>
          <w:rFonts w:ascii="Times New Roman" w:hAnsi="Times New Roman"/>
          <w:szCs w:val="22"/>
        </w:rPr>
      </w:pPr>
      <w:r w:rsidRPr="00A15B6F">
        <w:rPr>
          <w:rFonts w:ascii="Times New Roman" w:hAnsi="Times New Roman"/>
          <w:szCs w:val="22"/>
        </w:rPr>
        <w:t>11.</w:t>
      </w:r>
      <w:r w:rsidRPr="00A15B6F">
        <w:rPr>
          <w:rFonts w:ascii="Times New Roman" w:hAnsi="Times New Roman"/>
          <w:szCs w:val="22"/>
        </w:rPr>
        <w:tab/>
      </w:r>
      <w:r w:rsidRPr="00A15B6F">
        <w:rPr>
          <w:rFonts w:ascii="Times New Roman" w:hAnsi="Times New Roman"/>
          <w:szCs w:val="22"/>
        </w:rPr>
        <w:tab/>
      </w:r>
      <w:proofErr w:type="gramStart"/>
      <w:r w:rsidRPr="00A15B6F">
        <w:rPr>
          <w:rFonts w:ascii="Times New Roman" w:hAnsi="Times New Roman"/>
          <w:szCs w:val="22"/>
        </w:rPr>
        <w:t>a</w:t>
      </w:r>
      <w:proofErr w:type="gramEnd"/>
      <w:r w:rsidRPr="00A15B6F">
        <w:rPr>
          <w:rFonts w:ascii="Times New Roman" w:hAnsi="Times New Roman"/>
          <w:szCs w:val="22"/>
        </w:rPr>
        <w:t>.   On a financial calculator, enter the following:</w:t>
      </w:r>
    </w:p>
    <w:p w:rsidR="00A15B6F" w:rsidRPr="00A15B6F" w:rsidRDefault="00A15B6F" w:rsidP="00A15B6F">
      <w:pPr>
        <w:spacing w:after="100" w:line="240" w:lineRule="auto"/>
        <w:ind w:left="720"/>
        <w:rPr>
          <w:rFonts w:ascii="Times New Roman" w:hAnsi="Times New Roman"/>
          <w:szCs w:val="22"/>
        </w:rPr>
      </w:pPr>
      <w:r w:rsidRPr="00A15B6F">
        <w:rPr>
          <w:rFonts w:ascii="Times New Roman" w:hAnsi="Times New Roman"/>
          <w:szCs w:val="22"/>
        </w:rPr>
        <w:t>n = 40; FV = 1000; PV = –950; PMT = 40</w:t>
      </w:r>
    </w:p>
    <w:p w:rsidR="00A15B6F" w:rsidRPr="00A15B6F" w:rsidRDefault="00A15B6F" w:rsidP="00A15B6F">
      <w:pPr>
        <w:spacing w:after="100" w:line="240" w:lineRule="auto"/>
        <w:ind w:left="720" w:right="-180"/>
        <w:rPr>
          <w:rFonts w:ascii="Times New Roman" w:hAnsi="Times New Roman"/>
          <w:szCs w:val="22"/>
        </w:rPr>
      </w:pPr>
      <w:r w:rsidRPr="00A15B6F">
        <w:rPr>
          <w:rFonts w:ascii="Times New Roman" w:hAnsi="Times New Roman"/>
          <w:szCs w:val="22"/>
        </w:rPr>
        <w:t>You will find that the yield to maturity on a semi-annual basis is 4.26%.  This implies a bond equivalent yield to maturity equal to: 4.26% * 2 = 8.52%</w:t>
      </w:r>
    </w:p>
    <w:p w:rsidR="00A15B6F" w:rsidRPr="00A15B6F" w:rsidRDefault="00A15B6F" w:rsidP="00A15B6F">
      <w:pPr>
        <w:spacing w:line="240" w:lineRule="auto"/>
        <w:ind w:left="720"/>
        <w:rPr>
          <w:rFonts w:ascii="Times New Roman" w:hAnsi="Times New Roman"/>
          <w:szCs w:val="22"/>
        </w:rPr>
      </w:pPr>
      <w:r w:rsidRPr="00A15B6F">
        <w:rPr>
          <w:rFonts w:ascii="Times New Roman" w:hAnsi="Times New Roman"/>
          <w:szCs w:val="22"/>
        </w:rPr>
        <w:t>Effective annual yield to maturity = (1.0426)</w:t>
      </w:r>
      <w:r w:rsidRPr="00A15B6F">
        <w:rPr>
          <w:rFonts w:ascii="Times New Roman" w:hAnsi="Times New Roman"/>
          <w:szCs w:val="22"/>
          <w:vertAlign w:val="superscript"/>
        </w:rPr>
        <w:t>2</w:t>
      </w:r>
      <w:r w:rsidRPr="00A15B6F">
        <w:rPr>
          <w:rFonts w:ascii="Times New Roman" w:hAnsi="Times New Roman"/>
          <w:szCs w:val="22"/>
        </w:rPr>
        <w:t xml:space="preserve"> – 1 = 0.0870 = 8.70%</w:t>
      </w:r>
    </w:p>
    <w:p w:rsidR="00A15B6F" w:rsidRPr="00A15B6F" w:rsidRDefault="00A15B6F" w:rsidP="00A15B6F">
      <w:pPr>
        <w:spacing w:line="240" w:lineRule="auto"/>
        <w:ind w:left="720"/>
        <w:rPr>
          <w:rFonts w:ascii="Times New Roman" w:hAnsi="Times New Roman"/>
          <w:szCs w:val="22"/>
        </w:rPr>
      </w:pPr>
      <w:proofErr w:type="gramStart"/>
      <w:r w:rsidRPr="00A15B6F">
        <w:rPr>
          <w:rFonts w:ascii="Times New Roman" w:hAnsi="Times New Roman"/>
          <w:szCs w:val="22"/>
        </w:rPr>
        <w:t>b.  Since</w:t>
      </w:r>
      <w:proofErr w:type="gramEnd"/>
      <w:r w:rsidRPr="00A15B6F">
        <w:rPr>
          <w:rFonts w:ascii="Times New Roman" w:hAnsi="Times New Roman"/>
          <w:szCs w:val="22"/>
        </w:rPr>
        <w:t xml:space="preserve"> the bond is selling at par, the yield to maturity on a semi-annual basis is the same as the semi-annual coupon rate, i.e., 4%.  The bond equivalent yield to maturity is 8%.</w:t>
      </w:r>
    </w:p>
    <w:p w:rsidR="00A15B6F" w:rsidRPr="00A15B6F" w:rsidRDefault="00A15B6F" w:rsidP="00A15B6F">
      <w:pPr>
        <w:spacing w:line="240" w:lineRule="auto"/>
        <w:ind w:left="720"/>
        <w:rPr>
          <w:rFonts w:ascii="Times New Roman" w:hAnsi="Times New Roman"/>
          <w:szCs w:val="22"/>
        </w:rPr>
      </w:pPr>
      <w:r w:rsidRPr="00A15B6F">
        <w:rPr>
          <w:rFonts w:ascii="Times New Roman" w:hAnsi="Times New Roman"/>
          <w:szCs w:val="22"/>
        </w:rPr>
        <w:t>Effective annual yield to maturity = (1.04)</w:t>
      </w:r>
      <w:r w:rsidRPr="00A15B6F">
        <w:rPr>
          <w:rFonts w:ascii="Times New Roman" w:hAnsi="Times New Roman"/>
          <w:szCs w:val="22"/>
          <w:vertAlign w:val="superscript"/>
        </w:rPr>
        <w:t>2</w:t>
      </w:r>
      <w:r w:rsidRPr="00A15B6F">
        <w:rPr>
          <w:rFonts w:ascii="Times New Roman" w:hAnsi="Times New Roman"/>
          <w:szCs w:val="22"/>
        </w:rPr>
        <w:t xml:space="preserve"> – 1 = 0.0816 = 8.16%</w:t>
      </w:r>
    </w:p>
    <w:p w:rsidR="00A15B6F" w:rsidRPr="00A15B6F" w:rsidRDefault="00A15B6F" w:rsidP="00A15B6F">
      <w:pPr>
        <w:spacing w:after="120" w:line="240" w:lineRule="auto"/>
        <w:ind w:left="720"/>
        <w:rPr>
          <w:rFonts w:ascii="Times New Roman" w:hAnsi="Times New Roman"/>
          <w:szCs w:val="22"/>
        </w:rPr>
      </w:pPr>
      <w:proofErr w:type="gramStart"/>
      <w:r w:rsidRPr="00A15B6F">
        <w:rPr>
          <w:rFonts w:ascii="Times New Roman" w:hAnsi="Times New Roman"/>
          <w:szCs w:val="22"/>
        </w:rPr>
        <w:t>c.  Keeping</w:t>
      </w:r>
      <w:proofErr w:type="gramEnd"/>
      <w:r w:rsidRPr="00A15B6F">
        <w:rPr>
          <w:rFonts w:ascii="Times New Roman" w:hAnsi="Times New Roman"/>
          <w:szCs w:val="22"/>
        </w:rPr>
        <w:t xml:space="preserve"> other inputs unchanged but setting PV = –1050, we find a bond equivalent yield to maturity of 7.52%, or 3.76% on a semi-annual basis.</w:t>
      </w:r>
    </w:p>
    <w:p w:rsidR="00A15B6F" w:rsidRPr="00A15B6F" w:rsidRDefault="00A15B6F" w:rsidP="00A15B6F">
      <w:pPr>
        <w:spacing w:line="240" w:lineRule="auto"/>
        <w:ind w:left="720"/>
        <w:outlineLvl w:val="0"/>
        <w:rPr>
          <w:rFonts w:ascii="Times New Roman" w:hAnsi="Times New Roman"/>
          <w:szCs w:val="22"/>
        </w:rPr>
      </w:pPr>
      <w:r w:rsidRPr="00A15B6F">
        <w:rPr>
          <w:rFonts w:ascii="Times New Roman" w:hAnsi="Times New Roman"/>
          <w:szCs w:val="22"/>
        </w:rPr>
        <w:t>Effective annual yield to maturity = (1.0376)</w:t>
      </w:r>
      <w:r w:rsidRPr="00A15B6F">
        <w:rPr>
          <w:rFonts w:ascii="Times New Roman" w:hAnsi="Times New Roman"/>
          <w:szCs w:val="22"/>
          <w:vertAlign w:val="superscript"/>
        </w:rPr>
        <w:t>2</w:t>
      </w:r>
      <w:r w:rsidRPr="00A15B6F">
        <w:rPr>
          <w:rFonts w:ascii="Times New Roman" w:hAnsi="Times New Roman"/>
          <w:szCs w:val="22"/>
        </w:rPr>
        <w:t xml:space="preserve"> – 1 = 0.0766 = 7.66%</w:t>
      </w:r>
    </w:p>
    <w:p w:rsidR="00A15B6F" w:rsidRPr="00A15B6F" w:rsidRDefault="00A15B6F" w:rsidP="00A15B6F">
      <w:pPr>
        <w:tabs>
          <w:tab w:val="left" w:pos="540"/>
        </w:tabs>
        <w:spacing w:line="240" w:lineRule="auto"/>
        <w:ind w:left="720" w:right="-187" w:hanging="720"/>
        <w:rPr>
          <w:rFonts w:ascii="Times New Roman" w:hAnsi="Times New Roman"/>
          <w:szCs w:val="22"/>
        </w:rPr>
      </w:pPr>
      <w:r w:rsidRPr="00A15B6F">
        <w:rPr>
          <w:rFonts w:ascii="Times New Roman" w:hAnsi="Times New Roman"/>
          <w:szCs w:val="22"/>
        </w:rPr>
        <w:t>21.</w:t>
      </w:r>
      <w:r w:rsidRPr="00A15B6F">
        <w:rPr>
          <w:rFonts w:ascii="Times New Roman" w:hAnsi="Times New Roman"/>
          <w:szCs w:val="22"/>
        </w:rPr>
        <w:tab/>
      </w:r>
      <w:r w:rsidRPr="00A15B6F">
        <w:rPr>
          <w:rFonts w:ascii="Times New Roman" w:hAnsi="Times New Roman"/>
          <w:szCs w:val="22"/>
        </w:rPr>
        <w:tab/>
      </w:r>
      <w:proofErr w:type="gramStart"/>
      <w:r w:rsidRPr="00A15B6F">
        <w:rPr>
          <w:rFonts w:ascii="Times New Roman" w:hAnsi="Times New Roman"/>
          <w:szCs w:val="22"/>
        </w:rPr>
        <w:t>a</w:t>
      </w:r>
      <w:proofErr w:type="gramEnd"/>
      <w:r w:rsidRPr="00A15B6F">
        <w:rPr>
          <w:rFonts w:ascii="Times New Roman" w:hAnsi="Times New Roman"/>
          <w:szCs w:val="22"/>
        </w:rPr>
        <w:t xml:space="preserve">. </w:t>
      </w:r>
      <w:r w:rsidRPr="00A15B6F">
        <w:rPr>
          <w:rFonts w:ascii="Times New Roman" w:hAnsi="Times New Roman"/>
          <w:szCs w:val="22"/>
        </w:rPr>
        <w:tab/>
        <w:t xml:space="preserve">The bond sells for $1,124.72 based on the 3.5% yield to </w:t>
      </w:r>
      <w:r w:rsidRPr="00A15B6F">
        <w:rPr>
          <w:rFonts w:ascii="Times New Roman" w:hAnsi="Times New Roman"/>
          <w:i/>
          <w:szCs w:val="22"/>
        </w:rPr>
        <w:t>maturity</w:t>
      </w:r>
      <w:r w:rsidRPr="00A15B6F">
        <w:rPr>
          <w:rFonts w:ascii="Times New Roman" w:hAnsi="Times New Roman"/>
          <w:szCs w:val="22"/>
        </w:rPr>
        <w:t>.</w:t>
      </w:r>
    </w:p>
    <w:p w:rsidR="00A15B6F" w:rsidRPr="00A15B6F" w:rsidRDefault="00A15B6F" w:rsidP="00A15B6F">
      <w:pPr>
        <w:spacing w:after="120" w:line="240" w:lineRule="auto"/>
        <w:ind w:left="720" w:right="-187"/>
        <w:rPr>
          <w:rFonts w:ascii="Times New Roman" w:hAnsi="Times New Roman"/>
          <w:szCs w:val="22"/>
        </w:rPr>
      </w:pPr>
      <w:r w:rsidRPr="00A15B6F">
        <w:rPr>
          <w:rFonts w:ascii="Times New Roman" w:hAnsi="Times New Roman"/>
          <w:szCs w:val="22"/>
        </w:rPr>
        <w:t>[n = 60; i = 3.5; FV = 1000; PMT = 40]</w:t>
      </w:r>
    </w:p>
    <w:p w:rsidR="00A15B6F" w:rsidRPr="00A15B6F" w:rsidRDefault="00A15B6F" w:rsidP="00A15B6F">
      <w:pPr>
        <w:spacing w:line="240" w:lineRule="auto"/>
        <w:ind w:left="720" w:right="-187"/>
        <w:rPr>
          <w:rFonts w:ascii="Times New Roman" w:hAnsi="Times New Roman"/>
          <w:szCs w:val="22"/>
        </w:rPr>
      </w:pPr>
      <w:r w:rsidRPr="00A15B6F">
        <w:rPr>
          <w:rFonts w:ascii="Times New Roman" w:hAnsi="Times New Roman"/>
          <w:szCs w:val="22"/>
        </w:rPr>
        <w:t xml:space="preserve">Therefore, yield to </w:t>
      </w:r>
      <w:r w:rsidRPr="00A15B6F">
        <w:rPr>
          <w:rFonts w:ascii="Times New Roman" w:hAnsi="Times New Roman"/>
          <w:i/>
          <w:szCs w:val="22"/>
        </w:rPr>
        <w:t>call</w:t>
      </w:r>
      <w:r w:rsidRPr="00A15B6F">
        <w:rPr>
          <w:rFonts w:ascii="Times New Roman" w:hAnsi="Times New Roman"/>
          <w:szCs w:val="22"/>
        </w:rPr>
        <w:t xml:space="preserve"> is 3.368% semiannually, 6.736% annually.</w:t>
      </w:r>
    </w:p>
    <w:p w:rsidR="00A15B6F" w:rsidRPr="00A15B6F" w:rsidRDefault="00A15B6F" w:rsidP="00A15B6F">
      <w:pPr>
        <w:spacing w:line="240" w:lineRule="auto"/>
        <w:ind w:left="720" w:right="-187"/>
        <w:rPr>
          <w:rFonts w:ascii="Times New Roman" w:hAnsi="Times New Roman"/>
          <w:szCs w:val="22"/>
        </w:rPr>
      </w:pPr>
      <w:r w:rsidRPr="00A15B6F">
        <w:rPr>
          <w:rFonts w:ascii="Times New Roman" w:hAnsi="Times New Roman"/>
          <w:szCs w:val="22"/>
        </w:rPr>
        <w:t>[n = 10 semiannual periods; PV =</w:t>
      </w:r>
      <w:r w:rsidRPr="00A15B6F">
        <w:rPr>
          <w:rFonts w:ascii="Times New Roman" w:hAnsi="Times New Roman"/>
          <w:szCs w:val="22"/>
        </w:rPr>
        <w:t xml:space="preserve"> –1124.72; FV = 1100; PMT = 40]</w:t>
      </w:r>
    </w:p>
    <w:p w:rsidR="00A15B6F" w:rsidRPr="00A15B6F" w:rsidRDefault="00A15B6F" w:rsidP="00A15B6F">
      <w:pPr>
        <w:spacing w:line="240" w:lineRule="auto"/>
        <w:ind w:left="720" w:right="90"/>
        <w:rPr>
          <w:rFonts w:ascii="Times New Roman" w:hAnsi="Times New Roman"/>
          <w:szCs w:val="22"/>
        </w:rPr>
      </w:pPr>
      <w:r w:rsidRPr="00A15B6F">
        <w:rPr>
          <w:rFonts w:ascii="Times New Roman" w:hAnsi="Times New Roman"/>
          <w:szCs w:val="22"/>
        </w:rPr>
        <w:t xml:space="preserve">b. </w:t>
      </w:r>
      <w:r w:rsidRPr="00A15B6F">
        <w:rPr>
          <w:rFonts w:ascii="Times New Roman" w:hAnsi="Times New Roman"/>
          <w:szCs w:val="22"/>
        </w:rPr>
        <w:tab/>
        <w:t>If the call price were $1,050, we would set FV = 1,050 and redo part (a) to find that yield to call is 2.976% semiannually, 5.952% annually.  With a lower call pri</w:t>
      </w:r>
      <w:r w:rsidRPr="00A15B6F">
        <w:rPr>
          <w:rFonts w:ascii="Times New Roman" w:hAnsi="Times New Roman"/>
          <w:szCs w:val="22"/>
        </w:rPr>
        <w:t>ce, the yield to call is lower.</w:t>
      </w:r>
    </w:p>
    <w:p w:rsidR="00A15B6F" w:rsidRPr="00A15B6F" w:rsidRDefault="00A15B6F" w:rsidP="00A15B6F">
      <w:pPr>
        <w:spacing w:line="240" w:lineRule="auto"/>
        <w:ind w:left="720" w:right="-260"/>
        <w:rPr>
          <w:rFonts w:ascii="Times New Roman" w:hAnsi="Times New Roman"/>
          <w:szCs w:val="22"/>
        </w:rPr>
      </w:pPr>
      <w:r w:rsidRPr="00A15B6F">
        <w:rPr>
          <w:rFonts w:ascii="Times New Roman" w:hAnsi="Times New Roman"/>
          <w:szCs w:val="22"/>
        </w:rPr>
        <w:t xml:space="preserve">c. </w:t>
      </w:r>
      <w:r w:rsidRPr="00A15B6F">
        <w:rPr>
          <w:rFonts w:ascii="Times New Roman" w:hAnsi="Times New Roman"/>
          <w:szCs w:val="22"/>
        </w:rPr>
        <w:tab/>
        <w:t>Yield to call is 3.031% semiannually, 6.062% annually.</w:t>
      </w:r>
    </w:p>
    <w:p w:rsidR="00A15B6F" w:rsidRPr="00A15B6F" w:rsidRDefault="00A15B6F" w:rsidP="00A15B6F">
      <w:pPr>
        <w:spacing w:line="240" w:lineRule="auto"/>
        <w:ind w:left="720" w:right="-260"/>
        <w:rPr>
          <w:rFonts w:ascii="Times New Roman" w:hAnsi="Times New Roman"/>
          <w:szCs w:val="22"/>
        </w:rPr>
      </w:pPr>
      <w:r w:rsidRPr="00A15B6F">
        <w:rPr>
          <w:rFonts w:ascii="Times New Roman" w:hAnsi="Times New Roman"/>
          <w:szCs w:val="22"/>
        </w:rPr>
        <w:t>[n = 4; PV = −1124.72; FV = 1100; PMT = 40]</w:t>
      </w:r>
    </w:p>
    <w:p w:rsidR="00A15B6F" w:rsidRPr="00A15B6F" w:rsidRDefault="00A15B6F" w:rsidP="00A15B6F">
      <w:pPr>
        <w:tabs>
          <w:tab w:val="left" w:pos="540"/>
        </w:tabs>
        <w:spacing w:after="120" w:line="240" w:lineRule="auto"/>
        <w:ind w:left="720" w:right="-187" w:hanging="720"/>
        <w:rPr>
          <w:rFonts w:ascii="Times New Roman" w:hAnsi="Times New Roman"/>
          <w:szCs w:val="22"/>
        </w:rPr>
      </w:pPr>
      <w:r w:rsidRPr="00A15B6F">
        <w:rPr>
          <w:rFonts w:ascii="Times New Roman" w:hAnsi="Times New Roman"/>
          <w:szCs w:val="22"/>
        </w:rPr>
        <w:t>31.</w:t>
      </w:r>
      <w:r w:rsidRPr="00A15B6F">
        <w:rPr>
          <w:rFonts w:ascii="Times New Roman" w:hAnsi="Times New Roman"/>
          <w:szCs w:val="22"/>
        </w:rPr>
        <w:tab/>
      </w:r>
      <w:r w:rsidRPr="00A15B6F">
        <w:rPr>
          <w:rFonts w:ascii="Times New Roman" w:hAnsi="Times New Roman"/>
          <w:szCs w:val="22"/>
        </w:rPr>
        <w:tab/>
        <w:t>a. Initial price P</w:t>
      </w:r>
      <w:r w:rsidRPr="00A15B6F">
        <w:rPr>
          <w:rFonts w:ascii="Times New Roman" w:hAnsi="Times New Roman"/>
          <w:szCs w:val="22"/>
          <w:vertAlign w:val="subscript"/>
        </w:rPr>
        <w:t>0</w:t>
      </w:r>
      <w:r w:rsidRPr="00A15B6F">
        <w:rPr>
          <w:rFonts w:ascii="Times New Roman" w:hAnsi="Times New Roman"/>
          <w:szCs w:val="22"/>
        </w:rPr>
        <w:t xml:space="preserve"> = $705.46 [n = 20; PMT = 50; FV = 1000; i = 8]</w:t>
      </w:r>
    </w:p>
    <w:p w:rsidR="00A15B6F" w:rsidRPr="00A15B6F" w:rsidRDefault="00A15B6F" w:rsidP="00A15B6F">
      <w:pPr>
        <w:spacing w:after="120" w:line="240" w:lineRule="auto"/>
        <w:ind w:left="720" w:right="-187"/>
        <w:rPr>
          <w:rFonts w:ascii="Times New Roman" w:hAnsi="Times New Roman"/>
          <w:szCs w:val="22"/>
        </w:rPr>
      </w:pPr>
      <w:r w:rsidRPr="00A15B6F">
        <w:rPr>
          <w:rFonts w:ascii="Times New Roman" w:hAnsi="Times New Roman"/>
          <w:szCs w:val="22"/>
        </w:rPr>
        <w:t>Next year's price P</w:t>
      </w:r>
      <w:r w:rsidRPr="00A15B6F">
        <w:rPr>
          <w:rFonts w:ascii="Times New Roman" w:hAnsi="Times New Roman"/>
          <w:szCs w:val="22"/>
          <w:vertAlign w:val="subscript"/>
        </w:rPr>
        <w:t>1</w:t>
      </w:r>
      <w:r w:rsidRPr="00A15B6F">
        <w:rPr>
          <w:rFonts w:ascii="Times New Roman" w:hAnsi="Times New Roman"/>
          <w:szCs w:val="22"/>
        </w:rPr>
        <w:t xml:space="preserve"> = $793.29 [n = 19; PMT = 50; FV = 1000; i = 7]</w:t>
      </w:r>
    </w:p>
    <w:p w:rsidR="00A15B6F" w:rsidRPr="00A15B6F" w:rsidRDefault="00A15B6F" w:rsidP="00A15B6F">
      <w:pPr>
        <w:spacing w:line="240" w:lineRule="auto"/>
        <w:ind w:left="720" w:right="-187" w:firstLine="720"/>
        <w:rPr>
          <w:rFonts w:ascii="Times New Roman" w:hAnsi="Times New Roman"/>
          <w:szCs w:val="22"/>
        </w:rPr>
      </w:pPr>
      <w:r w:rsidRPr="00A15B6F">
        <w:rPr>
          <w:rFonts w:ascii="Times New Roman" w:hAnsi="Times New Roman"/>
          <w:szCs w:val="22"/>
        </w:rPr>
        <w:t>HPR</w:t>
      </w:r>
      <w:r w:rsidRPr="00A15B6F">
        <w:rPr>
          <w:rFonts w:ascii="Times New Roman" w:hAnsi="Times New Roman"/>
          <w:position w:val="-26"/>
          <w:szCs w:val="22"/>
        </w:rPr>
        <w:object w:dxaOrig="47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75pt;height:32.25pt" o:ole="" fillcolor="window">
            <v:imagedata r:id="rId6" o:title=""/>
          </v:shape>
          <o:OLEObject Type="Embed" ProgID="Equation.3" ShapeID="_x0000_i1025" DrawAspect="Content" ObjectID="_1480246243" r:id="rId7"/>
        </w:object>
      </w:r>
    </w:p>
    <w:p w:rsidR="00A15B6F" w:rsidRPr="00A15B6F" w:rsidRDefault="00A15B6F" w:rsidP="00A15B6F">
      <w:pPr>
        <w:spacing w:line="240" w:lineRule="auto"/>
        <w:ind w:left="720" w:right="-187" w:hanging="720"/>
        <w:rPr>
          <w:rFonts w:ascii="Times New Roman" w:hAnsi="Times New Roman"/>
          <w:szCs w:val="22"/>
        </w:rPr>
      </w:pPr>
    </w:p>
    <w:p w:rsidR="00A15B6F" w:rsidRPr="00A15B6F" w:rsidRDefault="00A15B6F" w:rsidP="00A15B6F">
      <w:pPr>
        <w:spacing w:after="120" w:line="240" w:lineRule="auto"/>
        <w:ind w:left="720"/>
        <w:rPr>
          <w:rFonts w:ascii="Times New Roman" w:hAnsi="Times New Roman"/>
          <w:szCs w:val="22"/>
        </w:rPr>
      </w:pPr>
      <w:r w:rsidRPr="00A15B6F">
        <w:rPr>
          <w:rFonts w:ascii="Times New Roman" w:hAnsi="Times New Roman"/>
          <w:szCs w:val="22"/>
        </w:rPr>
        <w:t xml:space="preserve">b. Using OID tax rules, the cost basis and imputed interest under the constant yield method are obtained by discounting bond payments at the </w:t>
      </w:r>
      <w:r w:rsidRPr="00A15B6F">
        <w:rPr>
          <w:rFonts w:ascii="Times New Roman" w:hAnsi="Times New Roman"/>
          <w:i/>
          <w:szCs w:val="22"/>
        </w:rPr>
        <w:t>original</w:t>
      </w:r>
      <w:r w:rsidRPr="00A15B6F">
        <w:rPr>
          <w:rFonts w:ascii="Times New Roman" w:hAnsi="Times New Roman"/>
          <w:szCs w:val="22"/>
        </w:rPr>
        <w:t xml:space="preserve"> 8% yield, and simply reducing maturity by one year at a time:</w:t>
      </w:r>
    </w:p>
    <w:p w:rsidR="00A15B6F" w:rsidRPr="00A15B6F" w:rsidRDefault="00A15B6F" w:rsidP="00A15B6F">
      <w:pPr>
        <w:spacing w:line="240" w:lineRule="auto"/>
        <w:ind w:left="720" w:right="-180"/>
        <w:outlineLvl w:val="0"/>
        <w:rPr>
          <w:rFonts w:ascii="Times New Roman" w:hAnsi="Times New Roman"/>
          <w:szCs w:val="22"/>
        </w:rPr>
      </w:pPr>
      <w:r w:rsidRPr="00A15B6F">
        <w:rPr>
          <w:rFonts w:ascii="Times New Roman" w:hAnsi="Times New Roman"/>
          <w:szCs w:val="22"/>
          <w:u w:val="single"/>
        </w:rPr>
        <w:t>Constant yield prices</w:t>
      </w:r>
      <w:r w:rsidRPr="00A15B6F">
        <w:rPr>
          <w:rFonts w:ascii="Times New Roman" w:hAnsi="Times New Roman"/>
          <w:szCs w:val="22"/>
        </w:rPr>
        <w:t xml:space="preserve"> (compare these to actual prices to compute capital gains):</w:t>
      </w:r>
    </w:p>
    <w:p w:rsidR="00A15B6F" w:rsidRPr="00A15B6F" w:rsidRDefault="00A15B6F" w:rsidP="00A15B6F">
      <w:pPr>
        <w:spacing w:line="280" w:lineRule="exact"/>
        <w:ind w:left="720" w:right="-187" w:firstLine="720"/>
        <w:outlineLvl w:val="0"/>
        <w:rPr>
          <w:rFonts w:ascii="Times New Roman" w:hAnsi="Times New Roman"/>
          <w:szCs w:val="22"/>
        </w:rPr>
      </w:pPr>
      <w:r w:rsidRPr="00A15B6F">
        <w:rPr>
          <w:rFonts w:ascii="Times New Roman" w:hAnsi="Times New Roman"/>
          <w:szCs w:val="22"/>
        </w:rPr>
        <w:t>P</w:t>
      </w:r>
      <w:r w:rsidRPr="00A15B6F">
        <w:rPr>
          <w:rFonts w:ascii="Times New Roman" w:hAnsi="Times New Roman"/>
          <w:szCs w:val="22"/>
          <w:vertAlign w:val="subscript"/>
        </w:rPr>
        <w:t>0</w:t>
      </w:r>
      <w:r w:rsidRPr="00A15B6F">
        <w:rPr>
          <w:rFonts w:ascii="Times New Roman" w:hAnsi="Times New Roman"/>
          <w:szCs w:val="22"/>
        </w:rPr>
        <w:t xml:space="preserve"> = $705.46</w:t>
      </w:r>
    </w:p>
    <w:p w:rsidR="00A15B6F" w:rsidRPr="00A15B6F" w:rsidRDefault="00A15B6F" w:rsidP="00A15B6F">
      <w:pPr>
        <w:spacing w:line="240" w:lineRule="auto"/>
        <w:ind w:left="720" w:right="-180" w:firstLine="720"/>
        <w:rPr>
          <w:rFonts w:ascii="Times New Roman" w:hAnsi="Times New Roman"/>
          <w:szCs w:val="22"/>
        </w:rPr>
      </w:pPr>
      <w:r w:rsidRPr="00A15B6F">
        <w:rPr>
          <w:rFonts w:ascii="Times New Roman" w:hAnsi="Times New Roman"/>
          <w:szCs w:val="22"/>
        </w:rPr>
        <w:t>P</w:t>
      </w:r>
      <w:r w:rsidRPr="00A15B6F">
        <w:rPr>
          <w:rFonts w:ascii="Times New Roman" w:hAnsi="Times New Roman"/>
          <w:szCs w:val="22"/>
          <w:vertAlign w:val="subscript"/>
        </w:rPr>
        <w:t>1</w:t>
      </w:r>
      <w:r w:rsidRPr="00A15B6F">
        <w:rPr>
          <w:rFonts w:ascii="Times New Roman" w:hAnsi="Times New Roman"/>
          <w:szCs w:val="22"/>
        </w:rPr>
        <w:t xml:space="preserve"> = $711.89 </w:t>
      </w:r>
      <w:r w:rsidRPr="00A15B6F">
        <w:rPr>
          <w:rFonts w:ascii="Times New Roman" w:hAnsi="Times New Roman"/>
          <w:szCs w:val="22"/>
        </w:rPr>
        <w:sym w:font="Symbol" w:char="F0DE"/>
      </w:r>
      <w:r w:rsidRPr="00A15B6F">
        <w:rPr>
          <w:rFonts w:ascii="Times New Roman" w:hAnsi="Times New Roman"/>
          <w:szCs w:val="22"/>
        </w:rPr>
        <w:t xml:space="preserve"> implicit interest over first year = $6.43</w:t>
      </w:r>
    </w:p>
    <w:p w:rsidR="00A15B6F" w:rsidRPr="00A15B6F" w:rsidRDefault="00A15B6F" w:rsidP="00A15B6F">
      <w:pPr>
        <w:spacing w:line="240" w:lineRule="auto"/>
        <w:ind w:left="720" w:right="-187" w:firstLine="720"/>
        <w:rPr>
          <w:rFonts w:ascii="Times New Roman" w:hAnsi="Times New Roman"/>
          <w:szCs w:val="22"/>
        </w:rPr>
      </w:pPr>
      <w:r w:rsidRPr="00A15B6F">
        <w:rPr>
          <w:rFonts w:ascii="Times New Roman" w:hAnsi="Times New Roman"/>
          <w:szCs w:val="22"/>
        </w:rPr>
        <w:t>P</w:t>
      </w:r>
      <w:r w:rsidRPr="00A15B6F">
        <w:rPr>
          <w:rFonts w:ascii="Times New Roman" w:hAnsi="Times New Roman"/>
          <w:szCs w:val="22"/>
          <w:vertAlign w:val="subscript"/>
        </w:rPr>
        <w:t>2</w:t>
      </w:r>
      <w:r w:rsidRPr="00A15B6F">
        <w:rPr>
          <w:rFonts w:ascii="Times New Roman" w:hAnsi="Times New Roman"/>
          <w:szCs w:val="22"/>
        </w:rPr>
        <w:t xml:space="preserve"> = $718.84 </w:t>
      </w:r>
      <w:r w:rsidRPr="00A15B6F">
        <w:rPr>
          <w:rFonts w:ascii="Times New Roman" w:hAnsi="Times New Roman"/>
          <w:szCs w:val="22"/>
        </w:rPr>
        <w:sym w:font="Symbol" w:char="F0DE"/>
      </w:r>
      <w:r w:rsidRPr="00A15B6F">
        <w:rPr>
          <w:rFonts w:ascii="Times New Roman" w:hAnsi="Times New Roman"/>
          <w:szCs w:val="22"/>
        </w:rPr>
        <w:t xml:space="preserve"> implicit interest over second year = $6.95</w:t>
      </w:r>
    </w:p>
    <w:p w:rsidR="00A15B6F" w:rsidRPr="00A15B6F" w:rsidRDefault="00A15B6F" w:rsidP="00A15B6F">
      <w:pPr>
        <w:spacing w:after="120" w:line="240" w:lineRule="auto"/>
        <w:ind w:left="720" w:right="-187"/>
        <w:outlineLvl w:val="0"/>
        <w:rPr>
          <w:rFonts w:ascii="Times New Roman" w:hAnsi="Times New Roman"/>
          <w:szCs w:val="22"/>
        </w:rPr>
      </w:pPr>
      <w:r w:rsidRPr="00A15B6F">
        <w:rPr>
          <w:rFonts w:ascii="Times New Roman" w:hAnsi="Times New Roman"/>
          <w:szCs w:val="22"/>
        </w:rPr>
        <w:t xml:space="preserve">Tax on explicit interest plus implicit interest in first year = </w:t>
      </w:r>
    </w:p>
    <w:p w:rsidR="00A15B6F" w:rsidRPr="00A15B6F" w:rsidRDefault="00A15B6F" w:rsidP="00A15B6F">
      <w:pPr>
        <w:spacing w:after="120" w:line="240" w:lineRule="auto"/>
        <w:ind w:left="2160" w:right="-187" w:firstLine="720"/>
        <w:outlineLvl w:val="0"/>
        <w:rPr>
          <w:rFonts w:ascii="Times New Roman" w:hAnsi="Times New Roman"/>
          <w:szCs w:val="22"/>
        </w:rPr>
      </w:pPr>
      <w:r w:rsidRPr="00A15B6F">
        <w:rPr>
          <w:rFonts w:ascii="Times New Roman" w:hAnsi="Times New Roman"/>
          <w:szCs w:val="22"/>
        </w:rPr>
        <w:lastRenderedPageBreak/>
        <w:t>0.40*</w:t>
      </w:r>
      <w:proofErr w:type="gramStart"/>
      <w:r w:rsidRPr="00A15B6F">
        <w:rPr>
          <w:rFonts w:ascii="Times New Roman" w:hAnsi="Times New Roman"/>
          <w:szCs w:val="22"/>
        </w:rPr>
        <w:t>(</w:t>
      </w:r>
      <w:proofErr w:type="gramEnd"/>
      <w:r w:rsidRPr="00A15B6F">
        <w:rPr>
          <w:rFonts w:ascii="Times New Roman" w:hAnsi="Times New Roman"/>
          <w:szCs w:val="22"/>
        </w:rPr>
        <w:t>$50 + $6.43) = $22.57</w:t>
      </w:r>
    </w:p>
    <w:p w:rsidR="00A15B6F" w:rsidRPr="00A15B6F" w:rsidRDefault="00A15B6F" w:rsidP="00A15B6F">
      <w:pPr>
        <w:spacing w:after="120" w:line="240" w:lineRule="auto"/>
        <w:ind w:left="720" w:right="-187"/>
        <w:rPr>
          <w:rFonts w:ascii="Times New Roman" w:hAnsi="Times New Roman"/>
          <w:szCs w:val="22"/>
        </w:rPr>
      </w:pPr>
      <w:r w:rsidRPr="00A15B6F">
        <w:rPr>
          <w:rFonts w:ascii="Times New Roman" w:hAnsi="Times New Roman"/>
          <w:szCs w:val="22"/>
        </w:rPr>
        <w:t xml:space="preserve">Capital gain in first year = Actual price at 7% YTM – constant yield price = </w:t>
      </w:r>
    </w:p>
    <w:p w:rsidR="00A15B6F" w:rsidRPr="00A15B6F" w:rsidRDefault="00A15B6F" w:rsidP="00A15B6F">
      <w:pPr>
        <w:spacing w:after="120" w:line="240" w:lineRule="auto"/>
        <w:ind w:left="1440" w:right="-187" w:firstLine="720"/>
        <w:rPr>
          <w:rFonts w:ascii="Times New Roman" w:hAnsi="Times New Roman"/>
          <w:szCs w:val="22"/>
        </w:rPr>
      </w:pPr>
      <w:r w:rsidRPr="00A15B6F">
        <w:rPr>
          <w:rFonts w:ascii="Times New Roman" w:hAnsi="Times New Roman"/>
          <w:szCs w:val="22"/>
        </w:rPr>
        <w:t>$793.29 – $711.89 = $81.40</w:t>
      </w:r>
    </w:p>
    <w:p w:rsidR="00A15B6F" w:rsidRPr="00A15B6F" w:rsidRDefault="00A15B6F" w:rsidP="00A15B6F">
      <w:pPr>
        <w:spacing w:after="120" w:line="240" w:lineRule="auto"/>
        <w:ind w:left="720" w:right="-187"/>
        <w:outlineLvl w:val="0"/>
        <w:rPr>
          <w:rFonts w:ascii="Times New Roman" w:hAnsi="Times New Roman"/>
          <w:szCs w:val="22"/>
        </w:rPr>
      </w:pPr>
      <w:r w:rsidRPr="00A15B6F">
        <w:rPr>
          <w:rFonts w:ascii="Times New Roman" w:hAnsi="Times New Roman"/>
          <w:szCs w:val="22"/>
        </w:rPr>
        <w:t>Tax on capital gain = 0.30*</w:t>
      </w:r>
      <w:r w:rsidRPr="00A15B6F">
        <w:rPr>
          <w:rFonts w:ascii="Times New Roman" w:hAnsi="Times New Roman"/>
          <w:szCs w:val="22"/>
        </w:rPr>
        <w:t>$81.40 = $24.42</w:t>
      </w:r>
    </w:p>
    <w:p w:rsidR="00A15B6F" w:rsidRPr="00A15B6F" w:rsidRDefault="00A15B6F" w:rsidP="00A15B6F">
      <w:pPr>
        <w:spacing w:line="240" w:lineRule="auto"/>
        <w:ind w:left="720" w:right="-180"/>
        <w:outlineLvl w:val="0"/>
        <w:rPr>
          <w:rFonts w:ascii="Times New Roman" w:hAnsi="Times New Roman"/>
          <w:szCs w:val="22"/>
        </w:rPr>
      </w:pPr>
      <w:r w:rsidRPr="00A15B6F">
        <w:rPr>
          <w:rFonts w:ascii="Times New Roman" w:hAnsi="Times New Roman"/>
          <w:szCs w:val="22"/>
        </w:rPr>
        <w:t>Total taxes = $22.57 + $24.</w:t>
      </w:r>
      <w:r w:rsidRPr="00A15B6F">
        <w:rPr>
          <w:rFonts w:ascii="Times New Roman" w:hAnsi="Times New Roman"/>
          <w:szCs w:val="22"/>
        </w:rPr>
        <w:t>42 = $46.99</w:t>
      </w:r>
    </w:p>
    <w:p w:rsidR="00A15B6F" w:rsidRPr="00A15B6F" w:rsidRDefault="00A15B6F" w:rsidP="00A15B6F">
      <w:pPr>
        <w:tabs>
          <w:tab w:val="left" w:pos="540"/>
          <w:tab w:val="left" w:pos="1080"/>
        </w:tabs>
        <w:spacing w:line="240" w:lineRule="auto"/>
        <w:ind w:left="720" w:hanging="720"/>
        <w:rPr>
          <w:rFonts w:ascii="Times New Roman" w:hAnsi="Times New Roman"/>
          <w:b/>
          <w:bCs/>
          <w:szCs w:val="22"/>
        </w:rPr>
      </w:pPr>
      <w:r w:rsidRPr="00A15B6F">
        <w:rPr>
          <w:rFonts w:ascii="Times New Roman" w:hAnsi="Times New Roman"/>
          <w:b/>
          <w:bCs/>
          <w:szCs w:val="22"/>
        </w:rPr>
        <w:t>CFA</w:t>
      </w:r>
    </w:p>
    <w:p w:rsidR="00A15B6F" w:rsidRPr="00A15B6F" w:rsidRDefault="00A15B6F" w:rsidP="00A15B6F">
      <w:pPr>
        <w:tabs>
          <w:tab w:val="left" w:pos="540"/>
          <w:tab w:val="left" w:pos="1080"/>
        </w:tabs>
        <w:spacing w:line="240" w:lineRule="auto"/>
        <w:ind w:left="720" w:hanging="720"/>
        <w:rPr>
          <w:rFonts w:ascii="Times New Roman" w:hAnsi="Times New Roman"/>
          <w:szCs w:val="22"/>
        </w:rPr>
      </w:pPr>
      <w:r w:rsidRPr="00A15B6F">
        <w:rPr>
          <w:rFonts w:ascii="Times New Roman" w:hAnsi="Times New Roman"/>
          <w:szCs w:val="22"/>
        </w:rPr>
        <w:t>6.</w:t>
      </w:r>
      <w:r w:rsidRPr="00A15B6F">
        <w:rPr>
          <w:rFonts w:ascii="Times New Roman" w:hAnsi="Times New Roman"/>
          <w:szCs w:val="22"/>
        </w:rPr>
        <w:tab/>
      </w:r>
      <w:r w:rsidRPr="00A15B6F">
        <w:rPr>
          <w:rFonts w:ascii="Times New Roman" w:hAnsi="Times New Roman"/>
          <w:szCs w:val="22"/>
        </w:rPr>
        <w:tab/>
      </w:r>
      <w:proofErr w:type="gramStart"/>
      <w:r w:rsidRPr="00A15B6F">
        <w:rPr>
          <w:rFonts w:ascii="Times New Roman" w:hAnsi="Times New Roman"/>
          <w:szCs w:val="22"/>
        </w:rPr>
        <w:t>a</w:t>
      </w:r>
      <w:proofErr w:type="gramEnd"/>
      <w:r w:rsidRPr="00A15B6F">
        <w:rPr>
          <w:rFonts w:ascii="Times New Roman" w:hAnsi="Times New Roman"/>
          <w:szCs w:val="22"/>
        </w:rPr>
        <w:t>.</w:t>
      </w:r>
      <w:r w:rsidRPr="00A15B6F">
        <w:rPr>
          <w:rFonts w:ascii="Times New Roman" w:hAnsi="Times New Roman"/>
          <w:szCs w:val="22"/>
        </w:rPr>
        <w:tab/>
      </w:r>
      <w:r w:rsidRPr="00A15B6F">
        <w:rPr>
          <w:rFonts w:ascii="Times New Roman" w:hAnsi="Times New Roman"/>
          <w:szCs w:val="22"/>
        </w:rPr>
        <w:tab/>
      </w:r>
      <w:r w:rsidRPr="00A15B6F">
        <w:rPr>
          <w:rFonts w:ascii="Times New Roman" w:hAnsi="Times New Roman"/>
          <w:szCs w:val="22"/>
        </w:rPr>
        <w:t>(iii)</w:t>
      </w:r>
    </w:p>
    <w:p w:rsidR="00A15B6F" w:rsidRPr="00A15B6F" w:rsidRDefault="00A15B6F" w:rsidP="00A15B6F">
      <w:pPr>
        <w:spacing w:after="60" w:line="240" w:lineRule="auto"/>
        <w:ind w:left="1440" w:hanging="720"/>
        <w:rPr>
          <w:rFonts w:ascii="Times New Roman" w:hAnsi="Times New Roman"/>
          <w:szCs w:val="22"/>
        </w:rPr>
      </w:pPr>
      <w:r w:rsidRPr="00A15B6F">
        <w:rPr>
          <w:rFonts w:ascii="Times New Roman" w:hAnsi="Times New Roman"/>
          <w:szCs w:val="22"/>
        </w:rPr>
        <w:t>b.</w:t>
      </w:r>
      <w:r w:rsidRPr="00A15B6F">
        <w:rPr>
          <w:rFonts w:ascii="Times New Roman" w:hAnsi="Times New Roman"/>
          <w:szCs w:val="22"/>
        </w:rPr>
        <w:tab/>
        <w:t xml:space="preserve">(iii) </w:t>
      </w:r>
      <w:proofErr w:type="gramStart"/>
      <w:r w:rsidRPr="00A15B6F">
        <w:rPr>
          <w:rFonts w:ascii="Times New Roman" w:hAnsi="Times New Roman"/>
          <w:szCs w:val="22"/>
        </w:rPr>
        <w:t>The</w:t>
      </w:r>
      <w:proofErr w:type="gramEnd"/>
      <w:r w:rsidRPr="00A15B6F">
        <w:rPr>
          <w:rFonts w:ascii="Times New Roman" w:hAnsi="Times New Roman"/>
          <w:szCs w:val="22"/>
        </w:rPr>
        <w:t xml:space="preserve"> yield to maturity on the callable bond must compensate the investor for the risk of call.</w:t>
      </w:r>
    </w:p>
    <w:p w:rsidR="00A15B6F" w:rsidRPr="00A15B6F" w:rsidRDefault="00A15B6F" w:rsidP="00A15B6F">
      <w:pPr>
        <w:spacing w:after="60" w:line="240" w:lineRule="auto"/>
        <w:ind w:left="1440"/>
        <w:rPr>
          <w:rFonts w:ascii="Times New Roman" w:hAnsi="Times New Roman"/>
          <w:szCs w:val="22"/>
        </w:rPr>
      </w:pPr>
      <w:r w:rsidRPr="00A15B6F">
        <w:rPr>
          <w:rFonts w:ascii="Times New Roman" w:hAnsi="Times New Roman"/>
          <w:szCs w:val="22"/>
        </w:rPr>
        <w:t>Choice (i) is wrong because, although the owner of a callable bond receives a premium plus the principal in the event of a call, the interest rate at which he can reinvest will be low.  The low interest rate that makes it profitable for the issuer to call the bond also makes it a bad deal for the bond’s holder.</w:t>
      </w:r>
    </w:p>
    <w:p w:rsidR="00A15B6F" w:rsidRPr="00A15B6F" w:rsidRDefault="00A15B6F" w:rsidP="00A15B6F">
      <w:pPr>
        <w:spacing w:line="240" w:lineRule="auto"/>
        <w:ind w:left="1440"/>
        <w:rPr>
          <w:rFonts w:ascii="Times New Roman" w:hAnsi="Times New Roman"/>
          <w:szCs w:val="22"/>
        </w:rPr>
      </w:pPr>
      <w:r w:rsidRPr="00A15B6F">
        <w:rPr>
          <w:rFonts w:ascii="Times New Roman" w:hAnsi="Times New Roman"/>
          <w:szCs w:val="22"/>
        </w:rPr>
        <w:t xml:space="preserve">Choice (ii) is wrong because a bond is more apt to be called when interest rates are low.  Only if rates are low will there be an </w:t>
      </w:r>
      <w:r w:rsidRPr="00A15B6F">
        <w:rPr>
          <w:rFonts w:ascii="Times New Roman" w:hAnsi="Times New Roman"/>
          <w:szCs w:val="22"/>
        </w:rPr>
        <w:t>interest saving for the issuer.</w:t>
      </w:r>
    </w:p>
    <w:p w:rsidR="00A15B6F" w:rsidRPr="00A15B6F" w:rsidRDefault="00A15B6F" w:rsidP="00A15B6F">
      <w:pPr>
        <w:spacing w:line="240" w:lineRule="auto"/>
        <w:ind w:left="720"/>
        <w:rPr>
          <w:rFonts w:ascii="Times New Roman" w:hAnsi="Times New Roman"/>
          <w:szCs w:val="22"/>
        </w:rPr>
      </w:pPr>
      <w:r w:rsidRPr="00A15B6F">
        <w:rPr>
          <w:rFonts w:ascii="Times New Roman" w:hAnsi="Times New Roman"/>
          <w:szCs w:val="22"/>
        </w:rPr>
        <w:t>c</w:t>
      </w:r>
      <w:r w:rsidRPr="00A15B6F">
        <w:rPr>
          <w:rFonts w:ascii="Times New Roman" w:hAnsi="Times New Roman"/>
          <w:szCs w:val="22"/>
        </w:rPr>
        <w:t>.</w:t>
      </w:r>
      <w:r w:rsidRPr="00A15B6F">
        <w:rPr>
          <w:rFonts w:ascii="Times New Roman" w:hAnsi="Times New Roman"/>
          <w:szCs w:val="22"/>
        </w:rPr>
        <w:tab/>
        <w:t>(iii)</w:t>
      </w:r>
    </w:p>
    <w:p w:rsidR="00A15B6F" w:rsidRPr="00A15B6F" w:rsidRDefault="00A15B6F" w:rsidP="00A15B6F">
      <w:pPr>
        <w:spacing w:line="240" w:lineRule="auto"/>
        <w:ind w:left="720"/>
        <w:rPr>
          <w:rFonts w:ascii="Times New Roman" w:hAnsi="Times New Roman"/>
          <w:szCs w:val="22"/>
        </w:rPr>
      </w:pPr>
      <w:r w:rsidRPr="00A15B6F">
        <w:rPr>
          <w:rFonts w:ascii="Times New Roman" w:hAnsi="Times New Roman"/>
          <w:szCs w:val="22"/>
        </w:rPr>
        <w:t>d.</w:t>
      </w:r>
      <w:r w:rsidRPr="00A15B6F">
        <w:rPr>
          <w:rFonts w:ascii="Times New Roman" w:hAnsi="Times New Roman"/>
          <w:szCs w:val="22"/>
        </w:rPr>
        <w:tab/>
        <w:t>(ii)</w:t>
      </w:r>
    </w:p>
    <w:p w:rsidR="00A15B6F" w:rsidRPr="00A15B6F" w:rsidRDefault="00A15B6F" w:rsidP="00A15B6F">
      <w:pPr>
        <w:spacing w:line="240" w:lineRule="auto"/>
        <w:rPr>
          <w:rFonts w:ascii="Times New Roman" w:hAnsi="Times New Roman"/>
          <w:b/>
          <w:bCs/>
          <w:szCs w:val="22"/>
        </w:rPr>
      </w:pPr>
      <w:r w:rsidRPr="00A15B6F">
        <w:rPr>
          <w:rFonts w:ascii="Times New Roman" w:hAnsi="Times New Roman"/>
          <w:b/>
          <w:bCs/>
          <w:szCs w:val="22"/>
        </w:rPr>
        <w:t>Chapter 15</w:t>
      </w:r>
    </w:p>
    <w:p w:rsidR="00A15B6F" w:rsidRPr="00A15B6F" w:rsidRDefault="00A15B6F" w:rsidP="00A15B6F">
      <w:pPr>
        <w:spacing w:line="240" w:lineRule="auto"/>
        <w:ind w:left="540" w:hanging="540"/>
        <w:rPr>
          <w:rFonts w:ascii="Times New Roman" w:hAnsi="Times New Roman"/>
          <w:szCs w:val="22"/>
        </w:rPr>
      </w:pPr>
      <w:r w:rsidRPr="00A15B6F">
        <w:rPr>
          <w:rFonts w:ascii="Times New Roman" w:hAnsi="Times New Roman"/>
          <w:szCs w:val="22"/>
        </w:rPr>
        <w:t>4.      The liquidity theory holds that investors demand a premium to compensate them for interest rate exposure and the premium increases with maturity.  Add this premium to a flat curve and the result is</w:t>
      </w:r>
      <w:r w:rsidRPr="00A15B6F">
        <w:rPr>
          <w:rFonts w:ascii="Times New Roman" w:hAnsi="Times New Roman"/>
          <w:szCs w:val="22"/>
        </w:rPr>
        <w:t xml:space="preserve"> an upward sloping yield curve.</w:t>
      </w:r>
    </w:p>
    <w:tbl>
      <w:tblPr>
        <w:tblW w:w="0" w:type="auto"/>
        <w:tblInd w:w="108" w:type="dxa"/>
        <w:tblLayout w:type="fixed"/>
        <w:tblLook w:val="01E0" w:firstRow="1" w:lastRow="1" w:firstColumn="1" w:lastColumn="1" w:noHBand="0" w:noVBand="0"/>
      </w:tblPr>
      <w:tblGrid>
        <w:gridCol w:w="450"/>
        <w:gridCol w:w="1200"/>
        <w:gridCol w:w="1200"/>
        <w:gridCol w:w="1200"/>
        <w:gridCol w:w="2970"/>
      </w:tblGrid>
      <w:tr w:rsidR="00A15B6F" w:rsidRPr="00A15B6F" w:rsidTr="0026133D">
        <w:tc>
          <w:tcPr>
            <w:tcW w:w="450" w:type="dxa"/>
          </w:tcPr>
          <w:p w:rsidR="00A15B6F" w:rsidRPr="00A15B6F" w:rsidRDefault="00A15B6F" w:rsidP="00A15B6F">
            <w:pPr>
              <w:spacing w:line="240" w:lineRule="auto"/>
              <w:rPr>
                <w:rFonts w:ascii="Times New Roman" w:hAnsi="Times New Roman"/>
                <w:szCs w:val="22"/>
              </w:rPr>
            </w:pPr>
            <w:r w:rsidRPr="00A15B6F">
              <w:rPr>
                <w:rFonts w:ascii="Times New Roman" w:hAnsi="Times New Roman"/>
                <w:szCs w:val="22"/>
              </w:rPr>
              <w:t>7.</w:t>
            </w:r>
          </w:p>
        </w:tc>
        <w:tc>
          <w:tcPr>
            <w:tcW w:w="1200" w:type="dxa"/>
            <w:tcBorders>
              <w:bottom w:val="single" w:sz="4" w:space="0" w:color="auto"/>
            </w:tcBorders>
            <w:vAlign w:val="bottom"/>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Maturity</w:t>
            </w:r>
          </w:p>
        </w:tc>
        <w:tc>
          <w:tcPr>
            <w:tcW w:w="1200" w:type="dxa"/>
            <w:tcBorders>
              <w:bottom w:val="single" w:sz="4" w:space="0" w:color="auto"/>
            </w:tcBorders>
            <w:vAlign w:val="bottom"/>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Price</w:t>
            </w:r>
          </w:p>
        </w:tc>
        <w:tc>
          <w:tcPr>
            <w:tcW w:w="1200" w:type="dxa"/>
            <w:tcBorders>
              <w:bottom w:val="single" w:sz="4" w:space="0" w:color="auto"/>
            </w:tcBorders>
            <w:vAlign w:val="bottom"/>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YTM</w:t>
            </w:r>
          </w:p>
        </w:tc>
        <w:tc>
          <w:tcPr>
            <w:tcW w:w="2970" w:type="dxa"/>
            <w:tcBorders>
              <w:bottom w:val="single" w:sz="4" w:space="0" w:color="auto"/>
            </w:tcBorders>
            <w:vAlign w:val="bottom"/>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Forward Rate</w:t>
            </w:r>
          </w:p>
        </w:tc>
      </w:tr>
      <w:tr w:rsidR="00A15B6F" w:rsidRPr="00A15B6F" w:rsidTr="0026133D">
        <w:trPr>
          <w:trHeight w:hRule="exact" w:val="300"/>
        </w:trPr>
        <w:tc>
          <w:tcPr>
            <w:tcW w:w="450" w:type="dxa"/>
          </w:tcPr>
          <w:p w:rsidR="00A15B6F" w:rsidRPr="00A15B6F" w:rsidRDefault="00A15B6F" w:rsidP="0026133D">
            <w:pPr>
              <w:spacing w:line="240" w:lineRule="auto"/>
              <w:jc w:val="center"/>
              <w:rPr>
                <w:rFonts w:ascii="Times New Roman" w:hAnsi="Times New Roman"/>
                <w:szCs w:val="22"/>
              </w:rPr>
            </w:pPr>
          </w:p>
        </w:tc>
        <w:tc>
          <w:tcPr>
            <w:tcW w:w="1200" w:type="dxa"/>
            <w:tcBorders>
              <w:top w:val="single" w:sz="4" w:space="0" w:color="auto"/>
            </w:tcBorders>
            <w:vAlign w:val="bottom"/>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1</w:t>
            </w:r>
          </w:p>
        </w:tc>
        <w:tc>
          <w:tcPr>
            <w:tcW w:w="1200" w:type="dxa"/>
            <w:tcBorders>
              <w:top w:val="single" w:sz="4" w:space="0" w:color="auto"/>
            </w:tcBorders>
            <w:vAlign w:val="bottom"/>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$943.40</w:t>
            </w:r>
          </w:p>
        </w:tc>
        <w:tc>
          <w:tcPr>
            <w:tcW w:w="1200" w:type="dxa"/>
            <w:tcBorders>
              <w:top w:val="single" w:sz="4" w:space="0" w:color="auto"/>
            </w:tcBorders>
            <w:vAlign w:val="bottom"/>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6.00%</w:t>
            </w:r>
          </w:p>
        </w:tc>
        <w:tc>
          <w:tcPr>
            <w:tcW w:w="2970" w:type="dxa"/>
            <w:tcBorders>
              <w:top w:val="single" w:sz="4" w:space="0" w:color="auto"/>
            </w:tcBorders>
            <w:vAlign w:val="bottom"/>
          </w:tcPr>
          <w:p w:rsidR="00A15B6F" w:rsidRPr="00A15B6F" w:rsidRDefault="00A15B6F" w:rsidP="0026133D">
            <w:pPr>
              <w:spacing w:line="240" w:lineRule="auto"/>
              <w:jc w:val="center"/>
              <w:rPr>
                <w:rFonts w:ascii="Times New Roman" w:hAnsi="Times New Roman"/>
                <w:szCs w:val="22"/>
              </w:rPr>
            </w:pPr>
          </w:p>
        </w:tc>
      </w:tr>
      <w:tr w:rsidR="00A15B6F" w:rsidRPr="00A15B6F" w:rsidTr="0026133D">
        <w:tc>
          <w:tcPr>
            <w:tcW w:w="450" w:type="dxa"/>
          </w:tcPr>
          <w:p w:rsidR="00A15B6F" w:rsidRPr="00A15B6F" w:rsidRDefault="00A15B6F" w:rsidP="0026133D">
            <w:pPr>
              <w:spacing w:line="240" w:lineRule="auto"/>
              <w:jc w:val="center"/>
              <w:rPr>
                <w:rFonts w:ascii="Times New Roman" w:hAnsi="Times New Roman"/>
                <w:szCs w:val="22"/>
              </w:rPr>
            </w:pPr>
          </w:p>
        </w:tc>
        <w:tc>
          <w:tcPr>
            <w:tcW w:w="1200"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2</w:t>
            </w:r>
          </w:p>
        </w:tc>
        <w:tc>
          <w:tcPr>
            <w:tcW w:w="1200"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$898.47</w:t>
            </w:r>
          </w:p>
        </w:tc>
        <w:tc>
          <w:tcPr>
            <w:tcW w:w="1200"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5.50%</w:t>
            </w:r>
          </w:p>
        </w:tc>
        <w:tc>
          <w:tcPr>
            <w:tcW w:w="2970" w:type="dxa"/>
          </w:tcPr>
          <w:p w:rsidR="00A15B6F" w:rsidRPr="00A15B6F" w:rsidRDefault="00A15B6F" w:rsidP="0026133D">
            <w:pPr>
              <w:spacing w:line="240" w:lineRule="auto"/>
              <w:rPr>
                <w:rFonts w:ascii="Times New Roman" w:hAnsi="Times New Roman"/>
                <w:szCs w:val="22"/>
              </w:rPr>
            </w:pPr>
            <w:r w:rsidRPr="00A15B6F">
              <w:rPr>
                <w:rFonts w:ascii="Times New Roman" w:hAnsi="Times New Roman"/>
                <w:szCs w:val="22"/>
              </w:rPr>
              <w:t>(1.055</w:t>
            </w:r>
            <w:r w:rsidRPr="00A15B6F">
              <w:rPr>
                <w:rFonts w:ascii="Times New Roman" w:hAnsi="Times New Roman"/>
                <w:szCs w:val="22"/>
                <w:vertAlign w:val="superscript"/>
              </w:rPr>
              <w:t>2</w:t>
            </w:r>
            <w:r w:rsidRPr="00A15B6F">
              <w:rPr>
                <w:rFonts w:ascii="Times New Roman" w:hAnsi="Times New Roman"/>
                <w:szCs w:val="22"/>
              </w:rPr>
              <w:t>/1.06) – 1 = 5.0%</w:t>
            </w:r>
          </w:p>
        </w:tc>
      </w:tr>
      <w:tr w:rsidR="00A15B6F" w:rsidRPr="00A15B6F" w:rsidTr="0026133D">
        <w:tc>
          <w:tcPr>
            <w:tcW w:w="450" w:type="dxa"/>
          </w:tcPr>
          <w:p w:rsidR="00A15B6F" w:rsidRPr="00A15B6F" w:rsidRDefault="00A15B6F" w:rsidP="0026133D">
            <w:pPr>
              <w:spacing w:line="240" w:lineRule="auto"/>
              <w:jc w:val="center"/>
              <w:rPr>
                <w:rFonts w:ascii="Times New Roman" w:hAnsi="Times New Roman"/>
                <w:szCs w:val="22"/>
              </w:rPr>
            </w:pPr>
          </w:p>
        </w:tc>
        <w:tc>
          <w:tcPr>
            <w:tcW w:w="1200"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3</w:t>
            </w:r>
          </w:p>
        </w:tc>
        <w:tc>
          <w:tcPr>
            <w:tcW w:w="1200"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$847.62</w:t>
            </w:r>
          </w:p>
        </w:tc>
        <w:tc>
          <w:tcPr>
            <w:tcW w:w="1200"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5.67%</w:t>
            </w:r>
          </w:p>
        </w:tc>
        <w:tc>
          <w:tcPr>
            <w:tcW w:w="2970" w:type="dxa"/>
          </w:tcPr>
          <w:p w:rsidR="00A15B6F" w:rsidRPr="00A15B6F" w:rsidRDefault="00A15B6F" w:rsidP="0026133D">
            <w:pPr>
              <w:spacing w:line="240" w:lineRule="auto"/>
              <w:rPr>
                <w:rFonts w:ascii="Times New Roman" w:hAnsi="Times New Roman"/>
                <w:szCs w:val="22"/>
              </w:rPr>
            </w:pPr>
            <w:r w:rsidRPr="00A15B6F">
              <w:rPr>
                <w:rFonts w:ascii="Times New Roman" w:hAnsi="Times New Roman"/>
                <w:szCs w:val="22"/>
              </w:rPr>
              <w:t>(1.0567</w:t>
            </w:r>
            <w:r w:rsidRPr="00A15B6F">
              <w:rPr>
                <w:rFonts w:ascii="Times New Roman" w:hAnsi="Times New Roman"/>
                <w:szCs w:val="22"/>
                <w:vertAlign w:val="superscript"/>
              </w:rPr>
              <w:t>3</w:t>
            </w:r>
            <w:r w:rsidRPr="00A15B6F">
              <w:rPr>
                <w:rFonts w:ascii="Times New Roman" w:hAnsi="Times New Roman"/>
                <w:szCs w:val="22"/>
              </w:rPr>
              <w:t>/1.055</w:t>
            </w:r>
            <w:r w:rsidRPr="00A15B6F">
              <w:rPr>
                <w:rFonts w:ascii="Times New Roman" w:hAnsi="Times New Roman"/>
                <w:szCs w:val="22"/>
                <w:vertAlign w:val="superscript"/>
              </w:rPr>
              <w:t>2</w:t>
            </w:r>
            <w:r w:rsidRPr="00A15B6F">
              <w:rPr>
                <w:rFonts w:ascii="Times New Roman" w:hAnsi="Times New Roman"/>
                <w:szCs w:val="22"/>
              </w:rPr>
              <w:t>) – 1 = 6.0%</w:t>
            </w:r>
          </w:p>
        </w:tc>
      </w:tr>
      <w:tr w:rsidR="00A15B6F" w:rsidRPr="00A15B6F" w:rsidTr="0026133D">
        <w:tc>
          <w:tcPr>
            <w:tcW w:w="450" w:type="dxa"/>
          </w:tcPr>
          <w:p w:rsidR="00A15B6F" w:rsidRPr="00A15B6F" w:rsidRDefault="00A15B6F" w:rsidP="0026133D">
            <w:pPr>
              <w:spacing w:line="240" w:lineRule="auto"/>
              <w:jc w:val="center"/>
              <w:rPr>
                <w:rFonts w:ascii="Times New Roman" w:hAnsi="Times New Roman"/>
                <w:szCs w:val="22"/>
              </w:rPr>
            </w:pPr>
          </w:p>
        </w:tc>
        <w:tc>
          <w:tcPr>
            <w:tcW w:w="1200"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4</w:t>
            </w:r>
          </w:p>
        </w:tc>
        <w:tc>
          <w:tcPr>
            <w:tcW w:w="1200"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$792.16</w:t>
            </w:r>
          </w:p>
        </w:tc>
        <w:tc>
          <w:tcPr>
            <w:tcW w:w="1200"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6.00%</w:t>
            </w:r>
          </w:p>
        </w:tc>
        <w:tc>
          <w:tcPr>
            <w:tcW w:w="2970" w:type="dxa"/>
          </w:tcPr>
          <w:p w:rsidR="00A15B6F" w:rsidRPr="00A15B6F" w:rsidRDefault="00A15B6F" w:rsidP="0026133D">
            <w:pPr>
              <w:spacing w:line="240" w:lineRule="auto"/>
              <w:rPr>
                <w:rFonts w:ascii="Times New Roman" w:hAnsi="Times New Roman"/>
                <w:szCs w:val="22"/>
              </w:rPr>
            </w:pPr>
            <w:r w:rsidRPr="00A15B6F">
              <w:rPr>
                <w:rFonts w:ascii="Times New Roman" w:hAnsi="Times New Roman"/>
                <w:szCs w:val="22"/>
              </w:rPr>
              <w:t>(1.06</w:t>
            </w:r>
            <w:r w:rsidRPr="00A15B6F">
              <w:rPr>
                <w:rFonts w:ascii="Times New Roman" w:hAnsi="Times New Roman"/>
                <w:szCs w:val="22"/>
                <w:vertAlign w:val="superscript"/>
              </w:rPr>
              <w:t>4</w:t>
            </w:r>
            <w:r w:rsidRPr="00A15B6F">
              <w:rPr>
                <w:rFonts w:ascii="Times New Roman" w:hAnsi="Times New Roman"/>
                <w:szCs w:val="22"/>
              </w:rPr>
              <w:t>/1.0567</w:t>
            </w:r>
            <w:r w:rsidRPr="00A15B6F">
              <w:rPr>
                <w:rFonts w:ascii="Times New Roman" w:hAnsi="Times New Roman"/>
                <w:szCs w:val="22"/>
                <w:vertAlign w:val="superscript"/>
              </w:rPr>
              <w:t>3</w:t>
            </w:r>
            <w:r w:rsidRPr="00A15B6F">
              <w:rPr>
                <w:rFonts w:ascii="Times New Roman" w:hAnsi="Times New Roman"/>
                <w:szCs w:val="22"/>
              </w:rPr>
              <w:t>) – 1 = 7.0%</w:t>
            </w:r>
          </w:p>
        </w:tc>
      </w:tr>
    </w:tbl>
    <w:p w:rsidR="00A15B6F" w:rsidRPr="00A15B6F" w:rsidRDefault="00A15B6F" w:rsidP="00A15B6F">
      <w:pPr>
        <w:tabs>
          <w:tab w:val="left" w:pos="540"/>
        </w:tabs>
        <w:spacing w:line="360" w:lineRule="auto"/>
        <w:ind w:left="1080" w:hanging="1080"/>
        <w:rPr>
          <w:rFonts w:ascii="Times New Roman" w:hAnsi="Times New Roman"/>
          <w:szCs w:val="22"/>
        </w:rPr>
      </w:pPr>
      <w:r w:rsidRPr="00A15B6F">
        <w:rPr>
          <w:rFonts w:ascii="Times New Roman" w:hAnsi="Times New Roman"/>
          <w:szCs w:val="22"/>
        </w:rPr>
        <w:t>12.</w:t>
      </w:r>
      <w:r w:rsidRPr="00A15B6F">
        <w:rPr>
          <w:rFonts w:ascii="Times New Roman" w:hAnsi="Times New Roman"/>
          <w:szCs w:val="22"/>
        </w:rPr>
        <w:tab/>
      </w:r>
      <w:proofErr w:type="gramStart"/>
      <w:r w:rsidRPr="00A15B6F">
        <w:rPr>
          <w:rFonts w:ascii="Times New Roman" w:hAnsi="Times New Roman"/>
          <w:szCs w:val="22"/>
        </w:rPr>
        <w:t>a</w:t>
      </w:r>
      <w:proofErr w:type="gramEnd"/>
      <w:r w:rsidRPr="00A15B6F">
        <w:rPr>
          <w:rFonts w:ascii="Times New Roman" w:hAnsi="Times New Roman"/>
          <w:szCs w:val="22"/>
        </w:rPr>
        <w:t>.</w:t>
      </w:r>
      <w:r w:rsidRPr="00A15B6F">
        <w:rPr>
          <w:rFonts w:ascii="Times New Roman" w:hAnsi="Times New Roman"/>
          <w:szCs w:val="22"/>
        </w:rPr>
        <w:tab/>
        <w:t>The current bond price is:</w:t>
      </w:r>
    </w:p>
    <w:p w:rsidR="00A15B6F" w:rsidRPr="00A15B6F" w:rsidRDefault="00A15B6F" w:rsidP="00A15B6F">
      <w:pPr>
        <w:spacing w:line="360" w:lineRule="auto"/>
        <w:ind w:left="1080"/>
        <w:rPr>
          <w:rFonts w:ascii="Times New Roman" w:hAnsi="Times New Roman"/>
          <w:szCs w:val="22"/>
        </w:rPr>
      </w:pPr>
      <w:r w:rsidRPr="00A15B6F">
        <w:rPr>
          <w:rFonts w:ascii="Times New Roman" w:hAnsi="Times New Roman"/>
          <w:szCs w:val="22"/>
        </w:rPr>
        <w:t>($85 × 0.94340) + ($85 × 0.87352) + ($1,085 × 0.81637) = $1,040.20</w:t>
      </w:r>
    </w:p>
    <w:p w:rsidR="00A15B6F" w:rsidRPr="00A15B6F" w:rsidRDefault="00A15B6F" w:rsidP="00A15B6F">
      <w:pPr>
        <w:spacing w:line="360" w:lineRule="auto"/>
        <w:ind w:left="1080"/>
        <w:rPr>
          <w:rFonts w:ascii="Times New Roman" w:hAnsi="Times New Roman"/>
          <w:szCs w:val="22"/>
        </w:rPr>
      </w:pPr>
      <w:r w:rsidRPr="00A15B6F">
        <w:rPr>
          <w:rFonts w:ascii="Times New Roman" w:hAnsi="Times New Roman"/>
          <w:szCs w:val="22"/>
        </w:rPr>
        <w:t>This price implies a yield to maturity of 6.97%, as shown by the following:</w:t>
      </w:r>
    </w:p>
    <w:p w:rsidR="00A15B6F" w:rsidRPr="00A15B6F" w:rsidRDefault="00A15B6F" w:rsidP="00A15B6F">
      <w:pPr>
        <w:spacing w:line="240" w:lineRule="auto"/>
        <w:ind w:left="1080" w:right="-360"/>
        <w:rPr>
          <w:rFonts w:ascii="Times New Roman" w:hAnsi="Times New Roman"/>
          <w:szCs w:val="22"/>
        </w:rPr>
      </w:pPr>
      <w:r w:rsidRPr="00A15B6F">
        <w:rPr>
          <w:rFonts w:ascii="Times New Roman" w:hAnsi="Times New Roman"/>
          <w:szCs w:val="22"/>
        </w:rPr>
        <w:t>[$85 × Annuity factor (6.97%, 3)] + [$1,000 × PV</w:t>
      </w:r>
      <w:r w:rsidRPr="00A15B6F">
        <w:rPr>
          <w:rFonts w:ascii="Times New Roman" w:hAnsi="Times New Roman"/>
          <w:szCs w:val="22"/>
        </w:rPr>
        <w:t xml:space="preserve"> factor (6.97%, 3)] = $1,040.17</w:t>
      </w:r>
    </w:p>
    <w:p w:rsidR="00A15B6F" w:rsidRPr="00A15B6F" w:rsidRDefault="00A15B6F" w:rsidP="00A15B6F">
      <w:pPr>
        <w:pStyle w:val="2"/>
        <w:spacing w:line="360" w:lineRule="auto"/>
        <w:ind w:hanging="540"/>
        <w:rPr>
          <w:rFonts w:ascii="Times New Roman" w:hAnsi="Times New Roman"/>
          <w:sz w:val="22"/>
          <w:szCs w:val="22"/>
        </w:rPr>
      </w:pPr>
      <w:r w:rsidRPr="00A15B6F">
        <w:rPr>
          <w:rFonts w:ascii="Times New Roman" w:hAnsi="Times New Roman"/>
          <w:sz w:val="22"/>
          <w:szCs w:val="22"/>
        </w:rPr>
        <w:t>b.</w:t>
      </w:r>
      <w:r w:rsidRPr="00A15B6F">
        <w:rPr>
          <w:rFonts w:ascii="Times New Roman" w:hAnsi="Times New Roman"/>
          <w:sz w:val="22"/>
          <w:szCs w:val="22"/>
        </w:rPr>
        <w:tab/>
        <w:t>If one year from now y = 8%, then the bond price will be:</w:t>
      </w:r>
    </w:p>
    <w:p w:rsidR="00A15B6F" w:rsidRPr="00A15B6F" w:rsidRDefault="00A15B6F" w:rsidP="00A15B6F">
      <w:pPr>
        <w:spacing w:line="360" w:lineRule="auto"/>
        <w:ind w:left="1080"/>
        <w:rPr>
          <w:rFonts w:ascii="Times New Roman" w:hAnsi="Times New Roman"/>
          <w:szCs w:val="22"/>
        </w:rPr>
      </w:pPr>
      <w:r w:rsidRPr="00A15B6F">
        <w:rPr>
          <w:rFonts w:ascii="Times New Roman" w:hAnsi="Times New Roman"/>
          <w:szCs w:val="22"/>
        </w:rPr>
        <w:t>[$85 × Annuity factor (8%, 2)] + [$1,000 × PV factor (8%, 2)] = $1,008.92</w:t>
      </w:r>
    </w:p>
    <w:p w:rsidR="00A15B6F" w:rsidRPr="00A15B6F" w:rsidRDefault="00A15B6F" w:rsidP="00A15B6F">
      <w:pPr>
        <w:spacing w:line="360" w:lineRule="auto"/>
        <w:ind w:left="1080" w:right="-260"/>
        <w:rPr>
          <w:rFonts w:ascii="Times New Roman" w:hAnsi="Times New Roman"/>
          <w:szCs w:val="22"/>
        </w:rPr>
      </w:pPr>
      <w:r w:rsidRPr="00A15B6F">
        <w:rPr>
          <w:rFonts w:ascii="Times New Roman" w:hAnsi="Times New Roman"/>
          <w:szCs w:val="22"/>
        </w:rPr>
        <w:t>The holding period rate of return is:</w:t>
      </w:r>
    </w:p>
    <w:p w:rsidR="00A15B6F" w:rsidRPr="00A15B6F" w:rsidRDefault="00A15B6F" w:rsidP="00A15B6F">
      <w:pPr>
        <w:spacing w:line="240" w:lineRule="auto"/>
        <w:ind w:left="1080" w:right="-260"/>
        <w:rPr>
          <w:rFonts w:ascii="Times New Roman" w:hAnsi="Times New Roman"/>
          <w:szCs w:val="22"/>
        </w:rPr>
      </w:pPr>
      <w:r w:rsidRPr="00A15B6F">
        <w:rPr>
          <w:rFonts w:ascii="Times New Roman" w:hAnsi="Times New Roman"/>
          <w:szCs w:val="22"/>
        </w:rPr>
        <w:t>[$85 + ($1,008.92 – $1,040.20)]/$1,040.20 = 0.0516 = 5.16%</w:t>
      </w:r>
    </w:p>
    <w:p w:rsidR="00A15B6F" w:rsidRPr="00A15B6F" w:rsidRDefault="00A15B6F" w:rsidP="00A15B6F">
      <w:pPr>
        <w:spacing w:line="240" w:lineRule="auto"/>
        <w:ind w:left="1080" w:right="-260"/>
        <w:rPr>
          <w:rFonts w:ascii="Times New Roman" w:hAnsi="Times New Roman"/>
          <w:szCs w:val="22"/>
        </w:rPr>
      </w:pPr>
    </w:p>
    <w:p w:rsidR="00A15B6F" w:rsidRPr="00A15B6F" w:rsidRDefault="00A15B6F" w:rsidP="00A15B6F">
      <w:pPr>
        <w:tabs>
          <w:tab w:val="left" w:pos="540"/>
        </w:tabs>
        <w:spacing w:after="120" w:line="240" w:lineRule="auto"/>
        <w:ind w:left="1080" w:hanging="1080"/>
        <w:rPr>
          <w:rFonts w:ascii="Times New Roman" w:hAnsi="Times New Roman"/>
          <w:szCs w:val="22"/>
        </w:rPr>
      </w:pPr>
      <w:r w:rsidRPr="00A15B6F">
        <w:rPr>
          <w:rFonts w:ascii="Times New Roman" w:hAnsi="Times New Roman"/>
          <w:szCs w:val="22"/>
        </w:rPr>
        <w:t>17.</w:t>
      </w:r>
      <w:r w:rsidRPr="00A15B6F">
        <w:rPr>
          <w:rFonts w:ascii="Times New Roman" w:hAnsi="Times New Roman"/>
          <w:szCs w:val="22"/>
        </w:rPr>
        <w:tab/>
      </w:r>
      <w:proofErr w:type="gramStart"/>
      <w:r w:rsidRPr="00A15B6F">
        <w:rPr>
          <w:rFonts w:ascii="Times New Roman" w:hAnsi="Times New Roman"/>
          <w:szCs w:val="22"/>
        </w:rPr>
        <w:t>a</w:t>
      </w:r>
      <w:proofErr w:type="gramEnd"/>
      <w:r w:rsidRPr="00A15B6F">
        <w:rPr>
          <w:rFonts w:ascii="Times New Roman" w:hAnsi="Times New Roman"/>
          <w:szCs w:val="22"/>
        </w:rPr>
        <w:t>.</w:t>
      </w:r>
      <w:r w:rsidRPr="00A15B6F">
        <w:rPr>
          <w:rFonts w:ascii="Times New Roman" w:hAnsi="Times New Roman"/>
          <w:szCs w:val="22"/>
        </w:rPr>
        <w:tab/>
        <w:t>We obtain forward rates from the following table:</w:t>
      </w:r>
    </w:p>
    <w:tbl>
      <w:tblPr>
        <w:tblW w:w="0" w:type="auto"/>
        <w:tblInd w:w="1188" w:type="dxa"/>
        <w:tblLayout w:type="fixed"/>
        <w:tblLook w:val="01E0" w:firstRow="1" w:lastRow="1" w:firstColumn="1" w:lastColumn="1" w:noHBand="0" w:noVBand="0"/>
      </w:tblPr>
      <w:tblGrid>
        <w:gridCol w:w="1056"/>
        <w:gridCol w:w="864"/>
        <w:gridCol w:w="2880"/>
        <w:gridCol w:w="2592"/>
      </w:tblGrid>
      <w:tr w:rsidR="00A15B6F" w:rsidRPr="00A15B6F" w:rsidTr="0026133D">
        <w:tc>
          <w:tcPr>
            <w:tcW w:w="1056" w:type="dxa"/>
            <w:tcBorders>
              <w:bottom w:val="single" w:sz="4" w:space="0" w:color="auto"/>
            </w:tcBorders>
          </w:tcPr>
          <w:p w:rsidR="00A15B6F" w:rsidRPr="00A15B6F" w:rsidRDefault="00A15B6F" w:rsidP="0026133D">
            <w:pPr>
              <w:pStyle w:val="a3"/>
              <w:tabs>
                <w:tab w:val="clear" w:pos="4320"/>
                <w:tab w:val="clear" w:pos="8640"/>
              </w:tabs>
              <w:spacing w:line="240" w:lineRule="auto"/>
              <w:jc w:val="center"/>
              <w:rPr>
                <w:rFonts w:ascii="Times New Roman" w:hAnsi="Times New Roman"/>
                <w:sz w:val="22"/>
                <w:szCs w:val="22"/>
              </w:rPr>
            </w:pPr>
            <w:r w:rsidRPr="00A15B6F">
              <w:rPr>
                <w:rFonts w:ascii="Times New Roman" w:hAnsi="Times New Roman"/>
                <w:sz w:val="22"/>
                <w:szCs w:val="22"/>
              </w:rPr>
              <w:t>Maturity</w:t>
            </w:r>
          </w:p>
        </w:tc>
        <w:tc>
          <w:tcPr>
            <w:tcW w:w="864" w:type="dxa"/>
            <w:tcBorders>
              <w:bottom w:val="single" w:sz="4" w:space="0" w:color="auto"/>
            </w:tcBorders>
          </w:tcPr>
          <w:p w:rsidR="00A15B6F" w:rsidRPr="00A15B6F" w:rsidRDefault="00A15B6F" w:rsidP="0026133D">
            <w:pPr>
              <w:pStyle w:val="a3"/>
              <w:tabs>
                <w:tab w:val="clear" w:pos="4320"/>
                <w:tab w:val="clear" w:pos="8640"/>
              </w:tabs>
              <w:spacing w:line="240" w:lineRule="auto"/>
              <w:jc w:val="center"/>
              <w:rPr>
                <w:rFonts w:ascii="Times New Roman" w:hAnsi="Times New Roman"/>
                <w:sz w:val="22"/>
                <w:szCs w:val="22"/>
              </w:rPr>
            </w:pPr>
            <w:r w:rsidRPr="00A15B6F">
              <w:rPr>
                <w:rFonts w:ascii="Times New Roman" w:hAnsi="Times New Roman"/>
                <w:sz w:val="22"/>
                <w:szCs w:val="22"/>
              </w:rPr>
              <w:t>YTM</w:t>
            </w:r>
          </w:p>
        </w:tc>
        <w:tc>
          <w:tcPr>
            <w:tcW w:w="2880" w:type="dxa"/>
            <w:tcBorders>
              <w:bottom w:val="single" w:sz="4" w:space="0" w:color="auto"/>
            </w:tcBorders>
          </w:tcPr>
          <w:p w:rsidR="00A15B6F" w:rsidRPr="00A15B6F" w:rsidRDefault="00A15B6F" w:rsidP="0026133D">
            <w:pPr>
              <w:pStyle w:val="a3"/>
              <w:tabs>
                <w:tab w:val="clear" w:pos="4320"/>
                <w:tab w:val="clear" w:pos="8640"/>
              </w:tabs>
              <w:spacing w:line="240" w:lineRule="auto"/>
              <w:jc w:val="center"/>
              <w:rPr>
                <w:rFonts w:ascii="Times New Roman" w:hAnsi="Times New Roman"/>
                <w:sz w:val="22"/>
                <w:szCs w:val="22"/>
              </w:rPr>
            </w:pPr>
            <w:r w:rsidRPr="00A15B6F">
              <w:rPr>
                <w:rFonts w:ascii="Times New Roman" w:hAnsi="Times New Roman"/>
                <w:sz w:val="22"/>
                <w:szCs w:val="22"/>
              </w:rPr>
              <w:t>Forward Rate</w:t>
            </w:r>
          </w:p>
        </w:tc>
        <w:tc>
          <w:tcPr>
            <w:tcW w:w="2592" w:type="dxa"/>
            <w:tcBorders>
              <w:bottom w:val="single" w:sz="4" w:space="0" w:color="auto"/>
            </w:tcBorders>
          </w:tcPr>
          <w:p w:rsidR="00A15B6F" w:rsidRPr="00A15B6F" w:rsidRDefault="00A15B6F" w:rsidP="0026133D">
            <w:pPr>
              <w:pStyle w:val="a3"/>
              <w:tabs>
                <w:tab w:val="clear" w:pos="4320"/>
                <w:tab w:val="clear" w:pos="8640"/>
              </w:tabs>
              <w:spacing w:line="240" w:lineRule="auto"/>
              <w:rPr>
                <w:rFonts w:ascii="Times New Roman" w:hAnsi="Times New Roman"/>
                <w:sz w:val="22"/>
                <w:szCs w:val="22"/>
              </w:rPr>
            </w:pPr>
            <w:r w:rsidRPr="00A15B6F">
              <w:rPr>
                <w:rFonts w:ascii="Times New Roman" w:hAnsi="Times New Roman"/>
                <w:sz w:val="22"/>
                <w:szCs w:val="22"/>
              </w:rPr>
              <w:t>Price (for parts c, d)</w:t>
            </w:r>
          </w:p>
        </w:tc>
      </w:tr>
      <w:tr w:rsidR="00A15B6F" w:rsidRPr="00A15B6F" w:rsidTr="0026133D">
        <w:trPr>
          <w:trHeight w:hRule="exact" w:val="300"/>
        </w:trPr>
        <w:tc>
          <w:tcPr>
            <w:tcW w:w="1056" w:type="dxa"/>
            <w:tcBorders>
              <w:top w:val="single" w:sz="4" w:space="0" w:color="auto"/>
            </w:tcBorders>
            <w:vAlign w:val="bottom"/>
          </w:tcPr>
          <w:p w:rsidR="00A15B6F" w:rsidRPr="00A15B6F" w:rsidRDefault="00A15B6F" w:rsidP="0026133D">
            <w:pPr>
              <w:pStyle w:val="a3"/>
              <w:tabs>
                <w:tab w:val="clear" w:pos="4320"/>
                <w:tab w:val="clear" w:pos="8640"/>
              </w:tabs>
              <w:spacing w:line="240" w:lineRule="auto"/>
              <w:jc w:val="center"/>
              <w:rPr>
                <w:rFonts w:ascii="Times New Roman" w:hAnsi="Times New Roman"/>
                <w:sz w:val="22"/>
                <w:szCs w:val="22"/>
              </w:rPr>
            </w:pPr>
            <w:r w:rsidRPr="00A15B6F">
              <w:rPr>
                <w:rFonts w:ascii="Times New Roman" w:hAnsi="Times New Roman"/>
                <w:sz w:val="22"/>
                <w:szCs w:val="22"/>
              </w:rPr>
              <w:t>1 year</w:t>
            </w:r>
          </w:p>
        </w:tc>
        <w:tc>
          <w:tcPr>
            <w:tcW w:w="864" w:type="dxa"/>
            <w:tcBorders>
              <w:top w:val="single" w:sz="4" w:space="0" w:color="auto"/>
            </w:tcBorders>
            <w:vAlign w:val="bottom"/>
          </w:tcPr>
          <w:p w:rsidR="00A15B6F" w:rsidRPr="00A15B6F" w:rsidRDefault="00A15B6F" w:rsidP="0026133D">
            <w:pPr>
              <w:pStyle w:val="a3"/>
              <w:tabs>
                <w:tab w:val="clear" w:pos="4320"/>
                <w:tab w:val="clear" w:pos="8640"/>
              </w:tabs>
              <w:spacing w:line="240" w:lineRule="auto"/>
              <w:jc w:val="center"/>
              <w:rPr>
                <w:rFonts w:ascii="Times New Roman" w:hAnsi="Times New Roman"/>
                <w:sz w:val="22"/>
                <w:szCs w:val="22"/>
              </w:rPr>
            </w:pPr>
            <w:r w:rsidRPr="00A15B6F">
              <w:rPr>
                <w:rFonts w:ascii="Times New Roman" w:hAnsi="Times New Roman"/>
                <w:sz w:val="22"/>
                <w:szCs w:val="22"/>
              </w:rPr>
              <w:t>10%</w:t>
            </w:r>
          </w:p>
        </w:tc>
        <w:tc>
          <w:tcPr>
            <w:tcW w:w="2880" w:type="dxa"/>
            <w:tcBorders>
              <w:top w:val="single" w:sz="4" w:space="0" w:color="auto"/>
            </w:tcBorders>
            <w:vAlign w:val="bottom"/>
          </w:tcPr>
          <w:p w:rsidR="00A15B6F" w:rsidRPr="00A15B6F" w:rsidRDefault="00A15B6F" w:rsidP="0026133D">
            <w:pPr>
              <w:pStyle w:val="a3"/>
              <w:tabs>
                <w:tab w:val="clear" w:pos="4320"/>
                <w:tab w:val="clear" w:pos="8640"/>
              </w:tabs>
              <w:spacing w:line="240" w:lineRule="auto"/>
              <w:rPr>
                <w:rFonts w:ascii="Times New Roman" w:hAnsi="Times New Roman"/>
                <w:sz w:val="22"/>
                <w:szCs w:val="22"/>
              </w:rPr>
            </w:pPr>
          </w:p>
        </w:tc>
        <w:tc>
          <w:tcPr>
            <w:tcW w:w="2592" w:type="dxa"/>
            <w:tcBorders>
              <w:top w:val="single" w:sz="4" w:space="0" w:color="auto"/>
            </w:tcBorders>
            <w:vAlign w:val="bottom"/>
          </w:tcPr>
          <w:p w:rsidR="00A15B6F" w:rsidRPr="00A15B6F" w:rsidRDefault="00A15B6F" w:rsidP="0026133D">
            <w:pPr>
              <w:pStyle w:val="a3"/>
              <w:tabs>
                <w:tab w:val="clear" w:pos="4320"/>
                <w:tab w:val="clear" w:pos="8640"/>
              </w:tabs>
              <w:spacing w:line="240" w:lineRule="auto"/>
              <w:rPr>
                <w:rFonts w:ascii="Times New Roman" w:hAnsi="Times New Roman"/>
                <w:sz w:val="22"/>
                <w:szCs w:val="22"/>
              </w:rPr>
            </w:pPr>
            <w:r w:rsidRPr="00A15B6F">
              <w:rPr>
                <w:rFonts w:ascii="Times New Roman" w:hAnsi="Times New Roman"/>
                <w:sz w:val="22"/>
                <w:szCs w:val="22"/>
              </w:rPr>
              <w:t>$1,000/1.10 = $909.09</w:t>
            </w:r>
          </w:p>
        </w:tc>
      </w:tr>
      <w:tr w:rsidR="00A15B6F" w:rsidRPr="00A15B6F" w:rsidTr="0026133D">
        <w:tc>
          <w:tcPr>
            <w:tcW w:w="1056" w:type="dxa"/>
          </w:tcPr>
          <w:p w:rsidR="00A15B6F" w:rsidRPr="00A15B6F" w:rsidRDefault="00A15B6F" w:rsidP="0026133D">
            <w:pPr>
              <w:pStyle w:val="a3"/>
              <w:tabs>
                <w:tab w:val="clear" w:pos="4320"/>
                <w:tab w:val="clear" w:pos="8640"/>
              </w:tabs>
              <w:spacing w:line="240" w:lineRule="auto"/>
              <w:jc w:val="center"/>
              <w:rPr>
                <w:rFonts w:ascii="Times New Roman" w:hAnsi="Times New Roman"/>
                <w:sz w:val="22"/>
                <w:szCs w:val="22"/>
              </w:rPr>
            </w:pPr>
            <w:r w:rsidRPr="00A15B6F">
              <w:rPr>
                <w:rFonts w:ascii="Times New Roman" w:hAnsi="Times New Roman"/>
                <w:sz w:val="22"/>
                <w:szCs w:val="22"/>
              </w:rPr>
              <w:t>2 years</w:t>
            </w:r>
          </w:p>
        </w:tc>
        <w:tc>
          <w:tcPr>
            <w:tcW w:w="864" w:type="dxa"/>
          </w:tcPr>
          <w:p w:rsidR="00A15B6F" w:rsidRPr="00A15B6F" w:rsidRDefault="00A15B6F" w:rsidP="0026133D">
            <w:pPr>
              <w:pStyle w:val="a3"/>
              <w:tabs>
                <w:tab w:val="clear" w:pos="4320"/>
                <w:tab w:val="clear" w:pos="8640"/>
              </w:tabs>
              <w:spacing w:line="240" w:lineRule="auto"/>
              <w:jc w:val="center"/>
              <w:rPr>
                <w:rFonts w:ascii="Times New Roman" w:hAnsi="Times New Roman"/>
                <w:sz w:val="22"/>
                <w:szCs w:val="22"/>
              </w:rPr>
            </w:pPr>
            <w:r w:rsidRPr="00A15B6F">
              <w:rPr>
                <w:rFonts w:ascii="Times New Roman" w:hAnsi="Times New Roman"/>
                <w:sz w:val="22"/>
                <w:szCs w:val="22"/>
              </w:rPr>
              <w:t>11%</w:t>
            </w:r>
          </w:p>
        </w:tc>
        <w:tc>
          <w:tcPr>
            <w:tcW w:w="2880" w:type="dxa"/>
          </w:tcPr>
          <w:p w:rsidR="00A15B6F" w:rsidRPr="00A15B6F" w:rsidRDefault="00A15B6F" w:rsidP="0026133D">
            <w:pPr>
              <w:pStyle w:val="a3"/>
              <w:tabs>
                <w:tab w:val="clear" w:pos="4320"/>
                <w:tab w:val="clear" w:pos="8640"/>
              </w:tabs>
              <w:spacing w:line="240" w:lineRule="auto"/>
              <w:rPr>
                <w:rFonts w:ascii="Times New Roman" w:hAnsi="Times New Roman"/>
                <w:sz w:val="22"/>
                <w:szCs w:val="22"/>
              </w:rPr>
            </w:pPr>
            <w:r w:rsidRPr="00A15B6F">
              <w:rPr>
                <w:rFonts w:ascii="Times New Roman" w:hAnsi="Times New Roman"/>
                <w:sz w:val="22"/>
                <w:szCs w:val="22"/>
              </w:rPr>
              <w:t>(1.11</w:t>
            </w:r>
            <w:r w:rsidRPr="00A15B6F">
              <w:rPr>
                <w:rFonts w:ascii="Times New Roman" w:hAnsi="Times New Roman"/>
                <w:sz w:val="22"/>
                <w:szCs w:val="22"/>
                <w:vertAlign w:val="superscript"/>
              </w:rPr>
              <w:t>2</w:t>
            </w:r>
            <w:r w:rsidRPr="00A15B6F">
              <w:rPr>
                <w:rFonts w:ascii="Times New Roman" w:hAnsi="Times New Roman"/>
                <w:sz w:val="22"/>
                <w:szCs w:val="22"/>
              </w:rPr>
              <w:t>/1.10) – 1 = 12.01%</w:t>
            </w:r>
          </w:p>
        </w:tc>
        <w:tc>
          <w:tcPr>
            <w:tcW w:w="2592" w:type="dxa"/>
          </w:tcPr>
          <w:p w:rsidR="00A15B6F" w:rsidRPr="00A15B6F" w:rsidRDefault="00A15B6F" w:rsidP="0026133D">
            <w:pPr>
              <w:pStyle w:val="a3"/>
              <w:tabs>
                <w:tab w:val="clear" w:pos="4320"/>
                <w:tab w:val="clear" w:pos="8640"/>
              </w:tabs>
              <w:spacing w:line="240" w:lineRule="auto"/>
              <w:rPr>
                <w:rFonts w:ascii="Times New Roman" w:hAnsi="Times New Roman"/>
                <w:sz w:val="22"/>
                <w:szCs w:val="22"/>
              </w:rPr>
            </w:pPr>
            <w:r w:rsidRPr="00A15B6F">
              <w:rPr>
                <w:rFonts w:ascii="Times New Roman" w:hAnsi="Times New Roman"/>
                <w:sz w:val="22"/>
                <w:szCs w:val="22"/>
              </w:rPr>
              <w:t>$1,000/1.11</w:t>
            </w:r>
            <w:r w:rsidRPr="00A15B6F">
              <w:rPr>
                <w:rFonts w:ascii="Times New Roman" w:hAnsi="Times New Roman"/>
                <w:sz w:val="22"/>
                <w:szCs w:val="22"/>
                <w:vertAlign w:val="superscript"/>
              </w:rPr>
              <w:t>2</w:t>
            </w:r>
            <w:r w:rsidRPr="00A15B6F">
              <w:rPr>
                <w:rFonts w:ascii="Times New Roman" w:hAnsi="Times New Roman"/>
                <w:sz w:val="22"/>
                <w:szCs w:val="22"/>
              </w:rPr>
              <w:t xml:space="preserve"> = $811.62</w:t>
            </w:r>
          </w:p>
        </w:tc>
      </w:tr>
      <w:tr w:rsidR="00A15B6F" w:rsidRPr="00A15B6F" w:rsidTr="0026133D">
        <w:tc>
          <w:tcPr>
            <w:tcW w:w="1056" w:type="dxa"/>
          </w:tcPr>
          <w:p w:rsidR="00A15B6F" w:rsidRPr="00A15B6F" w:rsidRDefault="00A15B6F" w:rsidP="0026133D">
            <w:pPr>
              <w:pStyle w:val="a3"/>
              <w:tabs>
                <w:tab w:val="clear" w:pos="4320"/>
                <w:tab w:val="clear" w:pos="8640"/>
              </w:tabs>
              <w:spacing w:line="240" w:lineRule="auto"/>
              <w:jc w:val="center"/>
              <w:rPr>
                <w:rFonts w:ascii="Times New Roman" w:hAnsi="Times New Roman"/>
                <w:sz w:val="22"/>
                <w:szCs w:val="22"/>
              </w:rPr>
            </w:pPr>
            <w:r w:rsidRPr="00A15B6F">
              <w:rPr>
                <w:rFonts w:ascii="Times New Roman" w:hAnsi="Times New Roman"/>
                <w:sz w:val="22"/>
                <w:szCs w:val="22"/>
              </w:rPr>
              <w:t>3 years</w:t>
            </w:r>
          </w:p>
        </w:tc>
        <w:tc>
          <w:tcPr>
            <w:tcW w:w="864" w:type="dxa"/>
          </w:tcPr>
          <w:p w:rsidR="00A15B6F" w:rsidRPr="00A15B6F" w:rsidRDefault="00A15B6F" w:rsidP="0026133D">
            <w:pPr>
              <w:pStyle w:val="a3"/>
              <w:tabs>
                <w:tab w:val="clear" w:pos="4320"/>
                <w:tab w:val="clear" w:pos="8640"/>
              </w:tabs>
              <w:spacing w:line="240" w:lineRule="auto"/>
              <w:jc w:val="center"/>
              <w:rPr>
                <w:rFonts w:ascii="Times New Roman" w:hAnsi="Times New Roman"/>
                <w:sz w:val="22"/>
                <w:szCs w:val="22"/>
              </w:rPr>
            </w:pPr>
            <w:r w:rsidRPr="00A15B6F">
              <w:rPr>
                <w:rFonts w:ascii="Times New Roman" w:hAnsi="Times New Roman"/>
                <w:sz w:val="22"/>
                <w:szCs w:val="22"/>
              </w:rPr>
              <w:t>12%</w:t>
            </w:r>
          </w:p>
        </w:tc>
        <w:tc>
          <w:tcPr>
            <w:tcW w:w="2880" w:type="dxa"/>
          </w:tcPr>
          <w:p w:rsidR="00A15B6F" w:rsidRPr="00A15B6F" w:rsidRDefault="00A15B6F" w:rsidP="0026133D">
            <w:pPr>
              <w:pStyle w:val="a3"/>
              <w:tabs>
                <w:tab w:val="clear" w:pos="4320"/>
                <w:tab w:val="clear" w:pos="8640"/>
              </w:tabs>
              <w:spacing w:line="240" w:lineRule="auto"/>
              <w:rPr>
                <w:rFonts w:ascii="Times New Roman" w:hAnsi="Times New Roman"/>
                <w:sz w:val="22"/>
                <w:szCs w:val="22"/>
              </w:rPr>
            </w:pPr>
            <w:r w:rsidRPr="00A15B6F">
              <w:rPr>
                <w:rFonts w:ascii="Times New Roman" w:hAnsi="Times New Roman"/>
                <w:sz w:val="22"/>
                <w:szCs w:val="22"/>
              </w:rPr>
              <w:t>(1.12</w:t>
            </w:r>
            <w:r w:rsidRPr="00A15B6F">
              <w:rPr>
                <w:rFonts w:ascii="Times New Roman" w:hAnsi="Times New Roman"/>
                <w:sz w:val="22"/>
                <w:szCs w:val="22"/>
                <w:vertAlign w:val="superscript"/>
              </w:rPr>
              <w:t>3</w:t>
            </w:r>
            <w:r w:rsidRPr="00A15B6F">
              <w:rPr>
                <w:rFonts w:ascii="Times New Roman" w:hAnsi="Times New Roman"/>
                <w:sz w:val="22"/>
                <w:szCs w:val="22"/>
              </w:rPr>
              <w:t>/1.11</w:t>
            </w:r>
            <w:r w:rsidRPr="00A15B6F">
              <w:rPr>
                <w:rFonts w:ascii="Times New Roman" w:hAnsi="Times New Roman"/>
                <w:sz w:val="22"/>
                <w:szCs w:val="22"/>
                <w:vertAlign w:val="superscript"/>
              </w:rPr>
              <w:t>2</w:t>
            </w:r>
            <w:r w:rsidRPr="00A15B6F">
              <w:rPr>
                <w:rFonts w:ascii="Times New Roman" w:hAnsi="Times New Roman"/>
                <w:sz w:val="22"/>
                <w:szCs w:val="22"/>
              </w:rPr>
              <w:t>) – 1 = 14.03%</w:t>
            </w:r>
          </w:p>
        </w:tc>
        <w:tc>
          <w:tcPr>
            <w:tcW w:w="2592" w:type="dxa"/>
          </w:tcPr>
          <w:p w:rsidR="00A15B6F" w:rsidRPr="00A15B6F" w:rsidRDefault="00A15B6F" w:rsidP="0026133D">
            <w:pPr>
              <w:pStyle w:val="a3"/>
              <w:tabs>
                <w:tab w:val="clear" w:pos="4320"/>
                <w:tab w:val="clear" w:pos="8640"/>
              </w:tabs>
              <w:spacing w:line="240" w:lineRule="auto"/>
              <w:rPr>
                <w:rFonts w:ascii="Times New Roman" w:hAnsi="Times New Roman"/>
                <w:sz w:val="22"/>
                <w:szCs w:val="22"/>
              </w:rPr>
            </w:pPr>
            <w:r w:rsidRPr="00A15B6F">
              <w:rPr>
                <w:rFonts w:ascii="Times New Roman" w:hAnsi="Times New Roman"/>
                <w:sz w:val="22"/>
                <w:szCs w:val="22"/>
              </w:rPr>
              <w:t>$1,000/1.12</w:t>
            </w:r>
            <w:r w:rsidRPr="00A15B6F">
              <w:rPr>
                <w:rFonts w:ascii="Times New Roman" w:hAnsi="Times New Roman"/>
                <w:sz w:val="22"/>
                <w:szCs w:val="22"/>
                <w:vertAlign w:val="superscript"/>
              </w:rPr>
              <w:t>3</w:t>
            </w:r>
            <w:r w:rsidRPr="00A15B6F">
              <w:rPr>
                <w:rFonts w:ascii="Times New Roman" w:hAnsi="Times New Roman"/>
                <w:sz w:val="22"/>
                <w:szCs w:val="22"/>
              </w:rPr>
              <w:t xml:space="preserve"> = $711.78</w:t>
            </w:r>
          </w:p>
        </w:tc>
      </w:tr>
    </w:tbl>
    <w:p w:rsidR="00A15B6F" w:rsidRPr="00A15B6F" w:rsidRDefault="00A15B6F" w:rsidP="00A15B6F">
      <w:pPr>
        <w:pStyle w:val="a3"/>
        <w:tabs>
          <w:tab w:val="clear" w:pos="4320"/>
          <w:tab w:val="clear" w:pos="8640"/>
        </w:tabs>
        <w:spacing w:line="240" w:lineRule="auto"/>
        <w:rPr>
          <w:rFonts w:ascii="Times New Roman" w:hAnsi="Times New Roman"/>
          <w:sz w:val="22"/>
          <w:szCs w:val="22"/>
        </w:rPr>
      </w:pPr>
    </w:p>
    <w:p w:rsidR="00A15B6F" w:rsidRPr="00A15B6F" w:rsidRDefault="00A15B6F" w:rsidP="00A15B6F">
      <w:pPr>
        <w:spacing w:after="120" w:line="240" w:lineRule="auto"/>
        <w:ind w:left="1094" w:hanging="547"/>
        <w:rPr>
          <w:rFonts w:ascii="Times New Roman" w:hAnsi="Times New Roman"/>
          <w:szCs w:val="22"/>
        </w:rPr>
      </w:pPr>
      <w:r w:rsidRPr="00A15B6F">
        <w:rPr>
          <w:rFonts w:ascii="Times New Roman" w:hAnsi="Times New Roman"/>
          <w:szCs w:val="22"/>
        </w:rPr>
        <w:t>b.</w:t>
      </w:r>
      <w:r w:rsidRPr="00A15B6F">
        <w:rPr>
          <w:rFonts w:ascii="Times New Roman" w:hAnsi="Times New Roman"/>
          <w:szCs w:val="22"/>
        </w:rPr>
        <w:tab/>
        <w:t>We obtain next year’s prices and yields by discounting each zero’s face value at the forward rates for next year that we derived in part (a):</w:t>
      </w:r>
    </w:p>
    <w:tbl>
      <w:tblPr>
        <w:tblW w:w="0" w:type="auto"/>
        <w:tblInd w:w="1188" w:type="dxa"/>
        <w:tblLayout w:type="fixed"/>
        <w:tblLook w:val="01E0" w:firstRow="1" w:lastRow="1" w:firstColumn="1" w:lastColumn="1" w:noHBand="0" w:noVBand="0"/>
      </w:tblPr>
      <w:tblGrid>
        <w:gridCol w:w="1056"/>
        <w:gridCol w:w="3888"/>
        <w:gridCol w:w="956"/>
      </w:tblGrid>
      <w:tr w:rsidR="00A15B6F" w:rsidRPr="00A15B6F" w:rsidTr="0026133D">
        <w:tc>
          <w:tcPr>
            <w:tcW w:w="1056" w:type="dxa"/>
            <w:tcBorders>
              <w:bottom w:val="single" w:sz="4" w:space="0" w:color="auto"/>
            </w:tcBorders>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Maturity</w:t>
            </w:r>
          </w:p>
        </w:tc>
        <w:tc>
          <w:tcPr>
            <w:tcW w:w="3888" w:type="dxa"/>
            <w:tcBorders>
              <w:bottom w:val="single" w:sz="4" w:space="0" w:color="auto"/>
            </w:tcBorders>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Price</w:t>
            </w:r>
          </w:p>
        </w:tc>
        <w:tc>
          <w:tcPr>
            <w:tcW w:w="956" w:type="dxa"/>
            <w:tcBorders>
              <w:bottom w:val="single" w:sz="4" w:space="0" w:color="auto"/>
            </w:tcBorders>
          </w:tcPr>
          <w:p w:rsidR="00A15B6F" w:rsidRPr="00A15B6F" w:rsidRDefault="00A15B6F" w:rsidP="0026133D">
            <w:pPr>
              <w:tabs>
                <w:tab w:val="left" w:pos="5760"/>
              </w:tabs>
              <w:spacing w:line="240" w:lineRule="auto"/>
              <w:jc w:val="center"/>
              <w:rPr>
                <w:rFonts w:ascii="Times New Roman" w:hAnsi="Times New Roman"/>
                <w:szCs w:val="22"/>
              </w:rPr>
            </w:pPr>
            <w:r w:rsidRPr="00A15B6F">
              <w:rPr>
                <w:rFonts w:ascii="Times New Roman" w:hAnsi="Times New Roman"/>
                <w:szCs w:val="22"/>
              </w:rPr>
              <w:t>YTM</w:t>
            </w:r>
          </w:p>
        </w:tc>
      </w:tr>
      <w:tr w:rsidR="00A15B6F" w:rsidRPr="00A15B6F" w:rsidTr="0026133D">
        <w:trPr>
          <w:trHeight w:hRule="exact" w:val="300"/>
        </w:trPr>
        <w:tc>
          <w:tcPr>
            <w:tcW w:w="1056" w:type="dxa"/>
            <w:tcBorders>
              <w:top w:val="single" w:sz="4" w:space="0" w:color="auto"/>
            </w:tcBorders>
            <w:vAlign w:val="bottom"/>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1 year</w:t>
            </w:r>
          </w:p>
        </w:tc>
        <w:tc>
          <w:tcPr>
            <w:tcW w:w="3888" w:type="dxa"/>
            <w:tcBorders>
              <w:top w:val="single" w:sz="4" w:space="0" w:color="auto"/>
            </w:tcBorders>
            <w:vAlign w:val="bottom"/>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$1,000/1.1201 = $892.78</w:t>
            </w:r>
          </w:p>
        </w:tc>
        <w:tc>
          <w:tcPr>
            <w:tcW w:w="956" w:type="dxa"/>
            <w:tcBorders>
              <w:top w:val="single" w:sz="4" w:space="0" w:color="auto"/>
            </w:tcBorders>
            <w:vAlign w:val="bottom"/>
          </w:tcPr>
          <w:p w:rsidR="00A15B6F" w:rsidRPr="00A15B6F" w:rsidRDefault="00A15B6F" w:rsidP="0026133D">
            <w:pPr>
              <w:tabs>
                <w:tab w:val="left" w:pos="5760"/>
              </w:tabs>
              <w:spacing w:line="240" w:lineRule="auto"/>
              <w:jc w:val="center"/>
              <w:rPr>
                <w:rFonts w:ascii="Times New Roman" w:hAnsi="Times New Roman"/>
                <w:szCs w:val="22"/>
              </w:rPr>
            </w:pPr>
            <w:r w:rsidRPr="00A15B6F">
              <w:rPr>
                <w:rFonts w:ascii="Times New Roman" w:hAnsi="Times New Roman"/>
                <w:szCs w:val="22"/>
              </w:rPr>
              <w:t>12.01%</w:t>
            </w:r>
          </w:p>
        </w:tc>
        <w:bookmarkStart w:id="0" w:name="_GoBack"/>
        <w:bookmarkEnd w:id="0"/>
      </w:tr>
      <w:tr w:rsidR="00A15B6F" w:rsidRPr="00A15B6F" w:rsidTr="0026133D">
        <w:tc>
          <w:tcPr>
            <w:tcW w:w="1056"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2 years</w:t>
            </w:r>
          </w:p>
        </w:tc>
        <w:tc>
          <w:tcPr>
            <w:tcW w:w="3888" w:type="dxa"/>
          </w:tcPr>
          <w:p w:rsidR="00A15B6F" w:rsidRPr="00A15B6F" w:rsidRDefault="00A15B6F" w:rsidP="0026133D">
            <w:pPr>
              <w:spacing w:line="240" w:lineRule="auto"/>
              <w:jc w:val="center"/>
              <w:rPr>
                <w:rFonts w:ascii="Times New Roman" w:hAnsi="Times New Roman"/>
                <w:szCs w:val="22"/>
              </w:rPr>
            </w:pPr>
            <w:r w:rsidRPr="00A15B6F">
              <w:rPr>
                <w:rFonts w:ascii="Times New Roman" w:hAnsi="Times New Roman"/>
                <w:szCs w:val="22"/>
              </w:rPr>
              <w:t>$1,000/(1.1201 × 1.1403) = $782.93</w:t>
            </w:r>
          </w:p>
        </w:tc>
        <w:tc>
          <w:tcPr>
            <w:tcW w:w="956" w:type="dxa"/>
          </w:tcPr>
          <w:p w:rsidR="00A15B6F" w:rsidRPr="00A15B6F" w:rsidRDefault="00A15B6F" w:rsidP="0026133D">
            <w:pPr>
              <w:tabs>
                <w:tab w:val="left" w:pos="5760"/>
              </w:tabs>
              <w:spacing w:line="240" w:lineRule="auto"/>
              <w:jc w:val="center"/>
              <w:rPr>
                <w:rFonts w:ascii="Times New Roman" w:hAnsi="Times New Roman"/>
                <w:szCs w:val="22"/>
              </w:rPr>
            </w:pPr>
            <w:r w:rsidRPr="00A15B6F">
              <w:rPr>
                <w:rFonts w:ascii="Times New Roman" w:hAnsi="Times New Roman"/>
                <w:szCs w:val="22"/>
              </w:rPr>
              <w:t>13.02%</w:t>
            </w:r>
          </w:p>
        </w:tc>
      </w:tr>
    </w:tbl>
    <w:p w:rsidR="00A15B6F" w:rsidRPr="00A15B6F" w:rsidRDefault="00A15B6F" w:rsidP="00A15B6F">
      <w:pPr>
        <w:spacing w:before="120" w:line="240" w:lineRule="auto"/>
        <w:ind w:left="1080"/>
        <w:rPr>
          <w:rFonts w:ascii="Times New Roman" w:hAnsi="Times New Roman"/>
          <w:szCs w:val="22"/>
        </w:rPr>
      </w:pPr>
      <w:r w:rsidRPr="00A15B6F">
        <w:rPr>
          <w:rFonts w:ascii="Times New Roman" w:hAnsi="Times New Roman"/>
          <w:szCs w:val="22"/>
        </w:rPr>
        <w:t>Note that this year’s upward sloping yield curve implies, according to the expectations hypothesis, a shi</w:t>
      </w:r>
      <w:r w:rsidRPr="00A15B6F">
        <w:rPr>
          <w:rFonts w:ascii="Times New Roman" w:hAnsi="Times New Roman"/>
          <w:szCs w:val="22"/>
        </w:rPr>
        <w:t>ft upward in next year’s curve.</w:t>
      </w:r>
    </w:p>
    <w:p w:rsidR="00A15B6F" w:rsidRPr="00A15B6F" w:rsidRDefault="00A15B6F" w:rsidP="00A15B6F">
      <w:pPr>
        <w:numPr>
          <w:ilvl w:val="0"/>
          <w:numId w:val="1"/>
        </w:numPr>
        <w:tabs>
          <w:tab w:val="clear" w:pos="900"/>
          <w:tab w:val="left" w:pos="1080"/>
        </w:tabs>
        <w:spacing w:after="120" w:line="240" w:lineRule="auto"/>
        <w:ind w:left="1080" w:hanging="533"/>
        <w:rPr>
          <w:rFonts w:ascii="Times New Roman" w:hAnsi="Times New Roman"/>
          <w:szCs w:val="22"/>
        </w:rPr>
      </w:pPr>
      <w:r w:rsidRPr="00A15B6F">
        <w:rPr>
          <w:rFonts w:ascii="Times New Roman" w:hAnsi="Times New Roman"/>
          <w:szCs w:val="22"/>
        </w:rPr>
        <w:t>Next year, the 2-year zero will be a 1-year zero, and will therefore sell at a price of: $1,000/1.1201 = $892.78</w:t>
      </w:r>
    </w:p>
    <w:p w:rsidR="00A15B6F" w:rsidRPr="00A15B6F" w:rsidRDefault="00A15B6F" w:rsidP="00A15B6F">
      <w:pPr>
        <w:spacing w:after="120" w:line="240" w:lineRule="auto"/>
        <w:ind w:left="1080" w:right="-540"/>
        <w:rPr>
          <w:rFonts w:ascii="Times New Roman" w:hAnsi="Times New Roman"/>
          <w:szCs w:val="22"/>
        </w:rPr>
      </w:pPr>
      <w:r w:rsidRPr="00A15B6F">
        <w:rPr>
          <w:rFonts w:ascii="Times New Roman" w:hAnsi="Times New Roman"/>
          <w:szCs w:val="22"/>
        </w:rPr>
        <w:t>Similarly, the current 3-year zero will be a 2-year zero and will sell for: $782.93</w:t>
      </w:r>
    </w:p>
    <w:p w:rsidR="00A15B6F" w:rsidRPr="00A15B6F" w:rsidRDefault="00A15B6F" w:rsidP="00A15B6F">
      <w:pPr>
        <w:spacing w:after="120" w:line="240" w:lineRule="auto"/>
        <w:ind w:left="1080"/>
        <w:rPr>
          <w:rFonts w:ascii="Times New Roman" w:hAnsi="Times New Roman"/>
          <w:szCs w:val="22"/>
        </w:rPr>
      </w:pPr>
      <w:r w:rsidRPr="00A15B6F">
        <w:rPr>
          <w:rFonts w:ascii="Times New Roman" w:hAnsi="Times New Roman"/>
          <w:szCs w:val="22"/>
        </w:rPr>
        <w:t>Expected total rate of return:</w:t>
      </w:r>
    </w:p>
    <w:p w:rsidR="00A15B6F" w:rsidRPr="00A15B6F" w:rsidRDefault="00A15B6F" w:rsidP="00A15B6F">
      <w:pPr>
        <w:tabs>
          <w:tab w:val="left" w:pos="3150"/>
        </w:tabs>
        <w:spacing w:after="120" w:line="240" w:lineRule="auto"/>
        <w:ind w:left="1620"/>
        <w:rPr>
          <w:rFonts w:ascii="Times New Roman" w:hAnsi="Times New Roman"/>
          <w:szCs w:val="22"/>
        </w:rPr>
      </w:pPr>
      <w:r w:rsidRPr="00A15B6F">
        <w:rPr>
          <w:rFonts w:ascii="Times New Roman" w:hAnsi="Times New Roman"/>
          <w:szCs w:val="22"/>
        </w:rPr>
        <w:t>2-year bond:</w:t>
      </w:r>
      <w:r w:rsidRPr="00A15B6F">
        <w:rPr>
          <w:rFonts w:ascii="Times New Roman" w:hAnsi="Times New Roman"/>
          <w:szCs w:val="22"/>
        </w:rPr>
        <w:tab/>
      </w:r>
      <w:r w:rsidRPr="00A15B6F">
        <w:rPr>
          <w:rFonts w:ascii="Times New Roman" w:hAnsi="Times New Roman"/>
          <w:position w:val="-26"/>
          <w:szCs w:val="22"/>
        </w:rPr>
        <w:object w:dxaOrig="3340" w:dyaOrig="639">
          <v:shape id="_x0000_i1026" type="#_x0000_t75" style="width:167.25pt;height:32.25pt" o:ole="" fillcolor="window">
            <v:imagedata r:id="rId8" o:title=""/>
          </v:shape>
          <o:OLEObject Type="Embed" ProgID="Equation.3" ShapeID="_x0000_i1026" DrawAspect="Content" ObjectID="_1480246244" r:id="rId9"/>
        </w:object>
      </w:r>
    </w:p>
    <w:p w:rsidR="00A15B6F" w:rsidRPr="00A15B6F" w:rsidRDefault="00A15B6F" w:rsidP="00A15B6F">
      <w:pPr>
        <w:tabs>
          <w:tab w:val="left" w:pos="3150"/>
        </w:tabs>
        <w:spacing w:line="240" w:lineRule="auto"/>
        <w:ind w:left="1620"/>
        <w:rPr>
          <w:rFonts w:ascii="Times New Roman" w:hAnsi="Times New Roman"/>
          <w:szCs w:val="22"/>
        </w:rPr>
      </w:pPr>
      <w:r w:rsidRPr="00A15B6F">
        <w:rPr>
          <w:rFonts w:ascii="Times New Roman" w:hAnsi="Times New Roman"/>
          <w:szCs w:val="22"/>
        </w:rPr>
        <w:t>3-year bond:</w:t>
      </w:r>
      <w:r w:rsidRPr="00A15B6F">
        <w:rPr>
          <w:rFonts w:ascii="Times New Roman" w:hAnsi="Times New Roman"/>
          <w:szCs w:val="22"/>
        </w:rPr>
        <w:tab/>
      </w:r>
      <w:r w:rsidRPr="00A15B6F">
        <w:rPr>
          <w:rFonts w:ascii="Times New Roman" w:hAnsi="Times New Roman"/>
          <w:position w:val="-26"/>
          <w:szCs w:val="22"/>
        </w:rPr>
        <w:object w:dxaOrig="3340" w:dyaOrig="639">
          <v:shape id="_x0000_i1027" type="#_x0000_t75" style="width:167.25pt;height:32.25pt" o:ole="" fillcolor="window">
            <v:imagedata r:id="rId10" o:title=""/>
          </v:shape>
          <o:OLEObject Type="Embed" ProgID="Equation.3" ShapeID="_x0000_i1027" DrawAspect="Content" ObjectID="_1480246245" r:id="rId11"/>
        </w:object>
      </w:r>
    </w:p>
    <w:p w:rsidR="00A15B6F" w:rsidRPr="00A15B6F" w:rsidRDefault="00A15B6F" w:rsidP="00A15B6F">
      <w:pPr>
        <w:tabs>
          <w:tab w:val="left" w:pos="3150"/>
        </w:tabs>
        <w:spacing w:line="240" w:lineRule="auto"/>
        <w:rPr>
          <w:rFonts w:ascii="Times New Roman" w:hAnsi="Times New Roman"/>
          <w:szCs w:val="22"/>
        </w:rPr>
      </w:pPr>
      <w:r w:rsidRPr="00A15B6F">
        <w:rPr>
          <w:rFonts w:ascii="Times New Roman" w:hAnsi="Times New Roman"/>
          <w:szCs w:val="22"/>
        </w:rPr>
        <w:t>CFA</w:t>
      </w:r>
    </w:p>
    <w:p w:rsidR="00A15B6F" w:rsidRPr="00A15B6F" w:rsidRDefault="00A15B6F" w:rsidP="00A15B6F">
      <w:pPr>
        <w:tabs>
          <w:tab w:val="left" w:pos="3150"/>
        </w:tabs>
        <w:spacing w:line="240" w:lineRule="auto"/>
        <w:rPr>
          <w:rFonts w:ascii="Times New Roman" w:hAnsi="Times New Roman"/>
          <w:szCs w:val="22"/>
        </w:rPr>
      </w:pPr>
      <w:r w:rsidRPr="00A15B6F">
        <w:rPr>
          <w:rFonts w:ascii="Times New Roman" w:hAnsi="Times New Roman"/>
          <w:szCs w:val="22"/>
        </w:rPr>
        <w:t>2.</w:t>
      </w:r>
      <w:r w:rsidRPr="00A15B6F">
        <w:rPr>
          <w:rFonts w:ascii="Times New Roman" w:hAnsi="Times New Roman"/>
          <w:szCs w:val="22"/>
        </w:rPr>
        <w:t xml:space="preserve">    </w:t>
      </w:r>
      <w:proofErr w:type="gramStart"/>
      <w:r w:rsidRPr="00A15B6F">
        <w:rPr>
          <w:rFonts w:ascii="Times New Roman" w:hAnsi="Times New Roman"/>
          <w:szCs w:val="22"/>
        </w:rPr>
        <w:t>d</w:t>
      </w:r>
      <w:proofErr w:type="gramEnd"/>
      <w:r w:rsidRPr="00A15B6F">
        <w:rPr>
          <w:rFonts w:ascii="Times New Roman" w:hAnsi="Times New Roman"/>
          <w:szCs w:val="22"/>
        </w:rPr>
        <w:t>.</w:t>
      </w:r>
    </w:p>
    <w:p w:rsidR="00A15B6F" w:rsidRPr="00A15B6F" w:rsidRDefault="00A15B6F" w:rsidP="00A15B6F">
      <w:pPr>
        <w:pStyle w:val="2"/>
        <w:spacing w:after="120"/>
        <w:rPr>
          <w:rFonts w:ascii="Times New Roman" w:hAnsi="Times New Roman"/>
          <w:sz w:val="22"/>
          <w:szCs w:val="22"/>
        </w:rPr>
      </w:pPr>
      <w:r w:rsidRPr="00A15B6F">
        <w:rPr>
          <w:rFonts w:ascii="Times New Roman" w:hAnsi="Times New Roman"/>
          <w:sz w:val="22"/>
          <w:szCs w:val="22"/>
        </w:rPr>
        <w:t>9.</w:t>
      </w:r>
      <w:r w:rsidRPr="00A15B6F">
        <w:rPr>
          <w:rFonts w:ascii="Times New Roman" w:hAnsi="Times New Roman"/>
          <w:sz w:val="22"/>
          <w:szCs w:val="22"/>
        </w:rPr>
        <w:tab/>
        <w:t>a.</w:t>
      </w:r>
      <w:r w:rsidRPr="00A15B6F">
        <w:rPr>
          <w:rFonts w:ascii="Times New Roman" w:hAnsi="Times New Roman"/>
          <w:sz w:val="22"/>
          <w:szCs w:val="22"/>
        </w:rPr>
        <w:tab/>
      </w:r>
      <w:r w:rsidRPr="00A15B6F">
        <w:rPr>
          <w:rFonts w:ascii="Times New Roman" w:hAnsi="Times New Roman"/>
          <w:sz w:val="22"/>
          <w:szCs w:val="22"/>
          <w:u w:val="single"/>
        </w:rPr>
        <w:t>Five-year Spot Rate</w:t>
      </w:r>
      <w:r w:rsidRPr="00A15B6F">
        <w:rPr>
          <w:rFonts w:ascii="Times New Roman" w:hAnsi="Times New Roman"/>
          <w:sz w:val="22"/>
          <w:szCs w:val="22"/>
        </w:rPr>
        <w:t>:</w:t>
      </w:r>
    </w:p>
    <w:p w:rsidR="00A15B6F" w:rsidRPr="00A15B6F" w:rsidRDefault="00A15B6F" w:rsidP="00A15B6F">
      <w:pPr>
        <w:spacing w:after="120" w:line="240" w:lineRule="auto"/>
        <w:ind w:left="1080"/>
        <w:rPr>
          <w:rFonts w:ascii="Times New Roman" w:hAnsi="Times New Roman"/>
          <w:szCs w:val="22"/>
        </w:rPr>
      </w:pPr>
      <w:r w:rsidRPr="00A15B6F">
        <w:rPr>
          <w:rFonts w:ascii="Times New Roman" w:hAnsi="Times New Roman"/>
          <w:position w:val="-30"/>
          <w:szCs w:val="22"/>
        </w:rPr>
        <w:object w:dxaOrig="6200" w:dyaOrig="680">
          <v:shape id="_x0000_i1028" type="#_x0000_t75" style="width:309.75pt;height:33.75pt" o:ole="" fillcolor="window">
            <v:imagedata r:id="rId12" o:title=""/>
          </v:shape>
          <o:OLEObject Type="Embed" ProgID="Equation.3" ShapeID="_x0000_i1028" DrawAspect="Content" ObjectID="_1480246246" r:id="rId13"/>
        </w:object>
      </w:r>
    </w:p>
    <w:p w:rsidR="00A15B6F" w:rsidRPr="00A15B6F" w:rsidRDefault="00A15B6F" w:rsidP="00A15B6F">
      <w:pPr>
        <w:spacing w:after="120" w:line="240" w:lineRule="auto"/>
        <w:ind w:left="1080"/>
        <w:rPr>
          <w:rFonts w:ascii="Times New Roman" w:hAnsi="Times New Roman"/>
          <w:szCs w:val="22"/>
        </w:rPr>
      </w:pPr>
      <w:r w:rsidRPr="00A15B6F">
        <w:rPr>
          <w:rFonts w:ascii="Times New Roman" w:hAnsi="Times New Roman"/>
          <w:position w:val="-30"/>
          <w:szCs w:val="22"/>
        </w:rPr>
        <w:object w:dxaOrig="6180" w:dyaOrig="680">
          <v:shape id="_x0000_i1029" type="#_x0000_t75" style="width:309pt;height:33.75pt" o:ole="" fillcolor="window">
            <v:imagedata r:id="rId14" o:title=""/>
          </v:shape>
          <o:OLEObject Type="Embed" ProgID="Equation.3" ShapeID="_x0000_i1029" DrawAspect="Content" ObjectID="_1480246247" r:id="rId15"/>
        </w:object>
      </w:r>
    </w:p>
    <w:p w:rsidR="00A15B6F" w:rsidRPr="00A15B6F" w:rsidRDefault="00A15B6F" w:rsidP="00A15B6F">
      <w:pPr>
        <w:spacing w:after="120" w:line="240" w:lineRule="auto"/>
        <w:ind w:left="1080"/>
        <w:rPr>
          <w:rFonts w:ascii="Times New Roman" w:hAnsi="Times New Roman"/>
          <w:szCs w:val="22"/>
        </w:rPr>
      </w:pPr>
      <w:r w:rsidRPr="00A15B6F">
        <w:rPr>
          <w:rFonts w:ascii="Times New Roman" w:hAnsi="Times New Roman"/>
          <w:position w:val="-30"/>
          <w:szCs w:val="22"/>
        </w:rPr>
        <w:object w:dxaOrig="5360" w:dyaOrig="680">
          <v:shape id="_x0000_i1030" type="#_x0000_t75" style="width:267.75pt;height:33.75pt" o:ole="" fillcolor="window">
            <v:imagedata r:id="rId16" o:title=""/>
          </v:shape>
          <o:OLEObject Type="Embed" ProgID="Equation.3" ShapeID="_x0000_i1030" DrawAspect="Content" ObjectID="_1480246248" r:id="rId17"/>
        </w:object>
      </w:r>
    </w:p>
    <w:p w:rsidR="00A15B6F" w:rsidRPr="00A15B6F" w:rsidRDefault="00A15B6F" w:rsidP="00A15B6F">
      <w:pPr>
        <w:spacing w:after="120" w:line="240" w:lineRule="auto"/>
        <w:ind w:left="1080"/>
        <w:rPr>
          <w:rFonts w:ascii="Times New Roman" w:hAnsi="Times New Roman"/>
          <w:szCs w:val="22"/>
        </w:rPr>
      </w:pPr>
      <w:r w:rsidRPr="00A15B6F">
        <w:rPr>
          <w:rFonts w:ascii="Times New Roman" w:hAnsi="Times New Roman"/>
          <w:position w:val="-30"/>
          <w:szCs w:val="22"/>
        </w:rPr>
        <w:object w:dxaOrig="1980" w:dyaOrig="680">
          <v:shape id="_x0000_i1031" type="#_x0000_t75" style="width:99pt;height:33.75pt" o:ole="" fillcolor="window">
            <v:imagedata r:id="rId18" o:title=""/>
          </v:shape>
          <o:OLEObject Type="Embed" ProgID="Equation.3" ShapeID="_x0000_i1031" DrawAspect="Content" ObjectID="_1480246249" r:id="rId19"/>
        </w:object>
      </w:r>
    </w:p>
    <w:p w:rsidR="00A15B6F" w:rsidRPr="00A15B6F" w:rsidRDefault="00A15B6F" w:rsidP="00A15B6F">
      <w:pPr>
        <w:spacing w:after="120" w:line="240" w:lineRule="auto"/>
        <w:ind w:left="1080"/>
        <w:rPr>
          <w:rFonts w:ascii="Times New Roman" w:hAnsi="Times New Roman"/>
          <w:szCs w:val="22"/>
        </w:rPr>
      </w:pPr>
      <w:r w:rsidRPr="00A15B6F">
        <w:rPr>
          <w:rFonts w:ascii="Times New Roman" w:hAnsi="Times New Roman"/>
          <w:position w:val="-26"/>
          <w:szCs w:val="22"/>
        </w:rPr>
        <w:object w:dxaOrig="1980" w:dyaOrig="639">
          <v:shape id="_x0000_i1032" type="#_x0000_t75" style="width:99pt;height:32.25pt" o:ole="" fillcolor="window">
            <v:imagedata r:id="rId20" o:title=""/>
          </v:shape>
          <o:OLEObject Type="Embed" ProgID="Equation.3" ShapeID="_x0000_i1032" DrawAspect="Content" ObjectID="_1480246250" r:id="rId21"/>
        </w:object>
      </w:r>
      <w:r w:rsidRPr="00A15B6F">
        <w:rPr>
          <w:rFonts w:ascii="Times New Roman" w:hAnsi="Times New Roman"/>
          <w:szCs w:val="22"/>
        </w:rPr>
        <w:sym w:font="Symbol" w:char="F0DE"/>
      </w:r>
      <w:r w:rsidRPr="00A15B6F">
        <w:rPr>
          <w:rFonts w:ascii="Times New Roman" w:hAnsi="Times New Roman"/>
          <w:position w:val="-12"/>
          <w:szCs w:val="22"/>
        </w:rPr>
        <w:object w:dxaOrig="2420" w:dyaOrig="400">
          <v:shape id="_x0000_i1033" type="#_x0000_t75" style="width:120.75pt;height:20.25pt" o:ole="" fillcolor="window">
            <v:imagedata r:id="rId22" o:title=""/>
          </v:shape>
          <o:OLEObject Type="Embed" ProgID="Equation.3" ShapeID="_x0000_i1033" DrawAspect="Content" ObjectID="_1480246251" r:id="rId23"/>
        </w:object>
      </w:r>
    </w:p>
    <w:p w:rsidR="00A15B6F" w:rsidRPr="00A15B6F" w:rsidRDefault="00A15B6F" w:rsidP="00A15B6F">
      <w:pPr>
        <w:spacing w:after="120" w:line="240" w:lineRule="auto"/>
        <w:ind w:left="1080"/>
        <w:rPr>
          <w:rFonts w:ascii="Times New Roman" w:hAnsi="Times New Roman"/>
          <w:szCs w:val="22"/>
        </w:rPr>
      </w:pPr>
      <w:r w:rsidRPr="00A15B6F">
        <w:rPr>
          <w:rFonts w:ascii="Times New Roman" w:hAnsi="Times New Roman"/>
          <w:szCs w:val="22"/>
          <w:u w:val="single"/>
        </w:rPr>
        <w:t>Five-year Forward Rate</w:t>
      </w:r>
      <w:r w:rsidRPr="00A15B6F">
        <w:rPr>
          <w:rFonts w:ascii="Times New Roman" w:hAnsi="Times New Roman"/>
          <w:szCs w:val="22"/>
        </w:rPr>
        <w:t>:</w:t>
      </w:r>
    </w:p>
    <w:p w:rsidR="00A15B6F" w:rsidRPr="00A15B6F" w:rsidRDefault="00A15B6F" w:rsidP="00A15B6F">
      <w:pPr>
        <w:spacing w:before="240" w:line="240" w:lineRule="auto"/>
        <w:ind w:left="1080"/>
        <w:rPr>
          <w:rFonts w:ascii="Times New Roman" w:hAnsi="Times New Roman"/>
          <w:szCs w:val="22"/>
        </w:rPr>
      </w:pPr>
      <w:r w:rsidRPr="00A15B6F">
        <w:rPr>
          <w:rFonts w:ascii="Times New Roman" w:hAnsi="Times New Roman"/>
          <w:b/>
          <w:position w:val="-30"/>
          <w:szCs w:val="22"/>
        </w:rPr>
        <w:object w:dxaOrig="3379" w:dyaOrig="720">
          <v:shape id="_x0000_i1034" type="#_x0000_t75" style="width:168.75pt;height:36pt" o:ole="" fillcolor="window">
            <v:imagedata r:id="rId24" o:title=""/>
          </v:shape>
          <o:OLEObject Type="Embed" ProgID="Equation.3" ShapeID="_x0000_i1034" DrawAspect="Content" ObjectID="_1480246252" r:id="rId25"/>
        </w:object>
      </w:r>
    </w:p>
    <w:p w:rsidR="00A15B6F" w:rsidRPr="00A15B6F" w:rsidRDefault="00A15B6F" w:rsidP="00A15B6F">
      <w:pPr>
        <w:spacing w:line="240" w:lineRule="auto"/>
        <w:rPr>
          <w:rFonts w:ascii="Times New Roman" w:hAnsi="Times New Roman"/>
          <w:szCs w:val="22"/>
        </w:rPr>
      </w:pPr>
    </w:p>
    <w:p w:rsidR="00A15B6F" w:rsidRPr="00A15B6F" w:rsidRDefault="00A15B6F" w:rsidP="00A15B6F">
      <w:pPr>
        <w:spacing w:after="120" w:line="240" w:lineRule="auto"/>
        <w:ind w:left="1080" w:hanging="540"/>
        <w:rPr>
          <w:rFonts w:ascii="Times New Roman" w:hAnsi="Times New Roman"/>
          <w:szCs w:val="22"/>
        </w:rPr>
      </w:pPr>
      <w:r w:rsidRPr="00A15B6F">
        <w:rPr>
          <w:rFonts w:ascii="Times New Roman" w:hAnsi="Times New Roman"/>
          <w:szCs w:val="22"/>
        </w:rPr>
        <w:t>b.</w:t>
      </w:r>
      <w:r w:rsidRPr="00A15B6F">
        <w:rPr>
          <w:rFonts w:ascii="Times New Roman" w:hAnsi="Times New Roman"/>
          <w:szCs w:val="22"/>
        </w:rPr>
        <w:tab/>
        <w:t>The yield to maturity is the single discount rate that equates the present value of a series of cash flows to a current price.  It is the internal rate of return.</w:t>
      </w:r>
    </w:p>
    <w:p w:rsidR="00A15B6F" w:rsidRPr="00A15B6F" w:rsidRDefault="00A15B6F" w:rsidP="00A15B6F">
      <w:pPr>
        <w:pStyle w:val="2"/>
        <w:spacing w:after="120"/>
        <w:ind w:firstLine="0"/>
        <w:rPr>
          <w:rFonts w:ascii="Times New Roman" w:hAnsi="Times New Roman"/>
          <w:sz w:val="22"/>
          <w:szCs w:val="22"/>
        </w:rPr>
      </w:pPr>
      <w:r w:rsidRPr="00A15B6F">
        <w:rPr>
          <w:rFonts w:ascii="Times New Roman" w:hAnsi="Times New Roman"/>
          <w:sz w:val="22"/>
          <w:szCs w:val="22"/>
        </w:rPr>
        <w:t xml:space="preserve">The short rate for a given interval is the interest rate for that interval available at different points in time.  </w:t>
      </w:r>
    </w:p>
    <w:p w:rsidR="00A15B6F" w:rsidRPr="00A15B6F" w:rsidRDefault="00A15B6F" w:rsidP="00A15B6F">
      <w:pPr>
        <w:pStyle w:val="2"/>
        <w:spacing w:after="120"/>
        <w:ind w:firstLine="0"/>
        <w:rPr>
          <w:rFonts w:ascii="Times New Roman" w:hAnsi="Times New Roman"/>
          <w:sz w:val="22"/>
          <w:szCs w:val="22"/>
        </w:rPr>
      </w:pPr>
      <w:r w:rsidRPr="00A15B6F">
        <w:rPr>
          <w:rFonts w:ascii="Times New Roman" w:hAnsi="Times New Roman"/>
          <w:sz w:val="22"/>
          <w:szCs w:val="22"/>
        </w:rPr>
        <w:t>The spot rate for a given period is the yield to maturity on a zero-coupon bond that matures at the end of the period.  A spot rate is the discount rate for each period.  Spot rates are used to discount each cash flow of a coupon bond in order to calculate a current price.  Spot rates are the rates appropriate for discounting future cash flows of different maturities.</w:t>
      </w:r>
    </w:p>
    <w:p w:rsidR="00A15B6F" w:rsidRPr="00A15B6F" w:rsidRDefault="00A15B6F" w:rsidP="00A15B6F">
      <w:pPr>
        <w:spacing w:after="120" w:line="240" w:lineRule="auto"/>
        <w:ind w:left="1080"/>
        <w:rPr>
          <w:rFonts w:ascii="Times New Roman" w:hAnsi="Times New Roman"/>
          <w:szCs w:val="22"/>
        </w:rPr>
      </w:pPr>
      <w:r w:rsidRPr="00A15B6F">
        <w:rPr>
          <w:rFonts w:ascii="Times New Roman" w:hAnsi="Times New Roman"/>
          <w:szCs w:val="22"/>
        </w:rPr>
        <w:t>A forward rate is the implicit rate that links any two spot rates.  Forward rates are directly related to spot rates, and therefore to yield to maturity.  Some would argue (as in the expectations hypothesis) that forward rates are the market expectations of future interest rates.  A forward rate represents a break-even rate that links two spot rates.  It is important to note that forward rates link spot rates, not yields to maturity.</w:t>
      </w:r>
    </w:p>
    <w:p w:rsidR="00A15B6F" w:rsidRPr="00A15B6F" w:rsidRDefault="00A15B6F" w:rsidP="00A15B6F">
      <w:pPr>
        <w:spacing w:line="240" w:lineRule="auto"/>
        <w:ind w:left="1080"/>
        <w:rPr>
          <w:rFonts w:ascii="Times New Roman" w:hAnsi="Times New Roman"/>
          <w:szCs w:val="22"/>
        </w:rPr>
      </w:pPr>
      <w:r w:rsidRPr="00A15B6F">
        <w:rPr>
          <w:rFonts w:ascii="Times New Roman" w:hAnsi="Times New Roman"/>
          <w:szCs w:val="22"/>
        </w:rPr>
        <w:t>Yield to maturity is not unique for any particular maturity.  In other words, two bonds with the same maturity but different coupon rates may have different yields to maturity.  In contrast, spot rates and forward rates for each date</w:t>
      </w:r>
      <w:r w:rsidRPr="00A15B6F">
        <w:rPr>
          <w:rFonts w:ascii="Times New Roman" w:hAnsi="Times New Roman"/>
          <w:szCs w:val="22"/>
        </w:rPr>
        <w:t xml:space="preserve"> are unique.</w:t>
      </w:r>
    </w:p>
    <w:p w:rsidR="00A15B6F" w:rsidRPr="00A15B6F" w:rsidRDefault="00A15B6F" w:rsidP="00A15B6F">
      <w:pPr>
        <w:spacing w:after="120" w:line="240" w:lineRule="auto"/>
        <w:ind w:left="1094" w:hanging="547"/>
        <w:rPr>
          <w:rFonts w:ascii="Times New Roman" w:hAnsi="Times New Roman"/>
          <w:szCs w:val="22"/>
        </w:rPr>
      </w:pPr>
      <w:r w:rsidRPr="00A15B6F">
        <w:rPr>
          <w:rFonts w:ascii="Times New Roman" w:hAnsi="Times New Roman"/>
          <w:szCs w:val="22"/>
        </w:rPr>
        <w:t>c.</w:t>
      </w:r>
      <w:r w:rsidRPr="00A15B6F">
        <w:rPr>
          <w:rFonts w:ascii="Times New Roman" w:hAnsi="Times New Roman"/>
          <w:szCs w:val="22"/>
        </w:rPr>
        <w:tab/>
        <w:t>The 4-year spot rate is 7.16%.  Therefore, 7.16% is the theoretical yield to maturity for the zero-coupon U.S. Treasury note.  The price of the zero-coupon note discounted at 7.16% is the present value of $1,000 to be received in 4 years.  Using annual compounding:</w:t>
      </w:r>
    </w:p>
    <w:p w:rsidR="00A15B6F" w:rsidRPr="00A15B6F" w:rsidRDefault="00A15B6F" w:rsidP="00A15B6F">
      <w:pPr>
        <w:spacing w:line="240" w:lineRule="auto"/>
        <w:ind w:left="1620"/>
        <w:rPr>
          <w:rFonts w:ascii="Times New Roman" w:hAnsi="Times New Roman"/>
          <w:szCs w:val="22"/>
        </w:rPr>
      </w:pPr>
      <w:r w:rsidRPr="00A15B6F">
        <w:rPr>
          <w:rFonts w:ascii="Times New Roman" w:hAnsi="Times New Roman"/>
          <w:position w:val="-30"/>
          <w:szCs w:val="22"/>
        </w:rPr>
        <w:object w:dxaOrig="2620" w:dyaOrig="680">
          <v:shape id="_x0000_i1035" type="#_x0000_t75" style="width:131.25pt;height:33.75pt" o:ole="" fillcolor="window">
            <v:imagedata r:id="rId26" o:title=""/>
          </v:shape>
          <o:OLEObject Type="Embed" ProgID="Equation.3" ShapeID="_x0000_i1035" DrawAspect="Content" ObjectID="_1480246253" r:id="rId27"/>
        </w:object>
      </w:r>
    </w:p>
    <w:p w:rsidR="00A15B6F" w:rsidRPr="00A15B6F" w:rsidRDefault="00A15B6F" w:rsidP="00A15B6F">
      <w:pPr>
        <w:tabs>
          <w:tab w:val="left" w:pos="3150"/>
        </w:tabs>
        <w:spacing w:line="240" w:lineRule="auto"/>
        <w:rPr>
          <w:rFonts w:ascii="Times New Roman" w:hAnsi="Times New Roman"/>
          <w:szCs w:val="22"/>
        </w:rPr>
      </w:pPr>
    </w:p>
    <w:p w:rsidR="00A15B6F" w:rsidRPr="00A15B6F" w:rsidRDefault="00A15B6F" w:rsidP="00A15B6F">
      <w:pPr>
        <w:tabs>
          <w:tab w:val="left" w:pos="3150"/>
        </w:tabs>
        <w:spacing w:line="240" w:lineRule="auto"/>
        <w:rPr>
          <w:rFonts w:ascii="Times New Roman" w:hAnsi="Times New Roman"/>
          <w:szCs w:val="22"/>
        </w:rPr>
      </w:pPr>
    </w:p>
    <w:p w:rsidR="00A15B6F" w:rsidRPr="00A15B6F" w:rsidRDefault="00A15B6F" w:rsidP="00A15B6F">
      <w:pPr>
        <w:spacing w:line="240" w:lineRule="auto"/>
        <w:ind w:right="-260"/>
        <w:rPr>
          <w:rFonts w:ascii="Times New Roman" w:hAnsi="Times New Roman"/>
          <w:szCs w:val="22"/>
        </w:rPr>
      </w:pPr>
    </w:p>
    <w:p w:rsidR="00A15B6F" w:rsidRPr="00A15B6F" w:rsidRDefault="00A15B6F" w:rsidP="00A15B6F">
      <w:pPr>
        <w:spacing w:line="240" w:lineRule="auto"/>
        <w:rPr>
          <w:rFonts w:ascii="Times New Roman" w:hAnsi="Times New Roman"/>
          <w:b/>
          <w:bCs/>
          <w:szCs w:val="22"/>
        </w:rPr>
      </w:pPr>
    </w:p>
    <w:p w:rsidR="00A15B6F" w:rsidRPr="00A15B6F" w:rsidRDefault="00A15B6F" w:rsidP="00A15B6F">
      <w:pPr>
        <w:spacing w:line="240" w:lineRule="auto"/>
        <w:ind w:left="720" w:hanging="720"/>
        <w:rPr>
          <w:rFonts w:ascii="Times New Roman" w:hAnsi="Times New Roman"/>
          <w:szCs w:val="22"/>
        </w:rPr>
      </w:pPr>
    </w:p>
    <w:p w:rsidR="00A15B6F" w:rsidRPr="00A15B6F" w:rsidRDefault="00A15B6F" w:rsidP="00A15B6F">
      <w:pPr>
        <w:rPr>
          <w:rFonts w:ascii="Times New Roman" w:hAnsi="Times New Roman" w:cs="Times New Roman"/>
          <w:szCs w:val="22"/>
        </w:rPr>
      </w:pPr>
    </w:p>
    <w:sectPr w:rsidR="00A15B6F" w:rsidRPr="00A15B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E70B9"/>
    <w:multiLevelType w:val="hybridMultilevel"/>
    <w:tmpl w:val="F322E2BE"/>
    <w:lvl w:ilvl="0" w:tplc="DD3CC5E0">
      <w:start w:val="3"/>
      <w:numFmt w:val="lowerLetter"/>
      <w:lvlText w:val="%1."/>
      <w:lvlJc w:val="left"/>
      <w:pPr>
        <w:tabs>
          <w:tab w:val="num" w:pos="900"/>
        </w:tabs>
        <w:ind w:left="900" w:hanging="360"/>
      </w:pPr>
      <w:rPr>
        <w:rFonts w:hint="default"/>
      </w:rPr>
    </w:lvl>
    <w:lvl w:ilvl="1" w:tplc="9F286128" w:tentative="1">
      <w:start w:val="1"/>
      <w:numFmt w:val="lowerLetter"/>
      <w:lvlText w:val="%2."/>
      <w:lvlJc w:val="left"/>
      <w:pPr>
        <w:tabs>
          <w:tab w:val="num" w:pos="1620"/>
        </w:tabs>
        <w:ind w:left="1620" w:hanging="360"/>
      </w:pPr>
    </w:lvl>
    <w:lvl w:ilvl="2" w:tplc="CA92D69A" w:tentative="1">
      <w:start w:val="1"/>
      <w:numFmt w:val="lowerRoman"/>
      <w:lvlText w:val="%3."/>
      <w:lvlJc w:val="right"/>
      <w:pPr>
        <w:tabs>
          <w:tab w:val="num" w:pos="2340"/>
        </w:tabs>
        <w:ind w:left="2340" w:hanging="180"/>
      </w:pPr>
    </w:lvl>
    <w:lvl w:ilvl="3" w:tplc="7D64FC8E" w:tentative="1">
      <w:start w:val="1"/>
      <w:numFmt w:val="decimal"/>
      <w:lvlText w:val="%4."/>
      <w:lvlJc w:val="left"/>
      <w:pPr>
        <w:tabs>
          <w:tab w:val="num" w:pos="3060"/>
        </w:tabs>
        <w:ind w:left="3060" w:hanging="360"/>
      </w:pPr>
    </w:lvl>
    <w:lvl w:ilvl="4" w:tplc="7B1E8964" w:tentative="1">
      <w:start w:val="1"/>
      <w:numFmt w:val="lowerLetter"/>
      <w:lvlText w:val="%5."/>
      <w:lvlJc w:val="left"/>
      <w:pPr>
        <w:tabs>
          <w:tab w:val="num" w:pos="3780"/>
        </w:tabs>
        <w:ind w:left="3780" w:hanging="360"/>
      </w:pPr>
    </w:lvl>
    <w:lvl w:ilvl="5" w:tplc="2AEE3CB4" w:tentative="1">
      <w:start w:val="1"/>
      <w:numFmt w:val="lowerRoman"/>
      <w:lvlText w:val="%6."/>
      <w:lvlJc w:val="right"/>
      <w:pPr>
        <w:tabs>
          <w:tab w:val="num" w:pos="4500"/>
        </w:tabs>
        <w:ind w:left="4500" w:hanging="180"/>
      </w:pPr>
    </w:lvl>
    <w:lvl w:ilvl="6" w:tplc="194E4910" w:tentative="1">
      <w:start w:val="1"/>
      <w:numFmt w:val="decimal"/>
      <w:lvlText w:val="%7."/>
      <w:lvlJc w:val="left"/>
      <w:pPr>
        <w:tabs>
          <w:tab w:val="num" w:pos="5220"/>
        </w:tabs>
        <w:ind w:left="5220" w:hanging="360"/>
      </w:pPr>
    </w:lvl>
    <w:lvl w:ilvl="7" w:tplc="3B44FE80" w:tentative="1">
      <w:start w:val="1"/>
      <w:numFmt w:val="lowerLetter"/>
      <w:lvlText w:val="%8."/>
      <w:lvlJc w:val="left"/>
      <w:pPr>
        <w:tabs>
          <w:tab w:val="num" w:pos="5940"/>
        </w:tabs>
        <w:ind w:left="5940" w:hanging="360"/>
      </w:pPr>
    </w:lvl>
    <w:lvl w:ilvl="8" w:tplc="20C0E836" w:tentative="1">
      <w:start w:val="1"/>
      <w:numFmt w:val="lowerRoman"/>
      <w:lvlText w:val="%9."/>
      <w:lvlJc w:val="right"/>
      <w:pPr>
        <w:tabs>
          <w:tab w:val="num" w:pos="6660"/>
        </w:tabs>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B6F"/>
    <w:rsid w:val="007B44EF"/>
    <w:rsid w:val="00A15B6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15B6F"/>
    <w:pPr>
      <w:keepNext/>
      <w:spacing w:after="0" w:line="360" w:lineRule="auto"/>
      <w:ind w:left="720" w:hanging="720"/>
      <w:jc w:val="right"/>
      <w:outlineLvl w:val="0"/>
    </w:pPr>
    <w:rPr>
      <w:rFonts w:ascii="Times" w:eastAsia="Times New Roman" w:hAnsi="Times" w:cs="Times New Roman"/>
      <w:sz w:val="24"/>
      <w:szCs w:val="20"/>
      <w:u w:val="single"/>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rsid w:val="00A15B6F"/>
    <w:rPr>
      <w:rFonts w:ascii="Times" w:eastAsia="Times New Roman" w:hAnsi="Times" w:cs="Times New Roman"/>
      <w:sz w:val="24"/>
      <w:szCs w:val="20"/>
      <w:u w:val="single"/>
      <w:lang w:bidi="ar-SA"/>
    </w:rPr>
  </w:style>
  <w:style w:type="paragraph" w:styleId="2">
    <w:name w:val="Body Text Indent 2"/>
    <w:basedOn w:val="a"/>
    <w:link w:val="20"/>
    <w:rsid w:val="00A15B6F"/>
    <w:pPr>
      <w:tabs>
        <w:tab w:val="left" w:pos="540"/>
      </w:tabs>
      <w:spacing w:after="0" w:line="240" w:lineRule="auto"/>
      <w:ind w:left="1080" w:hanging="1080"/>
    </w:pPr>
    <w:rPr>
      <w:rFonts w:ascii="Times" w:eastAsia="Times New Roman" w:hAnsi="Times" w:cs="Times New Roman"/>
      <w:sz w:val="24"/>
      <w:szCs w:val="20"/>
      <w:lang w:bidi="ar-SA"/>
    </w:rPr>
  </w:style>
  <w:style w:type="character" w:customStyle="1" w:styleId="20">
    <w:name w:val="การเยื้องเนื้อความ 2 อักขระ"/>
    <w:basedOn w:val="a0"/>
    <w:link w:val="2"/>
    <w:rsid w:val="00A15B6F"/>
    <w:rPr>
      <w:rFonts w:ascii="Times" w:eastAsia="Times New Roman" w:hAnsi="Times" w:cs="Times New Roman"/>
      <w:sz w:val="24"/>
      <w:szCs w:val="20"/>
      <w:lang w:bidi="ar-SA"/>
    </w:rPr>
  </w:style>
  <w:style w:type="paragraph" w:styleId="a3">
    <w:name w:val="footer"/>
    <w:basedOn w:val="a"/>
    <w:link w:val="a4"/>
    <w:rsid w:val="00A15B6F"/>
    <w:pPr>
      <w:tabs>
        <w:tab w:val="center" w:pos="4320"/>
        <w:tab w:val="right" w:pos="8640"/>
      </w:tabs>
      <w:spacing w:after="0" w:line="480" w:lineRule="atLeast"/>
    </w:pPr>
    <w:rPr>
      <w:rFonts w:ascii="Times" w:eastAsia="Times New Roman" w:hAnsi="Times" w:cs="Times New Roman"/>
      <w:sz w:val="24"/>
      <w:szCs w:val="20"/>
      <w:lang w:bidi="ar-SA"/>
    </w:rPr>
  </w:style>
  <w:style w:type="character" w:customStyle="1" w:styleId="a4">
    <w:name w:val="ท้ายกระดาษ อักขระ"/>
    <w:basedOn w:val="a0"/>
    <w:link w:val="a3"/>
    <w:rsid w:val="00A15B6F"/>
    <w:rPr>
      <w:rFonts w:ascii="Times" w:eastAsia="Times New Roman" w:hAnsi="Times" w:cs="Times New Roman"/>
      <w:sz w:val="24"/>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15B6F"/>
    <w:pPr>
      <w:keepNext/>
      <w:spacing w:after="0" w:line="360" w:lineRule="auto"/>
      <w:ind w:left="720" w:hanging="720"/>
      <w:jc w:val="right"/>
      <w:outlineLvl w:val="0"/>
    </w:pPr>
    <w:rPr>
      <w:rFonts w:ascii="Times" w:eastAsia="Times New Roman" w:hAnsi="Times" w:cs="Times New Roman"/>
      <w:sz w:val="24"/>
      <w:szCs w:val="20"/>
      <w:u w:val="single"/>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rsid w:val="00A15B6F"/>
    <w:rPr>
      <w:rFonts w:ascii="Times" w:eastAsia="Times New Roman" w:hAnsi="Times" w:cs="Times New Roman"/>
      <w:sz w:val="24"/>
      <w:szCs w:val="20"/>
      <w:u w:val="single"/>
      <w:lang w:bidi="ar-SA"/>
    </w:rPr>
  </w:style>
  <w:style w:type="paragraph" w:styleId="2">
    <w:name w:val="Body Text Indent 2"/>
    <w:basedOn w:val="a"/>
    <w:link w:val="20"/>
    <w:rsid w:val="00A15B6F"/>
    <w:pPr>
      <w:tabs>
        <w:tab w:val="left" w:pos="540"/>
      </w:tabs>
      <w:spacing w:after="0" w:line="240" w:lineRule="auto"/>
      <w:ind w:left="1080" w:hanging="1080"/>
    </w:pPr>
    <w:rPr>
      <w:rFonts w:ascii="Times" w:eastAsia="Times New Roman" w:hAnsi="Times" w:cs="Times New Roman"/>
      <w:sz w:val="24"/>
      <w:szCs w:val="20"/>
      <w:lang w:bidi="ar-SA"/>
    </w:rPr>
  </w:style>
  <w:style w:type="character" w:customStyle="1" w:styleId="20">
    <w:name w:val="การเยื้องเนื้อความ 2 อักขระ"/>
    <w:basedOn w:val="a0"/>
    <w:link w:val="2"/>
    <w:rsid w:val="00A15B6F"/>
    <w:rPr>
      <w:rFonts w:ascii="Times" w:eastAsia="Times New Roman" w:hAnsi="Times" w:cs="Times New Roman"/>
      <w:sz w:val="24"/>
      <w:szCs w:val="20"/>
      <w:lang w:bidi="ar-SA"/>
    </w:rPr>
  </w:style>
  <w:style w:type="paragraph" w:styleId="a3">
    <w:name w:val="footer"/>
    <w:basedOn w:val="a"/>
    <w:link w:val="a4"/>
    <w:rsid w:val="00A15B6F"/>
    <w:pPr>
      <w:tabs>
        <w:tab w:val="center" w:pos="4320"/>
        <w:tab w:val="right" w:pos="8640"/>
      </w:tabs>
      <w:spacing w:after="0" w:line="480" w:lineRule="atLeast"/>
    </w:pPr>
    <w:rPr>
      <w:rFonts w:ascii="Times" w:eastAsia="Times New Roman" w:hAnsi="Times" w:cs="Times New Roman"/>
      <w:sz w:val="24"/>
      <w:szCs w:val="20"/>
      <w:lang w:bidi="ar-SA"/>
    </w:rPr>
  </w:style>
  <w:style w:type="character" w:customStyle="1" w:styleId="a4">
    <w:name w:val="ท้ายกระดาษ อักขระ"/>
    <w:basedOn w:val="a0"/>
    <w:link w:val="a3"/>
    <w:rsid w:val="00A15B6F"/>
    <w:rPr>
      <w:rFonts w:ascii="Times" w:eastAsia="Times New Roman" w:hAnsi="Times" w:cs="Times New Roman"/>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 Type="http://schemas.microsoft.com/office/2007/relationships/stylesWithEffects" Target="stylesWithEffect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1264</Words>
  <Characters>7206</Characters>
  <Application>Microsoft Office Word</Application>
  <DocSecurity>0</DocSecurity>
  <Lines>60</Lines>
  <Paragraphs>16</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8454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Hipp</dc:creator>
  <cp:lastModifiedBy>Hipp</cp:lastModifiedBy>
  <cp:revision>1</cp:revision>
  <dcterms:created xsi:type="dcterms:W3CDTF">2014-12-16T07:37:00Z</dcterms:created>
  <dcterms:modified xsi:type="dcterms:W3CDTF">2014-12-16T07:44:00Z</dcterms:modified>
</cp:coreProperties>
</file>