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0136C00E" w14:textId="77777777" w:rsidR="006C43D6" w:rsidRPr="006C43D6" w:rsidRDefault="00CB50B6" w:rsidP="006C43D6">
      <w:pPr>
        <w:pStyle w:val="NormalWeb"/>
        <w:spacing w:before="0" w:beforeAutospacing="0"/>
        <w:jc w:val="center"/>
        <w:rPr>
          <w:rFonts w:ascii="Helvetica Neue" w:hAnsi="Helvetica Neue"/>
          <w:b/>
          <w:color w:val="000000"/>
          <w:sz w:val="28"/>
          <w:szCs w:val="28"/>
        </w:rPr>
      </w:pPr>
      <w:r>
        <w:rPr>
          <w:rFonts w:ascii="Helvetica Neue" w:hAnsi="Helvetica Neue"/>
          <w:b/>
          <w:color w:val="000000"/>
          <w:sz w:val="28"/>
          <w:szCs w:val="28"/>
        </w:rPr>
        <w:t>Can Services Drive</w:t>
      </w:r>
      <w:bookmarkStart w:id="0" w:name="_GoBack"/>
      <w:bookmarkEnd w:id="0"/>
      <w:r w:rsidR="006C43D6" w:rsidRPr="006C43D6">
        <w:rPr>
          <w:rFonts w:ascii="Helvetica Neue" w:hAnsi="Helvetica Neue"/>
          <w:b/>
          <w:color w:val="000000"/>
          <w:sz w:val="28"/>
          <w:szCs w:val="28"/>
        </w:rPr>
        <w:t xml:space="preserve"> Developing Country Growth?</w:t>
      </w:r>
    </w:p>
    <w:p w14:paraId="2C72957B" w14:textId="77777777" w:rsidR="006C43D6" w:rsidRDefault="006C43D6" w:rsidP="006C43D6">
      <w:pPr>
        <w:pStyle w:val="NormalWeb"/>
        <w:spacing w:before="0" w:beforeAutospacing="0"/>
        <w:jc w:val="center"/>
        <w:rPr>
          <w:rFonts w:ascii="Helvetica Neue" w:hAnsi="Helvetica Neue"/>
          <w:color w:val="000000"/>
        </w:rPr>
      </w:pPr>
      <w:proofErr w:type="spellStart"/>
      <w:r>
        <w:rPr>
          <w:rFonts w:ascii="Helvetica Neue" w:hAnsi="Helvetica Neue"/>
          <w:color w:val="000000"/>
        </w:rPr>
        <w:t>Dani</w:t>
      </w:r>
      <w:proofErr w:type="spellEnd"/>
      <w:r>
        <w:rPr>
          <w:rFonts w:ascii="Helvetica Neue" w:hAnsi="Helvetica Neue"/>
          <w:color w:val="000000"/>
        </w:rPr>
        <w:t xml:space="preserve"> </w:t>
      </w:r>
      <w:proofErr w:type="spellStart"/>
      <w:r>
        <w:rPr>
          <w:rFonts w:ascii="Helvetica Neue" w:hAnsi="Helvetica Neue"/>
          <w:color w:val="000000"/>
        </w:rPr>
        <w:t>Rodrik</w:t>
      </w:r>
      <w:proofErr w:type="spellEnd"/>
    </w:p>
    <w:p w14:paraId="42DD5299" w14:textId="77777777" w:rsidR="006C43D6" w:rsidRDefault="006C43D6" w:rsidP="006C43D6">
      <w:pPr>
        <w:pStyle w:val="NormalWeb"/>
        <w:spacing w:before="0" w:beforeAutospacing="0"/>
        <w:jc w:val="center"/>
        <w:rPr>
          <w:rFonts w:ascii="Helvetica Neue" w:hAnsi="Helvetica Neue"/>
          <w:color w:val="000000"/>
        </w:rPr>
      </w:pPr>
      <w:r>
        <w:rPr>
          <w:rFonts w:ascii="Helvetica Neue" w:hAnsi="Helvetica Neue"/>
          <w:color w:val="000000"/>
        </w:rPr>
        <w:t>For: World Economic Forum and Project Syndicate</w:t>
      </w:r>
    </w:p>
    <w:p w14:paraId="3FB67E6D" w14:textId="77777777" w:rsidR="006C43D6" w:rsidRPr="006C43D6" w:rsidRDefault="006C43D6" w:rsidP="006C43D6">
      <w:pPr>
        <w:pStyle w:val="NormalWeb"/>
        <w:spacing w:before="0" w:beforeAutospacing="0"/>
        <w:jc w:val="center"/>
        <w:rPr>
          <w:rFonts w:ascii="Helvetica Neue" w:hAnsi="Helvetica Neue"/>
          <w:color w:val="000000"/>
        </w:rPr>
      </w:pPr>
      <w:r w:rsidRPr="006C43D6">
        <w:rPr>
          <w:rFonts w:ascii="Helvetica Neue" w:hAnsi="Helvetica Neue"/>
          <w:color w:val="000000"/>
          <w:sz w:val="16"/>
          <w:szCs w:val="16"/>
        </w:rPr>
        <w:t>https://www.weforum.org/agenda/2014/10/dani-rodrik-services-manufacturing-growth/</w:t>
      </w:r>
    </w:p>
    <w:p w14:paraId="571CFEA7" w14:textId="77777777" w:rsidR="006C43D6" w:rsidRDefault="006C43D6" w:rsidP="006C43D6">
      <w:pPr>
        <w:pStyle w:val="NormalWeb"/>
        <w:spacing w:before="0" w:beforeAutospacing="0"/>
        <w:rPr>
          <w:rFonts w:ascii="Helvetica Neue" w:hAnsi="Helvetica Neue"/>
          <w:color w:val="000000"/>
        </w:rPr>
      </w:pPr>
    </w:p>
    <w:p w14:paraId="0E622B75" w14:textId="77777777" w:rsidR="006C43D6" w:rsidRDefault="006C43D6" w:rsidP="006C43D6">
      <w:pPr>
        <w:pStyle w:val="NormalWeb"/>
        <w:spacing w:before="0" w:beforeAutospacing="0"/>
        <w:rPr>
          <w:rFonts w:ascii="Helvetica Neue" w:hAnsi="Helvetica Neue"/>
          <w:color w:val="000000"/>
        </w:rPr>
      </w:pPr>
      <w:r>
        <w:rPr>
          <w:rFonts w:ascii="Helvetica Neue" w:hAnsi="Helvetica Neue"/>
          <w:color w:val="000000"/>
        </w:rPr>
        <w:t>The global discussion about growth in the developing world has taken a sharp turn recently. The hype and excitement of recent years over the prospect of rapid catch-up with the advanced economies have evaporated. Few serious analysts still believe that the spectacular economic convergence experienced by Asian countries, and less spectacularly by most Latin American and African countries, will be sustained in the decades ahead. The low interest rates, high commodity prices, rapid globalization and post-Cold War stability that underpinned this extraordinary period are unlikely to persist.</w:t>
      </w:r>
    </w:p>
    <w:p w14:paraId="6729D25C" w14:textId="77777777" w:rsidR="006C43D6" w:rsidRDefault="006C43D6" w:rsidP="006C43D6">
      <w:pPr>
        <w:pStyle w:val="NormalWeb"/>
        <w:rPr>
          <w:rFonts w:ascii="Helvetica Neue" w:hAnsi="Helvetica Neue"/>
          <w:color w:val="000000"/>
        </w:rPr>
      </w:pPr>
      <w:r>
        <w:rPr>
          <w:rFonts w:ascii="Helvetica Neue" w:hAnsi="Helvetica Neue"/>
          <w:color w:val="000000"/>
        </w:rPr>
        <w:t>A second realization has sunk in: developing countries need a new growth model. The problem is not just that they need to wean themselves from their reliance on fickle capital inflows and commodity booms, which have often left them vulnerable to shocks and prone to crises. More important, export-oriented industrialization, history’s most certain path to riches, may have run its course.</w:t>
      </w:r>
    </w:p>
    <w:p w14:paraId="4A780FBA" w14:textId="77777777" w:rsidR="006C43D6" w:rsidRDefault="006C43D6" w:rsidP="006C43D6">
      <w:pPr>
        <w:pStyle w:val="NormalWeb"/>
        <w:rPr>
          <w:rFonts w:ascii="Helvetica Neue" w:hAnsi="Helvetica Neue"/>
          <w:color w:val="000000"/>
        </w:rPr>
      </w:pPr>
      <w:r>
        <w:rPr>
          <w:rFonts w:ascii="Helvetica Neue" w:hAnsi="Helvetica Neue"/>
          <w:color w:val="000000"/>
        </w:rPr>
        <w:t xml:space="preserve">Ever since the Industrial Revolution, manufacturing has been the key to rapid economic growth. The countries that caught up with and eventually surpassed Britain, such as Germany, the United States, and Japan, all did so by building up </w:t>
      </w:r>
      <w:proofErr w:type="gramStart"/>
      <w:r>
        <w:rPr>
          <w:rFonts w:ascii="Helvetica Neue" w:hAnsi="Helvetica Neue"/>
          <w:color w:val="000000"/>
        </w:rPr>
        <w:t>their</w:t>
      </w:r>
      <w:proofErr w:type="gramEnd"/>
      <w:r>
        <w:rPr>
          <w:rFonts w:ascii="Helvetica Neue" w:hAnsi="Helvetica Neue"/>
          <w:color w:val="000000"/>
        </w:rPr>
        <w:t xml:space="preserve"> manufacturing industries. Following the Second World War, there were two waves of rapid economic convergence: one in the European periphery during the 1950s and 1960s, and another in East Asia since the 1960s.</w:t>
      </w:r>
    </w:p>
    <w:p w14:paraId="7B003985" w14:textId="77777777" w:rsidR="006C43D6" w:rsidRDefault="006C43D6" w:rsidP="006C43D6">
      <w:pPr>
        <w:pStyle w:val="NormalWeb"/>
        <w:rPr>
          <w:rFonts w:ascii="Helvetica Neue" w:hAnsi="Helvetica Neue"/>
          <w:color w:val="000000"/>
        </w:rPr>
      </w:pPr>
      <w:r>
        <w:rPr>
          <w:rFonts w:ascii="Helvetica Neue" w:hAnsi="Helvetica Neue"/>
          <w:color w:val="000000"/>
        </w:rPr>
        <w:t>Both were based on industrial manufacturing. China, which has emerged as the archetype of this growth strategy since the 1970s, travelled a well-worn path.</w:t>
      </w:r>
    </w:p>
    <w:p w14:paraId="52AB932F" w14:textId="77777777" w:rsidR="006C43D6" w:rsidRDefault="006C43D6" w:rsidP="006C43D6">
      <w:pPr>
        <w:pStyle w:val="NormalWeb"/>
        <w:rPr>
          <w:rFonts w:ascii="Helvetica Neue" w:hAnsi="Helvetica Neue"/>
          <w:color w:val="000000"/>
        </w:rPr>
      </w:pPr>
      <w:r>
        <w:rPr>
          <w:rFonts w:ascii="Helvetica Neue" w:hAnsi="Helvetica Neue"/>
          <w:color w:val="000000"/>
        </w:rPr>
        <w:t xml:space="preserve">But manufacturing today is not what it used to be. It has become much more capital- and skill-intensive, with greatly diminished potential to absorb large amounts of </w:t>
      </w:r>
      <w:proofErr w:type="spellStart"/>
      <w:r>
        <w:rPr>
          <w:rFonts w:ascii="Helvetica Neue" w:hAnsi="Helvetica Neue"/>
          <w:color w:val="000000"/>
        </w:rPr>
        <w:t>labour</w:t>
      </w:r>
      <w:proofErr w:type="spellEnd"/>
      <w:r>
        <w:rPr>
          <w:rFonts w:ascii="Helvetica Neue" w:hAnsi="Helvetica Neue"/>
          <w:color w:val="000000"/>
        </w:rPr>
        <w:t xml:space="preserve"> from the countryside.</w:t>
      </w:r>
    </w:p>
    <w:p w14:paraId="1B3A5342" w14:textId="77777777" w:rsidR="006C43D6" w:rsidRDefault="006C43D6" w:rsidP="006C43D6">
      <w:pPr>
        <w:pStyle w:val="NormalWeb"/>
        <w:rPr>
          <w:rFonts w:ascii="Helvetica Neue" w:hAnsi="Helvetica Neue"/>
          <w:color w:val="000000"/>
        </w:rPr>
      </w:pPr>
      <w:r>
        <w:rPr>
          <w:rFonts w:ascii="Helvetica Neue" w:hAnsi="Helvetica Neue"/>
          <w:color w:val="000000"/>
        </w:rPr>
        <w:t>While global supply chains have facilitated entry into manufacturing, they have also reduced the gains in terms of value added that accrue at home. Many traditional industries, such as textiles and steel, are likely to face shrinking global markets and over-capacity, driven by demand shifts and environmental concerns. And one downside of China’s success is that many other countries are finding it much harder to establish more than a niche in manufacturing. As a consequence, developing countries are starting to de-industrialize and become more dependent on services at much lower levels of income than has been the pattern for developed countries – a phenomenon that I have called </w:t>
      </w:r>
      <w:hyperlink r:id="rId5" w:history="1">
        <w:r>
          <w:rPr>
            <w:rStyle w:val="Hyperlink"/>
            <w:rFonts w:ascii="Helvetica Neue" w:hAnsi="Helvetica Neue"/>
            <w:color w:val="005C9C"/>
            <w:u w:val="none"/>
          </w:rPr>
          <w:t>premature de-industrialization</w:t>
        </w:r>
      </w:hyperlink>
      <w:r>
        <w:rPr>
          <w:rFonts w:ascii="Helvetica Neue" w:hAnsi="Helvetica Neue"/>
          <w:color w:val="000000"/>
        </w:rPr>
        <w:t>.</w:t>
      </w:r>
    </w:p>
    <w:p w14:paraId="2798D502" w14:textId="77777777" w:rsidR="006C43D6" w:rsidRDefault="006C43D6" w:rsidP="006C43D6">
      <w:pPr>
        <w:pStyle w:val="NormalWeb"/>
        <w:rPr>
          <w:rFonts w:ascii="Helvetica Neue" w:hAnsi="Helvetica Neue"/>
          <w:color w:val="000000"/>
        </w:rPr>
      </w:pPr>
      <w:r>
        <w:rPr>
          <w:rFonts w:ascii="Helvetica Neue" w:hAnsi="Helvetica Neue"/>
          <w:color w:val="000000"/>
        </w:rPr>
        <w:t>Can service industries play the role that manufacturing did in the past? Already, </w:t>
      </w:r>
      <w:r>
        <w:rPr>
          <w:rFonts w:ascii="Helvetica Neue" w:hAnsi="Helvetica Neue"/>
          <w:color w:val="000000"/>
        </w:rPr>
        <w:fldChar w:fldCharType="begin"/>
      </w:r>
      <w:r>
        <w:rPr>
          <w:rFonts w:ascii="Helvetica Neue" w:hAnsi="Helvetica Neue"/>
          <w:color w:val="000000"/>
        </w:rPr>
        <w:instrText xml:space="preserve"> HYPERLINK "http://data.worldbank.org/indicator/NV.SRV.TETC.KD.ZG" \t "_blank" </w:instrText>
      </w:r>
      <w:r>
        <w:rPr>
          <w:rFonts w:ascii="Helvetica Neue" w:hAnsi="Helvetica Neue"/>
          <w:color w:val="000000"/>
        </w:rPr>
      </w:r>
      <w:r>
        <w:rPr>
          <w:rFonts w:ascii="Helvetica Neue" w:hAnsi="Helvetica Neue"/>
          <w:color w:val="000000"/>
        </w:rPr>
        <w:fldChar w:fldCharType="separate"/>
      </w:r>
      <w:r>
        <w:rPr>
          <w:rStyle w:val="Hyperlink"/>
          <w:rFonts w:ascii="Helvetica Neue" w:hAnsi="Helvetica Neue"/>
          <w:color w:val="005C9C"/>
          <w:u w:val="none"/>
        </w:rPr>
        <w:t>services contribute</w:t>
      </w:r>
      <w:r>
        <w:rPr>
          <w:rFonts w:ascii="Helvetica Neue" w:hAnsi="Helvetica Neue"/>
          <w:color w:val="000000"/>
        </w:rPr>
        <w:fldChar w:fldCharType="end"/>
      </w:r>
      <w:r>
        <w:rPr>
          <w:rFonts w:ascii="Helvetica Neue" w:hAnsi="Helvetica Neue"/>
          <w:color w:val="000000"/>
        </w:rPr>
        <w:t> the bulk of GDP in developing countries, even in low-income countries where agriculture has traditionally played a big part. Young workers who leave the farm for the cities are increasingly absorbed into urban services jobs instead of manufacturing. And international trade in services has tended to expand more rapidly than trade in goods.</w:t>
      </w:r>
    </w:p>
    <w:p w14:paraId="2D3072E3" w14:textId="77777777" w:rsidR="006C43D6" w:rsidRDefault="006C43D6" w:rsidP="006C43D6">
      <w:pPr>
        <w:pStyle w:val="NormalWeb"/>
        <w:rPr>
          <w:rFonts w:ascii="Helvetica Neue" w:hAnsi="Helvetica Neue"/>
          <w:color w:val="000000"/>
        </w:rPr>
      </w:pPr>
      <w:r>
        <w:rPr>
          <w:rFonts w:ascii="Helvetica Neue" w:hAnsi="Helvetica Neue"/>
          <w:color w:val="000000"/>
        </w:rPr>
        <w:lastRenderedPageBreak/>
        <w:t xml:space="preserve">Among the optimists are </w:t>
      </w:r>
      <w:proofErr w:type="spellStart"/>
      <w:r>
        <w:rPr>
          <w:rFonts w:ascii="Helvetica Neue" w:hAnsi="Helvetica Neue"/>
          <w:color w:val="000000"/>
        </w:rPr>
        <w:t>Ejaz</w:t>
      </w:r>
      <w:proofErr w:type="spellEnd"/>
      <w:r>
        <w:rPr>
          <w:rFonts w:ascii="Helvetica Neue" w:hAnsi="Helvetica Neue"/>
          <w:color w:val="000000"/>
        </w:rPr>
        <w:t xml:space="preserve"> </w:t>
      </w:r>
      <w:proofErr w:type="spellStart"/>
      <w:r>
        <w:rPr>
          <w:rFonts w:ascii="Helvetica Neue" w:hAnsi="Helvetica Neue"/>
          <w:color w:val="000000"/>
        </w:rPr>
        <w:t>Ghani</w:t>
      </w:r>
      <w:proofErr w:type="spellEnd"/>
      <w:r>
        <w:rPr>
          <w:rFonts w:ascii="Helvetica Neue" w:hAnsi="Helvetica Neue"/>
          <w:color w:val="000000"/>
        </w:rPr>
        <w:t xml:space="preserve"> and Stephen D. O’Connell of the World Bank. In a </w:t>
      </w:r>
      <w:r>
        <w:rPr>
          <w:rFonts w:ascii="Helvetica Neue" w:hAnsi="Helvetica Neue"/>
          <w:color w:val="000000"/>
        </w:rPr>
        <w:fldChar w:fldCharType="begin"/>
      </w:r>
      <w:r>
        <w:rPr>
          <w:rFonts w:ascii="Helvetica Neue" w:hAnsi="Helvetica Neue"/>
          <w:color w:val="000000"/>
        </w:rPr>
        <w:instrText xml:space="preserve"> HYPERLINK "http://documents.worldbank.org/curated/en/2014/07/19877603/can-service-growth-escalator-low-income-countries-can-service-growth-escalator-low-income-countries" \t "_blank" </w:instrText>
      </w:r>
      <w:r>
        <w:rPr>
          <w:rFonts w:ascii="Helvetica Neue" w:hAnsi="Helvetica Neue"/>
          <w:color w:val="000000"/>
        </w:rPr>
      </w:r>
      <w:r>
        <w:rPr>
          <w:rFonts w:ascii="Helvetica Neue" w:hAnsi="Helvetica Neue"/>
          <w:color w:val="000000"/>
        </w:rPr>
        <w:fldChar w:fldCharType="separate"/>
      </w:r>
      <w:r>
        <w:rPr>
          <w:rStyle w:val="Hyperlink"/>
          <w:rFonts w:ascii="Helvetica Neue" w:hAnsi="Helvetica Neue"/>
          <w:color w:val="005C9C"/>
          <w:u w:val="none"/>
        </w:rPr>
        <w:t>recent paper</w:t>
      </w:r>
      <w:r>
        <w:rPr>
          <w:rFonts w:ascii="Helvetica Neue" w:hAnsi="Helvetica Neue"/>
          <w:color w:val="000000"/>
        </w:rPr>
        <w:fldChar w:fldCharType="end"/>
      </w:r>
      <w:r>
        <w:rPr>
          <w:rFonts w:ascii="Helvetica Neue" w:hAnsi="Helvetica Neue"/>
          <w:color w:val="000000"/>
        </w:rPr>
        <w:t>, they argue that service industries could serve as a growth escalator, the role traditionally assumed by manufacturing.</w:t>
      </w:r>
    </w:p>
    <w:p w14:paraId="36B43B0B" w14:textId="77777777" w:rsidR="006C43D6" w:rsidRDefault="006C43D6" w:rsidP="006C43D6">
      <w:pPr>
        <w:pStyle w:val="NormalWeb"/>
        <w:rPr>
          <w:rFonts w:ascii="Helvetica Neue" w:hAnsi="Helvetica Neue"/>
          <w:color w:val="000000"/>
        </w:rPr>
      </w:pPr>
      <w:r>
        <w:rPr>
          <w:rFonts w:ascii="Helvetica Neue" w:hAnsi="Helvetica Neue"/>
          <w:color w:val="000000"/>
        </w:rPr>
        <w:t>In particular, they show that services have exhibited “unconditional convergence” in productivity recently. That is, countries furthest away from the global frontier of labor productivity have seen the fastest productivity growth in services.</w:t>
      </w:r>
    </w:p>
    <w:p w14:paraId="3B49E0E6" w14:textId="77777777" w:rsidR="006C43D6" w:rsidRDefault="006C43D6" w:rsidP="006C43D6">
      <w:pPr>
        <w:pStyle w:val="NormalWeb"/>
        <w:rPr>
          <w:rFonts w:ascii="Helvetica Neue" w:hAnsi="Helvetica Neue"/>
          <w:color w:val="000000"/>
        </w:rPr>
      </w:pPr>
      <w:r>
        <w:rPr>
          <w:rFonts w:ascii="Helvetica Neue" w:hAnsi="Helvetica Neue"/>
          <w:color w:val="000000"/>
        </w:rPr>
        <w:t xml:space="preserve">This would be very good news, but there are reasons to be wary. The </w:t>
      </w:r>
      <w:proofErr w:type="spellStart"/>
      <w:r>
        <w:rPr>
          <w:rFonts w:ascii="Helvetica Neue" w:hAnsi="Helvetica Neue"/>
          <w:color w:val="000000"/>
        </w:rPr>
        <w:t>Ghani</w:t>
      </w:r>
      <w:proofErr w:type="spellEnd"/>
      <w:r>
        <w:rPr>
          <w:rFonts w:ascii="Helvetica Neue" w:hAnsi="Helvetica Neue"/>
          <w:color w:val="000000"/>
        </w:rPr>
        <w:t>-O’Connell evidence includes data starting in the early 1990s, during which developing countries were experiencing economy-wide convergence, boosted by capital inflows and commodity windfalls. It is unclear whether their conclusions extend to other periods.</w:t>
      </w:r>
    </w:p>
    <w:p w14:paraId="1C45B179" w14:textId="77777777" w:rsidR="006C43D6" w:rsidRDefault="006C43D6" w:rsidP="006C43D6">
      <w:pPr>
        <w:pStyle w:val="NormalWeb"/>
        <w:rPr>
          <w:rFonts w:ascii="Helvetica Neue" w:hAnsi="Helvetica Neue"/>
          <w:color w:val="000000"/>
        </w:rPr>
      </w:pPr>
      <w:r>
        <w:rPr>
          <w:rFonts w:ascii="Helvetica Neue" w:hAnsi="Helvetica Neue"/>
          <w:color w:val="000000"/>
        </w:rPr>
        <w:t>Two things make services different from manufacturing. First, while some segments of services are tradable and are becoming more important in global commerce, these typically are highly skill-intensive sectors that employ comparatively few ordinary workers.</w:t>
      </w:r>
    </w:p>
    <w:p w14:paraId="38B6213C" w14:textId="77777777" w:rsidR="006C43D6" w:rsidRDefault="006C43D6" w:rsidP="006C43D6">
      <w:pPr>
        <w:pStyle w:val="NormalWeb"/>
        <w:rPr>
          <w:rFonts w:ascii="Helvetica Neue" w:hAnsi="Helvetica Neue"/>
          <w:color w:val="000000"/>
        </w:rPr>
      </w:pPr>
      <w:r>
        <w:rPr>
          <w:rFonts w:ascii="Helvetica Neue" w:hAnsi="Helvetica Neue"/>
          <w:color w:val="000000"/>
        </w:rPr>
        <w:t xml:space="preserve">Banking, finance, insurance and other business services, along with information and communications technology (ICT), are all high-productivity activities that pay high wages. They could act as growth escalators in economies where the work force is adequately trained. But developing economies typically have predominantly low-skilled </w:t>
      </w:r>
      <w:proofErr w:type="spellStart"/>
      <w:r>
        <w:rPr>
          <w:rFonts w:ascii="Helvetica Neue" w:hAnsi="Helvetica Neue"/>
          <w:color w:val="000000"/>
        </w:rPr>
        <w:t>labour</w:t>
      </w:r>
      <w:proofErr w:type="spellEnd"/>
      <w:r>
        <w:rPr>
          <w:rFonts w:ascii="Helvetica Neue" w:hAnsi="Helvetica Neue"/>
          <w:color w:val="000000"/>
        </w:rPr>
        <w:t xml:space="preserve"> forces. In such economies, tradable services cannot absorb more than a fraction of the </w:t>
      </w:r>
      <w:proofErr w:type="spellStart"/>
      <w:r>
        <w:rPr>
          <w:rFonts w:ascii="Helvetica Neue" w:hAnsi="Helvetica Neue"/>
          <w:color w:val="000000"/>
        </w:rPr>
        <w:t>labour</w:t>
      </w:r>
      <w:proofErr w:type="spellEnd"/>
      <w:r>
        <w:rPr>
          <w:rFonts w:ascii="Helvetica Neue" w:hAnsi="Helvetica Neue"/>
          <w:color w:val="000000"/>
        </w:rPr>
        <w:t xml:space="preserve"> supply.</w:t>
      </w:r>
    </w:p>
    <w:p w14:paraId="3E25D011" w14:textId="77777777" w:rsidR="006C43D6" w:rsidRDefault="006C43D6" w:rsidP="006C43D6">
      <w:pPr>
        <w:pStyle w:val="NormalWeb"/>
        <w:rPr>
          <w:rFonts w:ascii="Helvetica Neue" w:hAnsi="Helvetica Neue"/>
          <w:color w:val="000000"/>
        </w:rPr>
      </w:pPr>
      <w:r>
        <w:rPr>
          <w:rFonts w:ascii="Helvetica Neue" w:hAnsi="Helvetica Neue"/>
          <w:color w:val="000000"/>
        </w:rPr>
        <w:t>That is why, for all of its success, the ICT sector in India has not been a primary driver of economic growth. By contrast, traditional manufacturing could offer a large number of jobs to workers straight off the farm, at productivity levels three to four times that in agriculture.</w:t>
      </w:r>
    </w:p>
    <w:p w14:paraId="4BABEAC6" w14:textId="77777777" w:rsidR="006C43D6" w:rsidRDefault="006C43D6" w:rsidP="006C43D6">
      <w:pPr>
        <w:pStyle w:val="NormalWeb"/>
        <w:rPr>
          <w:rFonts w:ascii="Helvetica Neue" w:hAnsi="Helvetica Neue"/>
          <w:color w:val="000000"/>
        </w:rPr>
      </w:pPr>
      <w:r>
        <w:rPr>
          <w:rFonts w:ascii="Helvetica Neue" w:hAnsi="Helvetica Neue"/>
          <w:color w:val="000000"/>
        </w:rPr>
        <w:t xml:space="preserve">In today’s developing countries, the bulk of excess </w:t>
      </w:r>
      <w:proofErr w:type="spellStart"/>
      <w:r>
        <w:rPr>
          <w:rFonts w:ascii="Helvetica Neue" w:hAnsi="Helvetica Neue"/>
          <w:color w:val="000000"/>
        </w:rPr>
        <w:t>labour</w:t>
      </w:r>
      <w:proofErr w:type="spellEnd"/>
      <w:r>
        <w:rPr>
          <w:rFonts w:ascii="Helvetica Neue" w:hAnsi="Helvetica Neue"/>
          <w:color w:val="000000"/>
        </w:rPr>
        <w:t xml:space="preserve"> is absorbed in non-tradable services operating at very low levels of productivity, in activities such as retail trade and housework. In principle, many of these activities could benefit from better technologies, improved organization and greater formalization. But here the second difference between services and manufacturing comes into play.</w:t>
      </w:r>
    </w:p>
    <w:p w14:paraId="1D5A9C87" w14:textId="77777777" w:rsidR="006C43D6" w:rsidRDefault="006C43D6" w:rsidP="006C43D6">
      <w:pPr>
        <w:pStyle w:val="NormalWeb"/>
        <w:rPr>
          <w:rFonts w:ascii="Helvetica Neue" w:hAnsi="Helvetica Neue"/>
          <w:color w:val="000000"/>
        </w:rPr>
      </w:pPr>
      <w:r>
        <w:rPr>
          <w:rFonts w:ascii="Helvetica Neue" w:hAnsi="Helvetica Neue"/>
          <w:color w:val="000000"/>
        </w:rPr>
        <w:t>Partial productivity gains in non-tradable activities are ultimately self-limiting, because individual service activities cannot expand without turning their terms of trade against themselves – pushing down their own prices (and profitability). In manufacturing, small developing countries could thrive on the basis of a few export successes and diversify sequentially through time – t-shirts now, followed by the assembly of televisions and microwave ovens, and on up the chain of skill and value.</w:t>
      </w:r>
    </w:p>
    <w:p w14:paraId="38339E6A" w14:textId="77777777" w:rsidR="006C43D6" w:rsidRDefault="006C43D6" w:rsidP="006C43D6">
      <w:pPr>
        <w:pStyle w:val="NormalWeb"/>
        <w:rPr>
          <w:rFonts w:ascii="Helvetica Neue" w:hAnsi="Helvetica Neue"/>
          <w:color w:val="000000"/>
        </w:rPr>
      </w:pPr>
      <w:r>
        <w:rPr>
          <w:rFonts w:ascii="Helvetica Neue" w:hAnsi="Helvetica Neue"/>
          <w:color w:val="000000"/>
        </w:rPr>
        <w:t>By contrast, in services, where market size is limited by domestic demand, continued success requires complementary and simultaneous gains in productivity in the rest of the economy. Focusing on a few sectors yields no quick winning opportunities. Growth therefore must rely on the much slower accumulation of economy-wide capabilities in the form of human capital and institutions.</w:t>
      </w:r>
    </w:p>
    <w:p w14:paraId="2F512B44" w14:textId="77777777" w:rsidR="006C43D6" w:rsidRDefault="006C43D6" w:rsidP="006C43D6">
      <w:pPr>
        <w:pStyle w:val="NormalWeb"/>
        <w:rPr>
          <w:rFonts w:ascii="Helvetica Neue" w:hAnsi="Helvetica Neue"/>
          <w:color w:val="000000"/>
        </w:rPr>
      </w:pPr>
      <w:r>
        <w:rPr>
          <w:rFonts w:ascii="Helvetica Neue" w:hAnsi="Helvetica Neue"/>
          <w:color w:val="000000"/>
        </w:rPr>
        <w:t>So I remain skeptical that a services-led model can deliver rapid growth and good jobs in the way that manufacturing once did. Even if the technological optimists are right, it is difficult to see how that will enable developing countries to sustain the kind of growth they experienced over the last couple of decades.</w:t>
      </w:r>
    </w:p>
    <w:p w14:paraId="57F5929D" w14:textId="77777777" w:rsidR="005F1C1A" w:rsidRDefault="006C43D6" w:rsidP="006C43D6">
      <w:pPr>
        <w:pStyle w:val="NormalWeb"/>
      </w:pPr>
      <w:r>
        <w:rPr>
          <w:rStyle w:val="Emphasis"/>
          <w:rFonts w:ascii="Helvetica Neue" w:hAnsi="Helvetica Neue"/>
          <w:color w:val="000000"/>
        </w:rPr>
        <w:t>Published in collaboration with </w:t>
      </w:r>
      <w:hyperlink r:id="rId6" w:history="1">
        <w:r>
          <w:rPr>
            <w:rStyle w:val="Hyperlink"/>
            <w:rFonts w:ascii="Helvetica Neue" w:hAnsi="Helvetica Neue"/>
            <w:i/>
            <w:iCs/>
            <w:color w:val="005C9C"/>
            <w:u w:val="none"/>
          </w:rPr>
          <w:t>Project Syndicate</w:t>
        </w:r>
      </w:hyperlink>
      <w:r>
        <w:rPr>
          <w:rStyle w:val="Emphasis"/>
          <w:rFonts w:ascii="Helvetica Neue" w:hAnsi="Helvetica Neue"/>
          <w:color w:val="000000"/>
        </w:rPr>
        <w:t>.</w:t>
      </w:r>
      <w:r>
        <w:t xml:space="preserve"> </w:t>
      </w:r>
    </w:p>
    <w:sectPr w:rsidR="005F1C1A" w:rsidSect="005F1C1A">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mbria">
    <w:panose1 w:val="02040503050406030204"/>
    <w:charset w:val="00"/>
    <w:family w:val="auto"/>
    <w:pitch w:val="variable"/>
    <w:sig w:usb0="E00002FF" w:usb1="400004FF" w:usb2="00000000" w:usb3="00000000" w:csb0="0000019F" w:csb1="00000000"/>
  </w:font>
  <w:font w:name="ＭＳ 明朝">
    <w:charset w:val="4E"/>
    <w:family w:val="auto"/>
    <w:pitch w:val="variable"/>
    <w:sig w:usb0="00000001" w:usb1="08070000" w:usb2="00000010" w:usb3="00000000" w:csb0="00020000" w:csb1="00000000"/>
  </w:font>
  <w:font w:name="Times New Roman">
    <w:panose1 w:val="02020603050405020304"/>
    <w:charset w:val="00"/>
    <w:family w:val="auto"/>
    <w:pitch w:val="variable"/>
    <w:sig w:usb0="E0002AFF" w:usb1="C0007841" w:usb2="00000009" w:usb3="00000000" w:csb0="000001FF" w:csb1="00000000"/>
  </w:font>
  <w:font w:name="Times">
    <w:panose1 w:val="02000500000000000000"/>
    <w:charset w:val="00"/>
    <w:family w:val="auto"/>
    <w:pitch w:val="variable"/>
    <w:sig w:usb0="00000003" w:usb1="00000000" w:usb2="00000000" w:usb3="00000000" w:csb0="00000001" w:csb1="00000000"/>
  </w:font>
  <w:font w:name="Helvetica Neue">
    <w:panose1 w:val="02000503000000020004"/>
    <w:charset w:val="00"/>
    <w:family w:val="auto"/>
    <w:pitch w:val="variable"/>
    <w:sig w:usb0="E50002FF" w:usb1="500079DB" w:usb2="00000010" w:usb3="00000000" w:csb0="00000001" w:csb1="00000000"/>
  </w:font>
  <w:font w:name="Arial">
    <w:panose1 w:val="020B0604020202020204"/>
    <w:charset w:val="00"/>
    <w:family w:val="auto"/>
    <w:pitch w:val="variable"/>
    <w:sig w:usb0="E0002AFF" w:usb1="C0007843" w:usb2="00000009" w:usb3="00000000" w:csb0="000001FF" w:csb1="00000000"/>
  </w:font>
  <w:font w:name="ＭＳ ゴシック">
    <w:charset w:val="4E"/>
    <w:family w:val="auto"/>
    <w:pitch w:val="variable"/>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200"/>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C43D6"/>
    <w:rsid w:val="005F1C1A"/>
    <w:rsid w:val="006C43D6"/>
    <w:rsid w:val="00CB50B6"/>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ocId w14:val="296CB778"/>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lang w:val="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6C43D6"/>
    <w:pPr>
      <w:spacing w:before="100" w:beforeAutospacing="1" w:after="100" w:afterAutospacing="1"/>
    </w:pPr>
    <w:rPr>
      <w:rFonts w:ascii="Times" w:hAnsi="Times" w:cs="Times New Roman"/>
      <w:sz w:val="20"/>
      <w:szCs w:val="20"/>
      <w:lang w:val="en-US"/>
    </w:rPr>
  </w:style>
  <w:style w:type="character" w:styleId="Hyperlink">
    <w:name w:val="Hyperlink"/>
    <w:basedOn w:val="DefaultParagraphFont"/>
    <w:uiPriority w:val="99"/>
    <w:semiHidden/>
    <w:unhideWhenUsed/>
    <w:rsid w:val="006C43D6"/>
    <w:rPr>
      <w:color w:val="0000FF"/>
      <w:u w:val="single"/>
    </w:rPr>
  </w:style>
  <w:style w:type="character" w:styleId="Emphasis">
    <w:name w:val="Emphasis"/>
    <w:basedOn w:val="DefaultParagraphFont"/>
    <w:uiPriority w:val="20"/>
    <w:qFormat/>
    <w:rsid w:val="006C43D6"/>
    <w:rPr>
      <w:i/>
      <w:iCs/>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lang w:val="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6C43D6"/>
    <w:pPr>
      <w:spacing w:before="100" w:beforeAutospacing="1" w:after="100" w:afterAutospacing="1"/>
    </w:pPr>
    <w:rPr>
      <w:rFonts w:ascii="Times" w:hAnsi="Times" w:cs="Times New Roman"/>
      <w:sz w:val="20"/>
      <w:szCs w:val="20"/>
      <w:lang w:val="en-US"/>
    </w:rPr>
  </w:style>
  <w:style w:type="character" w:styleId="Hyperlink">
    <w:name w:val="Hyperlink"/>
    <w:basedOn w:val="DefaultParagraphFont"/>
    <w:uiPriority w:val="99"/>
    <w:semiHidden/>
    <w:unhideWhenUsed/>
    <w:rsid w:val="006C43D6"/>
    <w:rPr>
      <w:color w:val="0000FF"/>
      <w:u w:val="single"/>
    </w:rPr>
  </w:style>
  <w:style w:type="character" w:styleId="Emphasis">
    <w:name w:val="Emphasis"/>
    <w:basedOn w:val="DefaultParagraphFont"/>
    <w:uiPriority w:val="20"/>
    <w:qFormat/>
    <w:rsid w:val="006C43D6"/>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301039662">
      <w:bodyDiv w:val="1"/>
      <w:marLeft w:val="0"/>
      <w:marRight w:val="0"/>
      <w:marTop w:val="0"/>
      <w:marBottom w:val="0"/>
      <w:divBdr>
        <w:top w:val="none" w:sz="0" w:space="0" w:color="auto"/>
        <w:left w:val="none" w:sz="0" w:space="0" w:color="auto"/>
        <w:bottom w:val="none" w:sz="0" w:space="0" w:color="auto"/>
        <w:right w:val="none" w:sz="0" w:space="0" w:color="auto"/>
      </w:divBdr>
    </w:div>
  </w:divs>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hyperlink" Target="http://www.project-syndicate.org/commentary/dani-rodrikdeveloping-economies--missing-manufacturing" TargetMode="External"/><Relationship Id="rId6" Type="http://schemas.openxmlformats.org/officeDocument/2006/relationships/hyperlink" Target="https://www.project-syndicate.org/commentary/are-services-the-new-manufactures-by-dani-rodrik-2014-10" TargetMode="Externa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styles" Target="styles.xml"/><Relationship Id="rId2" Type="http://schemas.microsoft.com/office/2007/relationships/stylesWithEffects" Target="stylesWithEffect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5</TotalTime>
  <Pages>2</Pages>
  <Words>1055</Words>
  <Characters>6018</Characters>
  <Application>Microsoft Macintosh Word</Application>
  <DocSecurity>0</DocSecurity>
  <Lines>50</Lines>
  <Paragraphs>14</Paragraphs>
  <ScaleCrop>false</ScaleCrop>
  <Company/>
  <LinksUpToDate>false</LinksUpToDate>
  <CharactersWithSpaces>7059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Akiko Vandenberg</dc:creator>
  <cp:keywords/>
  <dc:description/>
  <cp:lastModifiedBy>Akiko Vandenberg</cp:lastModifiedBy>
  <cp:revision>2</cp:revision>
  <dcterms:created xsi:type="dcterms:W3CDTF">2018-11-26T00:26:00Z</dcterms:created>
  <dcterms:modified xsi:type="dcterms:W3CDTF">2018-11-26T00:52:00Z</dcterms:modified>
</cp:coreProperties>
</file>