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D8B7E" w14:textId="77777777" w:rsidR="00696668" w:rsidRDefault="00457F4B">
      <w:pPr>
        <w:pStyle w:val="TitleA"/>
        <w:ind w:right="19"/>
      </w:pPr>
      <w:r>
        <w:t>EE 421  Mathematical Economics I</w:t>
      </w:r>
    </w:p>
    <w:p w14:paraId="4CFD0B68" w14:textId="77777777" w:rsidR="00696668" w:rsidRDefault="00696668">
      <w:pPr>
        <w:ind w:right="19"/>
        <w:jc w:val="center"/>
        <w:rPr>
          <w:b/>
          <w:bCs/>
          <w:sz w:val="32"/>
          <w:szCs w:val="32"/>
        </w:rPr>
      </w:pPr>
    </w:p>
    <w:p w14:paraId="22AB7C2F" w14:textId="77777777" w:rsidR="00696668" w:rsidRDefault="00696668">
      <w:pPr>
        <w:ind w:right="19"/>
        <w:jc w:val="center"/>
        <w:rPr>
          <w:b/>
          <w:bCs/>
          <w:sz w:val="32"/>
          <w:szCs w:val="32"/>
        </w:rPr>
      </w:pPr>
    </w:p>
    <w:p w14:paraId="27C7E407" w14:textId="77777777" w:rsidR="00696668" w:rsidRDefault="00457F4B">
      <w:pPr>
        <w:ind w:right="19"/>
        <w:jc w:val="center"/>
        <w:rPr>
          <w:b/>
          <w:bCs/>
          <w:sz w:val="28"/>
          <w:szCs w:val="28"/>
        </w:rPr>
      </w:pPr>
      <w:r>
        <w:rPr>
          <w:b/>
          <w:bCs/>
          <w:sz w:val="28"/>
          <w:szCs w:val="28"/>
        </w:rPr>
        <w:t>Chapter 1  Introduction</w:t>
      </w:r>
    </w:p>
    <w:p w14:paraId="3A83A8ED" w14:textId="77777777" w:rsidR="00696668" w:rsidRDefault="00696668">
      <w:pPr>
        <w:ind w:right="19"/>
        <w:jc w:val="center"/>
        <w:rPr>
          <w:b/>
          <w:bCs/>
          <w:sz w:val="28"/>
          <w:szCs w:val="28"/>
        </w:rPr>
      </w:pPr>
    </w:p>
    <w:p w14:paraId="67F45167" w14:textId="77777777" w:rsidR="00696668" w:rsidRDefault="00457F4B">
      <w:pPr>
        <w:ind w:right="19"/>
        <w:jc w:val="both"/>
      </w:pPr>
      <w:r>
        <w:tab/>
        <w:t>There are two approaches of learning Mathematical Economics:</w:t>
      </w:r>
    </w:p>
    <w:p w14:paraId="22E3DD4C" w14:textId="77777777" w:rsidR="00696668" w:rsidRDefault="00696668">
      <w:pPr>
        <w:ind w:right="19"/>
        <w:jc w:val="both"/>
      </w:pPr>
    </w:p>
    <w:p w14:paraId="1AAD7046" w14:textId="46E154A9" w:rsidR="00696668" w:rsidRDefault="00457F4B" w:rsidP="001D4DF1">
      <w:pPr>
        <w:pStyle w:val="ListParagraph"/>
        <w:numPr>
          <w:ilvl w:val="0"/>
          <w:numId w:val="14"/>
        </w:numPr>
        <w:ind w:right="19"/>
        <w:jc w:val="both"/>
      </w:pPr>
      <w:r>
        <w:t>Economics explained mathematically, see Mas-</w:t>
      </w:r>
      <w:proofErr w:type="spellStart"/>
      <w:r>
        <w:t>Colell</w:t>
      </w:r>
      <w:proofErr w:type="spellEnd"/>
      <w:r>
        <w:t xml:space="preserve"> , et. al., [ 1995], Varian [1992], </w:t>
      </w:r>
      <w:proofErr w:type="spellStart"/>
      <w:r>
        <w:t>Luenberger</w:t>
      </w:r>
      <w:proofErr w:type="spellEnd"/>
      <w:r>
        <w:t xml:space="preserve"> [1995] and Jehle [2001].</w:t>
      </w:r>
    </w:p>
    <w:p w14:paraId="0AB8E1BC" w14:textId="72655B41" w:rsidR="00696668" w:rsidRDefault="00457F4B" w:rsidP="001D4DF1">
      <w:pPr>
        <w:pStyle w:val="ListParagraph"/>
        <w:numPr>
          <w:ilvl w:val="0"/>
          <w:numId w:val="14"/>
        </w:numPr>
        <w:ind w:right="19"/>
        <w:jc w:val="both"/>
      </w:pPr>
      <w:r>
        <w:t xml:space="preserve">Mathematics with Economics examples, see Simon and Blume [1994], </w:t>
      </w:r>
      <w:proofErr w:type="spellStart"/>
      <w:r>
        <w:t>Sydsaeter</w:t>
      </w:r>
      <w:proofErr w:type="spellEnd"/>
      <w:r>
        <w:t xml:space="preserve"> and Hammond [1995] and Chiang and Wainwright [2005].</w:t>
      </w:r>
    </w:p>
    <w:p w14:paraId="71B89487" w14:textId="77777777" w:rsidR="00696668" w:rsidRDefault="00696668">
      <w:pPr>
        <w:ind w:right="19"/>
        <w:jc w:val="both"/>
      </w:pPr>
    </w:p>
    <w:p w14:paraId="5126F7D4" w14:textId="77777777" w:rsidR="00696668" w:rsidRDefault="00457F4B">
      <w:pPr>
        <w:ind w:right="19"/>
        <w:jc w:val="both"/>
      </w:pPr>
      <w:r>
        <w:t xml:space="preserve">We will adopt the second approach and use  </w:t>
      </w:r>
      <w:proofErr w:type="spellStart"/>
      <w:r>
        <w:t>Baldani</w:t>
      </w:r>
      <w:proofErr w:type="spellEnd"/>
      <w:r>
        <w:t>, et. al., [2005] as the textbook for this class.</w:t>
      </w:r>
    </w:p>
    <w:p w14:paraId="5EFE525C" w14:textId="77777777" w:rsidR="00696668" w:rsidRDefault="00696668">
      <w:pPr>
        <w:ind w:right="19"/>
        <w:jc w:val="both"/>
      </w:pPr>
    </w:p>
    <w:p w14:paraId="5DAA8529" w14:textId="77777777" w:rsidR="00696668" w:rsidRDefault="00457F4B">
      <w:pPr>
        <w:ind w:right="19"/>
        <w:jc w:val="both"/>
        <w:rPr>
          <w:b/>
          <w:bCs/>
        </w:rPr>
      </w:pPr>
      <w:r>
        <w:rPr>
          <w:b/>
          <w:bCs/>
          <w:sz w:val="28"/>
          <w:szCs w:val="28"/>
        </w:rPr>
        <w:t>1.1 Mathematical Economic Model</w:t>
      </w:r>
      <w:r>
        <w:rPr>
          <w:b/>
          <w:bCs/>
        </w:rPr>
        <w:t xml:space="preserve"> </w:t>
      </w:r>
      <w:r>
        <w:t>is a collection of assumptions about:</w:t>
      </w:r>
    </w:p>
    <w:p w14:paraId="71C36BC1" w14:textId="77777777" w:rsidR="00696668" w:rsidRDefault="00457F4B">
      <w:pPr>
        <w:numPr>
          <w:ilvl w:val="0"/>
          <w:numId w:val="1"/>
        </w:numPr>
        <w:ind w:right="19"/>
        <w:jc w:val="both"/>
        <w:rPr>
          <w:b/>
          <w:bCs/>
        </w:rPr>
      </w:pPr>
      <w:r>
        <w:rPr>
          <w:b/>
          <w:bCs/>
        </w:rPr>
        <w:t xml:space="preserve">Who are the Economic Agents:  </w:t>
      </w:r>
      <w:r>
        <w:t>Consumers, workers, firms, nations and governments--those who can make decisions and pursue goals (objective function).</w:t>
      </w:r>
    </w:p>
    <w:p w14:paraId="7109C099" w14:textId="77777777" w:rsidR="00696668" w:rsidRDefault="00457F4B">
      <w:pPr>
        <w:numPr>
          <w:ilvl w:val="0"/>
          <w:numId w:val="1"/>
        </w:numPr>
        <w:ind w:right="19"/>
        <w:jc w:val="both"/>
        <w:rPr>
          <w:b/>
          <w:bCs/>
        </w:rPr>
      </w:pPr>
      <w:r>
        <w:rPr>
          <w:b/>
          <w:bCs/>
        </w:rPr>
        <w:t xml:space="preserve">Which are Endogeneous Variables:  </w:t>
      </w:r>
      <w:r>
        <w:t>Endogeneous variables are economic values directly controlled (</w:t>
      </w:r>
      <w:r>
        <w:rPr>
          <w:b/>
          <w:bCs/>
          <w:i/>
          <w:iCs/>
        </w:rPr>
        <w:t>decision variables</w:t>
      </w:r>
      <w:r>
        <w:t>) or indirectly affected (</w:t>
      </w:r>
      <w:r>
        <w:rPr>
          <w:b/>
          <w:bCs/>
          <w:i/>
          <w:iCs/>
        </w:rPr>
        <w:t>auxiliary variables</w:t>
      </w:r>
      <w:r>
        <w:t xml:space="preserve">) by the agents’ decisions.  These variables are determined </w:t>
      </w:r>
      <w:proofErr w:type="spellStart"/>
      <w:r>
        <w:t>endogeneously</w:t>
      </w:r>
      <w:proofErr w:type="spellEnd"/>
      <w:r>
        <w:t xml:space="preserve"> </w:t>
      </w:r>
    </w:p>
    <w:p w14:paraId="1E2EA698" w14:textId="77777777" w:rsidR="00696668" w:rsidRDefault="00457F4B">
      <w:pPr>
        <w:numPr>
          <w:ilvl w:val="0"/>
          <w:numId w:val="1"/>
        </w:numPr>
        <w:ind w:right="19"/>
        <w:jc w:val="both"/>
        <w:rPr>
          <w:b/>
          <w:bCs/>
        </w:rPr>
      </w:pPr>
      <w:r>
        <w:rPr>
          <w:b/>
          <w:bCs/>
        </w:rPr>
        <w:t xml:space="preserve">Which are Exogeneous Variables:  </w:t>
      </w:r>
      <w:r>
        <w:t xml:space="preserve">Exogeneous variables are the economic values that are not changed or controlled by agents’ decision.  Sometimes called </w:t>
      </w:r>
      <w:r>
        <w:rPr>
          <w:b/>
          <w:bCs/>
          <w:i/>
          <w:iCs/>
        </w:rPr>
        <w:t>parameters</w:t>
      </w:r>
      <w:r>
        <w:rPr>
          <w:i/>
          <w:iCs/>
        </w:rPr>
        <w:t xml:space="preserve"> </w:t>
      </w:r>
      <w:r>
        <w:t>and are determined outside the model.</w:t>
      </w:r>
    </w:p>
    <w:p w14:paraId="7EB9D62E" w14:textId="77777777" w:rsidR="00696668" w:rsidRDefault="00457F4B">
      <w:pPr>
        <w:numPr>
          <w:ilvl w:val="0"/>
          <w:numId w:val="1"/>
        </w:numPr>
        <w:ind w:right="19"/>
        <w:jc w:val="both"/>
        <w:rPr>
          <w:b/>
          <w:bCs/>
        </w:rPr>
      </w:pPr>
      <w:r>
        <w:rPr>
          <w:b/>
          <w:bCs/>
        </w:rPr>
        <w:t xml:space="preserve">How the Endogeneous and Exogeneous are interrelated.  </w:t>
      </w:r>
      <w:r>
        <w:t>The relationship among these variables in functional forms.  This relationship could be</w:t>
      </w:r>
    </w:p>
    <w:p w14:paraId="3A5A8F0F" w14:textId="77777777" w:rsidR="00696668" w:rsidRDefault="00457F4B">
      <w:pPr>
        <w:numPr>
          <w:ilvl w:val="0"/>
          <w:numId w:val="3"/>
        </w:numPr>
        <w:ind w:right="19"/>
        <w:jc w:val="both"/>
        <w:rPr>
          <w:b/>
          <w:bCs/>
        </w:rPr>
      </w:pPr>
      <w:r>
        <w:t>structural equations.</w:t>
      </w:r>
    </w:p>
    <w:p w14:paraId="3F2EFF1A" w14:textId="77777777" w:rsidR="00696668" w:rsidRDefault="00457F4B">
      <w:pPr>
        <w:numPr>
          <w:ilvl w:val="0"/>
          <w:numId w:val="3"/>
        </w:numPr>
        <w:ind w:right="19"/>
        <w:jc w:val="both"/>
        <w:rPr>
          <w:b/>
          <w:bCs/>
        </w:rPr>
      </w:pPr>
      <w:r>
        <w:t>equality or inequality constraints.</w:t>
      </w:r>
    </w:p>
    <w:p w14:paraId="08FD5B52" w14:textId="77777777" w:rsidR="00696668" w:rsidRDefault="00696668">
      <w:pPr>
        <w:ind w:right="19"/>
        <w:jc w:val="both"/>
        <w:rPr>
          <w:b/>
          <w:bCs/>
        </w:rPr>
      </w:pPr>
    </w:p>
    <w:p w14:paraId="7AA50837" w14:textId="6387A715" w:rsidR="00696668" w:rsidRDefault="00457F4B">
      <w:pPr>
        <w:ind w:right="19"/>
        <w:jc w:val="both"/>
      </w:pPr>
      <w:r>
        <w:t>Note:  The assumptions are not expected to be a complete representation of reality.  The purpose of model building is to specify the simplest model that can explain a given economic phenomenon.</w:t>
      </w:r>
    </w:p>
    <w:p w14:paraId="6621AA04" w14:textId="77777777" w:rsidR="001D4DF1" w:rsidRDefault="001D4DF1">
      <w:pPr>
        <w:ind w:right="19"/>
        <w:jc w:val="both"/>
      </w:pPr>
    </w:p>
    <w:p w14:paraId="2839255C" w14:textId="77777777" w:rsidR="00696668" w:rsidRDefault="00457F4B">
      <w:pPr>
        <w:ind w:right="19"/>
        <w:jc w:val="both"/>
      </w:pPr>
      <w:r>
        <w:rPr>
          <w:b/>
          <w:bCs/>
          <w:sz w:val="28"/>
          <w:szCs w:val="28"/>
        </w:rPr>
        <w:t>1.2 Use of Economic Model</w:t>
      </w:r>
    </w:p>
    <w:p w14:paraId="335B0C2B" w14:textId="77777777" w:rsidR="00696668" w:rsidRDefault="00457F4B">
      <w:pPr>
        <w:numPr>
          <w:ilvl w:val="0"/>
          <w:numId w:val="4"/>
        </w:numPr>
        <w:ind w:right="19"/>
        <w:jc w:val="both"/>
        <w:rPr>
          <w:b/>
          <w:bCs/>
        </w:rPr>
      </w:pPr>
      <w:r>
        <w:lastRenderedPageBreak/>
        <w:t>Use mathematical solution method to find the best decision the agents can make.  This is represented as the best values of the decision variables--optimal solution.</w:t>
      </w:r>
    </w:p>
    <w:p w14:paraId="46EEADFB" w14:textId="77777777" w:rsidR="00696668" w:rsidRDefault="00457F4B">
      <w:pPr>
        <w:numPr>
          <w:ilvl w:val="0"/>
          <w:numId w:val="4"/>
        </w:numPr>
        <w:ind w:right="19"/>
        <w:jc w:val="both"/>
        <w:rPr>
          <w:b/>
          <w:bCs/>
        </w:rPr>
      </w:pPr>
      <w:r>
        <w:t>Perform the sensitivity analysis.  How a change in the value of an exogeneous variable affects</w:t>
      </w:r>
    </w:p>
    <w:p w14:paraId="4D95404A" w14:textId="77777777" w:rsidR="00696668" w:rsidRDefault="00457F4B">
      <w:pPr>
        <w:numPr>
          <w:ilvl w:val="1"/>
          <w:numId w:val="6"/>
        </w:numPr>
        <w:ind w:right="19"/>
        <w:jc w:val="both"/>
      </w:pPr>
      <w:r>
        <w:t>the endogeneous variables (</w:t>
      </w:r>
      <w:r>
        <w:rPr>
          <w:b/>
          <w:bCs/>
        </w:rPr>
        <w:t>Implicit Function Theorem</w:t>
      </w:r>
      <w:r>
        <w:t xml:space="preserve">) </w:t>
      </w:r>
    </w:p>
    <w:p w14:paraId="71D02302" w14:textId="77777777" w:rsidR="00696668" w:rsidRDefault="00457F4B">
      <w:pPr>
        <w:numPr>
          <w:ilvl w:val="1"/>
          <w:numId w:val="6"/>
        </w:numPr>
        <w:ind w:right="19"/>
        <w:jc w:val="both"/>
      </w:pPr>
      <w:r>
        <w:t>objective function. (</w:t>
      </w:r>
      <w:r>
        <w:rPr>
          <w:b/>
          <w:bCs/>
        </w:rPr>
        <w:t>Envelope Theorem</w:t>
      </w:r>
      <w:r>
        <w:t>)</w:t>
      </w:r>
    </w:p>
    <w:p w14:paraId="58DBF28B" w14:textId="77777777" w:rsidR="00696668" w:rsidRDefault="00696668">
      <w:pPr>
        <w:ind w:left="600" w:right="19"/>
        <w:jc w:val="both"/>
      </w:pPr>
    </w:p>
    <w:p w14:paraId="08F4B137" w14:textId="77777777" w:rsidR="00696668" w:rsidRDefault="00457F4B">
      <w:pPr>
        <w:ind w:right="19"/>
        <w:jc w:val="both"/>
      </w:pPr>
      <w:r>
        <w:rPr>
          <w:b/>
          <w:bCs/>
          <w:sz w:val="28"/>
          <w:szCs w:val="28"/>
        </w:rPr>
        <w:t>1.3 An Example of Mathematical Models</w:t>
      </w:r>
      <w:r>
        <w:rPr>
          <w:b/>
          <w:bCs/>
        </w:rPr>
        <w:t xml:space="preserve">  </w:t>
      </w:r>
      <w:r>
        <w:t>Consider a firm in a perfectly competitive market.  We have the following assumptions:</w:t>
      </w:r>
    </w:p>
    <w:p w14:paraId="2E3F41FB" w14:textId="77777777" w:rsidR="00696668" w:rsidRDefault="00696668">
      <w:pPr>
        <w:ind w:right="19"/>
        <w:jc w:val="both"/>
      </w:pPr>
    </w:p>
    <w:p w14:paraId="4BD2FA19" w14:textId="77777777" w:rsidR="003B6AC8" w:rsidRDefault="00457F4B" w:rsidP="00B15F4C">
      <w:pPr>
        <w:numPr>
          <w:ilvl w:val="0"/>
          <w:numId w:val="8"/>
        </w:numPr>
        <w:ind w:right="19"/>
        <w:jc w:val="both"/>
      </w:pPr>
      <w:r>
        <w:t>Perfect competition</w:t>
      </w:r>
    </w:p>
    <w:p w14:paraId="77D16898" w14:textId="77777777" w:rsidR="00696668" w:rsidRDefault="00457F4B" w:rsidP="00B15F4C">
      <w:pPr>
        <w:numPr>
          <w:ilvl w:val="0"/>
          <w:numId w:val="8"/>
        </w:numPr>
        <w:ind w:right="19"/>
        <w:jc w:val="both"/>
      </w:pPr>
      <w:r>
        <w:t>Technology is fixed</w:t>
      </w:r>
    </w:p>
    <w:p w14:paraId="37A6956B" w14:textId="77777777" w:rsidR="00696668" w:rsidRDefault="00457F4B">
      <w:pPr>
        <w:numPr>
          <w:ilvl w:val="0"/>
          <w:numId w:val="8"/>
        </w:numPr>
        <w:ind w:right="19"/>
        <w:jc w:val="both"/>
      </w:pPr>
      <w:r>
        <w:t xml:space="preserve">Each output level </w:t>
      </w:r>
      <w:r>
        <w:rPr>
          <w:i/>
          <w:iCs/>
        </w:rPr>
        <w:t>q</w:t>
      </w:r>
      <w:r>
        <w:t xml:space="preserve"> is produced with cost minimization choices of inputs </w:t>
      </w:r>
      <w:r>
        <w:rPr>
          <w:i/>
          <w:iCs/>
        </w:rPr>
        <w:t xml:space="preserve">K </w:t>
      </w:r>
      <w:r>
        <w:t xml:space="preserve">and </w:t>
      </w:r>
      <w:r>
        <w:rPr>
          <w:i/>
          <w:iCs/>
        </w:rPr>
        <w:t>L</w:t>
      </w:r>
    </w:p>
    <w:p w14:paraId="0CBEE9A3" w14:textId="77777777" w:rsidR="00696668" w:rsidRDefault="00457F4B">
      <w:pPr>
        <w:numPr>
          <w:ilvl w:val="0"/>
          <w:numId w:val="8"/>
        </w:numPr>
        <w:ind w:right="19"/>
        <w:jc w:val="both"/>
      </w:pPr>
      <w:r>
        <w:t>No tax or government intervention</w:t>
      </w:r>
    </w:p>
    <w:p w14:paraId="1315DBCC" w14:textId="77777777" w:rsidR="00696668" w:rsidRDefault="00696668">
      <w:pPr>
        <w:ind w:right="19"/>
        <w:jc w:val="both"/>
      </w:pPr>
    </w:p>
    <w:p w14:paraId="489DE2D2" w14:textId="77777777" w:rsidR="00696668" w:rsidRDefault="00457F4B">
      <w:pPr>
        <w:ind w:right="19"/>
        <w:jc w:val="both"/>
      </w:pPr>
      <w:r>
        <w:t xml:space="preserve">Each firm is an agent who tries to maximize its profit as given by the objective function  </w:t>
      </w:r>
    </w:p>
    <w:p w14:paraId="6C137797" w14:textId="4EA260F6" w:rsidR="00696668" w:rsidRDefault="00696668">
      <w:pPr>
        <w:ind w:right="19"/>
        <w:jc w:val="both"/>
      </w:pPr>
    </w:p>
    <w:p w14:paraId="419D1921" w14:textId="1F5EBDE4" w:rsidR="00696668" w:rsidRDefault="009C13F5">
      <w:pPr>
        <w:ind w:right="19"/>
        <w:jc w:val="both"/>
      </w:pPr>
      <m:oMathPara>
        <m:oMath>
          <m:r>
            <m:rPr>
              <m:sty m:val="bi"/>
            </m:rPr>
            <w:rPr>
              <w:rFonts w:ascii="Cambria Math" w:hAnsi="Cambria Math"/>
            </w:rPr>
            <m:t xml:space="preserve">max </m:t>
          </m:r>
          <m:r>
            <m:rPr>
              <m:nor/>
            </m:rPr>
            <w:rPr>
              <w:rFonts w:ascii="Cambria Math" w:hAnsi="Cambria Math"/>
            </w:rPr>
            <m:t xml:space="preserve"> </m:t>
          </m:r>
          <m:r>
            <w:rPr>
              <w:rFonts w:ascii="Cambria Math" w:hAnsi="Cambria Math"/>
            </w:rPr>
            <m:t>π</m:t>
          </m:r>
          <m:d>
            <m:dPr>
              <m:ctrlPr>
                <w:rPr>
                  <w:rFonts w:ascii="Cambria Math" w:hAnsi="Cambria Math"/>
                  <w:i/>
                </w:rPr>
              </m:ctrlPr>
            </m:dPr>
            <m:e>
              <m:r>
                <w:rPr>
                  <w:rFonts w:ascii="Cambria Math" w:hAnsi="Cambria Math"/>
                </w:rPr>
                <m:t>q</m:t>
              </m:r>
            </m:e>
          </m:d>
          <m:r>
            <w:rPr>
              <w:rFonts w:ascii="Cambria Math" w:hAnsi="Cambria Math"/>
            </w:rPr>
            <m:t>=TR</m:t>
          </m:r>
          <m:d>
            <m:dPr>
              <m:ctrlPr>
                <w:rPr>
                  <w:rFonts w:ascii="Cambria Math" w:hAnsi="Cambria Math"/>
                  <w:i/>
                </w:rPr>
              </m:ctrlPr>
            </m:dPr>
            <m:e>
              <m:r>
                <w:rPr>
                  <w:rFonts w:ascii="Cambria Math" w:hAnsi="Cambria Math"/>
                </w:rPr>
                <m:t>q</m:t>
              </m:r>
            </m:e>
          </m:d>
          <m:r>
            <w:rPr>
              <w:rFonts w:ascii="Cambria Math" w:hAnsi="Cambria Math"/>
            </w:rPr>
            <m:t>-TC</m:t>
          </m:r>
          <m:d>
            <m:dPr>
              <m:ctrlPr>
                <w:rPr>
                  <w:rFonts w:ascii="Cambria Math" w:hAnsi="Cambria Math"/>
                  <w:i/>
                </w:rPr>
              </m:ctrlPr>
            </m:dPr>
            <m:e>
              <m:r>
                <w:rPr>
                  <w:rFonts w:ascii="Cambria Math" w:hAnsi="Cambria Math"/>
                </w:rPr>
                <m:t>q</m:t>
              </m:r>
            </m:e>
          </m:d>
        </m:oMath>
      </m:oMathPara>
    </w:p>
    <w:p w14:paraId="42D9EF24" w14:textId="53DC411D" w:rsidR="00696668" w:rsidRDefault="00175BA6">
      <w:pPr>
        <w:numPr>
          <w:ilvl w:val="0"/>
          <w:numId w:val="10"/>
        </w:numPr>
        <w:ind w:right="19"/>
        <w:jc w:val="both"/>
      </w:pPr>
      <m:oMath>
        <m:r>
          <w:rPr>
            <w:rFonts w:ascii="Cambria Math" w:hAnsi="Cambria Math"/>
          </w:rPr>
          <m:t xml:space="preserve"> TR</m:t>
        </m:r>
        <m:d>
          <m:dPr>
            <m:ctrlPr>
              <w:rPr>
                <w:rFonts w:ascii="Cambria Math" w:hAnsi="Cambria Math"/>
                <w:i/>
              </w:rPr>
            </m:ctrlPr>
          </m:dPr>
          <m:e>
            <m:r>
              <w:rPr>
                <w:rFonts w:ascii="Cambria Math" w:hAnsi="Cambria Math"/>
              </w:rPr>
              <m:t>q</m:t>
            </m:r>
          </m:e>
        </m:d>
        <m:r>
          <w:rPr>
            <w:rFonts w:ascii="Cambria Math" w:hAnsi="Cambria Math"/>
          </w:rPr>
          <m:t>=pq</m:t>
        </m:r>
      </m:oMath>
      <w:r w:rsidR="00457F4B">
        <w:t xml:space="preserve"> by which assumption?  </w:t>
      </w:r>
    </w:p>
    <w:p w14:paraId="3DB7FDFD" w14:textId="2725FA15" w:rsidR="00696668" w:rsidRDefault="00175BA6">
      <w:pPr>
        <w:numPr>
          <w:ilvl w:val="0"/>
          <w:numId w:val="10"/>
        </w:numPr>
        <w:ind w:right="19"/>
        <w:jc w:val="both"/>
      </w:pPr>
      <m:oMath>
        <m:r>
          <w:rPr>
            <w:rFonts w:ascii="Cambria Math" w:hAnsi="Cambria Math"/>
          </w:rPr>
          <m:t>TC</m:t>
        </m:r>
        <m:d>
          <m:dPr>
            <m:ctrlPr>
              <w:rPr>
                <w:rFonts w:ascii="Cambria Math" w:hAnsi="Cambria Math"/>
                <w:i/>
              </w:rPr>
            </m:ctrlPr>
          </m:dPr>
          <m:e>
            <m:r>
              <w:rPr>
                <w:rFonts w:ascii="Cambria Math" w:hAnsi="Cambria Math"/>
              </w:rPr>
              <m:t>q</m:t>
            </m:r>
          </m:e>
        </m:d>
      </m:oMath>
      <w:r w:rsidR="00457F4B">
        <w:t xml:space="preserve"> is the minimal cost for any given quantity level.  This means the firm always select the best choice of inputs quantities at constant input prices.  The total cost depends only on the quantity </w:t>
      </w:r>
      <w:r w:rsidR="00457F4B">
        <w:rPr>
          <w:i/>
          <w:iCs/>
        </w:rPr>
        <w:t>q</w:t>
      </w:r>
      <w:r w:rsidR="00457F4B">
        <w:t>.</w:t>
      </w:r>
    </w:p>
    <w:p w14:paraId="56979871" w14:textId="77777777" w:rsidR="00696668" w:rsidRDefault="00457F4B">
      <w:pPr>
        <w:numPr>
          <w:ilvl w:val="0"/>
          <w:numId w:val="11"/>
        </w:numPr>
        <w:ind w:right="19"/>
        <w:jc w:val="both"/>
      </w:pPr>
      <w:r>
        <w:t xml:space="preserve">The quantity </w:t>
      </w:r>
      <w:r>
        <w:rPr>
          <w:i/>
          <w:iCs/>
        </w:rPr>
        <w:t>q</w:t>
      </w:r>
      <w:r>
        <w:t xml:space="preserve"> is chosen by the firm.  This is the decision variable that are determined </w:t>
      </w:r>
      <w:proofErr w:type="spellStart"/>
      <w:r>
        <w:t>endogeneously</w:t>
      </w:r>
      <w:proofErr w:type="spellEnd"/>
      <w:r>
        <w:t>.</w:t>
      </w:r>
    </w:p>
    <w:p w14:paraId="10C01679" w14:textId="77777777" w:rsidR="00696668" w:rsidRDefault="00457F4B">
      <w:pPr>
        <w:numPr>
          <w:ilvl w:val="0"/>
          <w:numId w:val="11"/>
        </w:numPr>
        <w:ind w:right="19"/>
        <w:jc w:val="both"/>
      </w:pPr>
      <w:r>
        <w:t xml:space="preserve">The price </w:t>
      </w:r>
      <w:r>
        <w:rPr>
          <w:i/>
          <w:iCs/>
        </w:rPr>
        <w:t xml:space="preserve">p </w:t>
      </w:r>
      <w:r>
        <w:t>is exogeneous beyond the control of the firm—thus the model is not complete.</w:t>
      </w:r>
    </w:p>
    <w:p w14:paraId="342AD741" w14:textId="48687D78" w:rsidR="00696668" w:rsidRDefault="00457F4B">
      <w:pPr>
        <w:numPr>
          <w:ilvl w:val="0"/>
          <w:numId w:val="11"/>
        </w:numPr>
        <w:ind w:right="19"/>
        <w:jc w:val="both"/>
      </w:pPr>
      <w:r>
        <w:t xml:space="preserve">The optimal solution </w:t>
      </w:r>
      <m:oMath>
        <m:sSup>
          <m:sSupPr>
            <m:ctrlPr>
              <w:rPr>
                <w:rFonts w:ascii="Cambria Math" w:hAnsi="Cambria Math"/>
                <w:i/>
              </w:rPr>
            </m:ctrlPr>
          </m:sSupPr>
          <m:e>
            <m:r>
              <w:rPr>
                <w:rFonts w:ascii="Cambria Math" w:hAnsi="Cambria Math"/>
              </w:rPr>
              <m:t>q</m:t>
            </m:r>
          </m:e>
          <m:sup>
            <m:r>
              <w:rPr>
                <w:rFonts w:ascii="Cambria Math" w:hAnsi="Cambria Math"/>
              </w:rPr>
              <m:t>*</m:t>
            </m:r>
          </m:sup>
        </m:sSup>
      </m:oMath>
      <w:r>
        <w:t xml:space="preserve"> will be a function of the exogeneous variable </w:t>
      </w:r>
      <w:r>
        <w:rPr>
          <w:i/>
          <w:iCs/>
        </w:rPr>
        <w:t>p</w:t>
      </w:r>
      <w:r>
        <w:t xml:space="preserve">.  That is, </w:t>
      </w:r>
      <m:oMath>
        <m:sSup>
          <m:sSupPr>
            <m:ctrlPr>
              <w:rPr>
                <w:rFonts w:ascii="Cambria Math" w:hAnsi="Cambria Math"/>
                <w:i/>
              </w:rPr>
            </m:ctrlPr>
          </m:sSupPr>
          <m:e>
            <m:r>
              <w:rPr>
                <w:rFonts w:ascii="Cambria Math" w:hAnsi="Cambria Math"/>
              </w:rPr>
              <m:t>q</m:t>
            </m:r>
          </m:e>
          <m:sup>
            <m:r>
              <w:rPr>
                <w:rFonts w:ascii="Cambria Math" w:hAnsi="Cambria Math"/>
              </w:rPr>
              <m:t>*</m:t>
            </m:r>
          </m:sup>
        </m:sSup>
        <m:r>
          <w:rPr>
            <w:rFonts w:ascii="Cambria Math" w:hAnsi="Cambria Math"/>
          </w:rPr>
          <m:t>=q</m:t>
        </m:r>
        <m:d>
          <m:dPr>
            <m:ctrlPr>
              <w:rPr>
                <w:rFonts w:ascii="Cambria Math" w:hAnsi="Cambria Math"/>
                <w:i/>
              </w:rPr>
            </m:ctrlPr>
          </m:dPr>
          <m:e>
            <m:r>
              <w:rPr>
                <w:rFonts w:ascii="Cambria Math" w:hAnsi="Cambria Math"/>
              </w:rPr>
              <m:t>p</m:t>
            </m:r>
          </m:e>
        </m:d>
      </m:oMath>
      <w:r>
        <w:t>.</w:t>
      </w:r>
    </w:p>
    <w:p w14:paraId="70E30F1B" w14:textId="79363436" w:rsidR="00696668" w:rsidRDefault="00457F4B" w:rsidP="004456C9">
      <w:pPr>
        <w:numPr>
          <w:ilvl w:val="0"/>
          <w:numId w:val="11"/>
        </w:numPr>
        <w:ind w:right="19"/>
        <w:jc w:val="both"/>
      </w:pPr>
      <w:r>
        <w:t xml:space="preserve">Sensitivity Analysis—Comparative Static Analysis:  What-if kind of questions.  When the market price of the product is increased, the optimal solution </w:t>
      </w:r>
      <m:oMath>
        <m:sSup>
          <m:sSupPr>
            <m:ctrlPr>
              <w:rPr>
                <w:rFonts w:ascii="Cambria Math" w:hAnsi="Cambria Math"/>
                <w:i/>
              </w:rPr>
            </m:ctrlPr>
          </m:sSupPr>
          <m:e>
            <m:r>
              <w:rPr>
                <w:rFonts w:ascii="Cambria Math" w:hAnsi="Cambria Math"/>
              </w:rPr>
              <m:t>q</m:t>
            </m:r>
          </m:e>
          <m:sup>
            <m:r>
              <w:rPr>
                <w:rFonts w:ascii="Cambria Math" w:hAnsi="Cambria Math"/>
              </w:rPr>
              <m:t>*</m:t>
            </m:r>
          </m:sup>
        </m:sSup>
      </m:oMath>
      <w:r>
        <w:t>and profit will change according to the derivative</w:t>
      </w:r>
      <w:r w:rsidR="004456C9">
        <w:t>.</w:t>
      </w:r>
    </w:p>
    <w:p w14:paraId="07A5A84D" w14:textId="77777777" w:rsidR="004456C9" w:rsidRDefault="004456C9" w:rsidP="004456C9">
      <w:pPr>
        <w:ind w:right="19"/>
        <w:jc w:val="both"/>
      </w:pPr>
    </w:p>
    <w:p w14:paraId="28B63ACF" w14:textId="788E5334" w:rsidR="004456C9" w:rsidRPr="004456C9" w:rsidRDefault="0088595A" w:rsidP="004456C9">
      <w:pPr>
        <w:tabs>
          <w:tab w:val="left" w:pos="3828"/>
        </w:tabs>
        <w:ind w:right="19"/>
        <w:jc w:val="both"/>
      </w:pPr>
      <m:oMathPara>
        <m:oMath>
          <m:f>
            <m:fPr>
              <m:ctrlPr>
                <w:rPr>
                  <w:rFonts w:ascii="Cambria Math" w:hAnsi="Cambria Math"/>
                  <w:i/>
                </w:rPr>
              </m:ctrlPr>
            </m:fPr>
            <m:num>
              <m:r>
                <w:rPr>
                  <w:rFonts w:ascii="Cambria Math" w:hAnsi="Cambria Math"/>
                </w:rPr>
                <m:t>d</m:t>
              </m:r>
              <m:sSup>
                <m:sSupPr>
                  <m:ctrlPr>
                    <w:rPr>
                      <w:rFonts w:ascii="Cambria Math" w:hAnsi="Cambria Math"/>
                      <w:i/>
                    </w:rPr>
                  </m:ctrlPr>
                </m:sSupPr>
                <m:e>
                  <m:r>
                    <w:rPr>
                      <w:rFonts w:ascii="Cambria Math" w:hAnsi="Cambria Math"/>
                    </w:rPr>
                    <m:t>q</m:t>
                  </m:r>
                </m:e>
                <m:sup>
                  <m:r>
                    <w:rPr>
                      <w:rFonts w:ascii="Cambria Math" w:hAnsi="Cambria Math"/>
                    </w:rPr>
                    <m:t>*</m:t>
                  </m:r>
                </m:sup>
              </m:sSup>
            </m:num>
            <m:den>
              <m:r>
                <w:rPr>
                  <w:rFonts w:ascii="Cambria Math" w:hAnsi="Cambria Math"/>
                </w:rPr>
                <m:t>dp</m:t>
              </m:r>
            </m:den>
          </m:f>
          <m:r>
            <w:rPr>
              <w:rFonts w:ascii="Cambria Math" w:hAnsi="Cambria Math"/>
            </w:rPr>
            <m:t>=</m:t>
          </m:r>
          <m:sSup>
            <m:sSupPr>
              <m:ctrlPr>
                <w:rPr>
                  <w:rFonts w:ascii="Cambria Math" w:hAnsi="Cambria Math"/>
                  <w:i/>
                </w:rPr>
              </m:ctrlPr>
            </m:sSupPr>
            <m:e>
              <m:r>
                <w:rPr>
                  <w:rFonts w:ascii="Cambria Math" w:hAnsi="Cambria Math"/>
                </w:rPr>
                <m:t>q</m:t>
              </m:r>
            </m:e>
            <m:sup>
              <m:r>
                <w:rPr>
                  <w:rFonts w:ascii="Cambria Math" w:hAnsi="Cambria Math"/>
                </w:rPr>
                <m:t>'</m:t>
              </m:r>
            </m:sup>
          </m:sSup>
          <m:d>
            <m:dPr>
              <m:ctrlPr>
                <w:rPr>
                  <w:rFonts w:ascii="Cambria Math" w:hAnsi="Cambria Math"/>
                  <w:i/>
                </w:rPr>
              </m:ctrlPr>
            </m:dPr>
            <m:e>
              <m:r>
                <w:rPr>
                  <w:rFonts w:ascii="Cambria Math" w:hAnsi="Cambria Math"/>
                </w:rPr>
                <m:t>p</m:t>
              </m:r>
            </m:e>
          </m:d>
        </m:oMath>
      </m:oMathPara>
    </w:p>
    <w:p w14:paraId="74E26703" w14:textId="77777777" w:rsidR="004D6208" w:rsidRPr="004D6208" w:rsidRDefault="0088595A" w:rsidP="004456C9">
      <w:pPr>
        <w:tabs>
          <w:tab w:val="left" w:pos="3828"/>
        </w:tabs>
        <w:ind w:right="19"/>
        <w:jc w:val="both"/>
      </w:pPr>
      <m:oMathPara>
        <m:oMath>
          <m:f>
            <m:fPr>
              <m:ctrlPr>
                <w:rPr>
                  <w:rFonts w:ascii="Cambria Math" w:hAnsi="Cambria Math"/>
                  <w:i/>
                </w:rPr>
              </m:ctrlPr>
            </m:fPr>
            <m:num>
              <m:r>
                <w:rPr>
                  <w:rFonts w:ascii="Cambria Math" w:hAnsi="Cambria Math"/>
                </w:rPr>
                <m:t>dπ</m:t>
              </m:r>
              <m:d>
                <m:dPr>
                  <m:ctrlPr>
                    <w:rPr>
                      <w:rFonts w:ascii="Cambria Math" w:hAnsi="Cambria Math"/>
                      <w:i/>
                    </w:rPr>
                  </m:ctrlPr>
                </m:dPr>
                <m:e>
                  <m:sSup>
                    <m:sSupPr>
                      <m:ctrlPr>
                        <w:rPr>
                          <w:rFonts w:ascii="Cambria Math" w:hAnsi="Cambria Math"/>
                          <w:i/>
                        </w:rPr>
                      </m:ctrlPr>
                    </m:sSupPr>
                    <m:e>
                      <m:r>
                        <w:rPr>
                          <w:rFonts w:ascii="Cambria Math" w:hAnsi="Cambria Math"/>
                        </w:rPr>
                        <m:t>q</m:t>
                      </m:r>
                    </m:e>
                    <m:sup>
                      <m:r>
                        <w:rPr>
                          <w:rFonts w:ascii="Cambria Math" w:hAnsi="Cambria Math"/>
                        </w:rPr>
                        <m:t>*</m:t>
                      </m:r>
                    </m:sup>
                  </m:sSup>
                </m:e>
              </m:d>
            </m:num>
            <m:den>
              <m:r>
                <w:rPr>
                  <w:rFonts w:ascii="Cambria Math" w:hAnsi="Cambria Math"/>
                </w:rPr>
                <m:t>dp</m:t>
              </m:r>
            </m:den>
          </m:f>
          <m:r>
            <w:rPr>
              <w:rFonts w:ascii="Cambria Math" w:hAnsi="Cambria Math"/>
            </w:rPr>
            <m:t>=</m:t>
          </m:r>
          <m:f>
            <m:fPr>
              <m:ctrlPr>
                <w:rPr>
                  <w:rFonts w:ascii="Cambria Math" w:hAnsi="Cambria Math"/>
                  <w:i/>
                </w:rPr>
              </m:ctrlPr>
            </m:fPr>
            <m:num>
              <m:r>
                <w:rPr>
                  <w:rFonts w:ascii="Cambria Math" w:hAnsi="Cambria Math"/>
                </w:rPr>
                <m:t>dπ</m:t>
              </m:r>
              <m:d>
                <m:dPr>
                  <m:ctrlPr>
                    <w:rPr>
                      <w:rFonts w:ascii="Cambria Math" w:hAnsi="Cambria Math"/>
                      <w:i/>
                    </w:rPr>
                  </m:ctrlPr>
                </m:dPr>
                <m:e>
                  <m:r>
                    <w:rPr>
                      <w:rFonts w:ascii="Cambria Math" w:hAnsi="Cambria Math"/>
                    </w:rPr>
                    <m:t>q</m:t>
                  </m:r>
                  <m:d>
                    <m:dPr>
                      <m:ctrlPr>
                        <w:rPr>
                          <w:rFonts w:ascii="Cambria Math" w:hAnsi="Cambria Math"/>
                          <w:i/>
                        </w:rPr>
                      </m:ctrlPr>
                    </m:dPr>
                    <m:e>
                      <m:r>
                        <w:rPr>
                          <w:rFonts w:ascii="Cambria Math" w:hAnsi="Cambria Math"/>
                        </w:rPr>
                        <m:t>p</m:t>
                      </m:r>
                    </m:e>
                  </m:d>
                </m:e>
              </m:d>
            </m:num>
            <m:den>
              <m:r>
                <w:rPr>
                  <w:rFonts w:ascii="Cambria Math" w:hAnsi="Cambria Math"/>
                </w:rPr>
                <m:t>dp</m:t>
              </m:r>
            </m:den>
          </m:f>
        </m:oMath>
      </m:oMathPara>
    </w:p>
    <w:p w14:paraId="51C77D23" w14:textId="77777777" w:rsidR="00696668" w:rsidRDefault="00696668">
      <w:pPr>
        <w:ind w:right="19"/>
        <w:jc w:val="both"/>
      </w:pPr>
    </w:p>
    <w:p w14:paraId="6D188B24" w14:textId="77777777" w:rsidR="00696668" w:rsidRDefault="00457F4B">
      <w:pPr>
        <w:numPr>
          <w:ilvl w:val="0"/>
          <w:numId w:val="13"/>
        </w:numPr>
        <w:ind w:right="19"/>
        <w:jc w:val="both"/>
      </w:pPr>
      <w:r>
        <w:t>This sensitivity analysis can be performed with respect to any other parameter or exogeneous variable.</w:t>
      </w:r>
    </w:p>
    <w:sectPr w:rsidR="00696668" w:rsidSect="00697EB5">
      <w:headerReference w:type="even" r:id="rId7"/>
      <w:headerReference w:type="default" r:id="rId8"/>
      <w:footerReference w:type="default" r:id="rId9"/>
      <w:pgSz w:w="11899" w:h="16838"/>
      <w:pgMar w:top="1440" w:right="468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5BF98" w14:textId="77777777" w:rsidR="0088595A" w:rsidRDefault="0088595A">
      <w:r>
        <w:separator/>
      </w:r>
    </w:p>
  </w:endnote>
  <w:endnote w:type="continuationSeparator" w:id="0">
    <w:p w14:paraId="7F83A57D" w14:textId="77777777" w:rsidR="0088595A" w:rsidRDefault="00885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E9C88" w14:textId="22B2CEED" w:rsidR="00696668" w:rsidRPr="00B37015" w:rsidRDefault="00696668" w:rsidP="00B37015">
    <w:pPr>
      <w:pStyle w:val="Footer"/>
      <w:tabs>
        <w:tab w:val="clear" w:pos="8640"/>
        <w:tab w:val="right" w:pos="5399"/>
      </w:tabs>
      <w:rPr>
        <w:color w:val="00A2FF"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582427" w14:textId="77777777" w:rsidR="0088595A" w:rsidRDefault="0088595A">
      <w:r>
        <w:separator/>
      </w:r>
    </w:p>
  </w:footnote>
  <w:footnote w:type="continuationSeparator" w:id="0">
    <w:p w14:paraId="73D31183" w14:textId="77777777" w:rsidR="0088595A" w:rsidRDefault="00885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38667644"/>
      <w:docPartObj>
        <w:docPartGallery w:val="Page Numbers (Top of Page)"/>
        <w:docPartUnique/>
      </w:docPartObj>
    </w:sdtPr>
    <w:sdtContent>
      <w:p w14:paraId="6D407E83" w14:textId="334FD72F" w:rsidR="00697EB5" w:rsidRDefault="00697EB5" w:rsidP="00816C7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2262ED" w14:textId="77777777" w:rsidR="00B37015" w:rsidRDefault="00B370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color w:val="00A2FF" w:themeColor="accent1"/>
      </w:rPr>
      <w:id w:val="-1605338588"/>
      <w:docPartObj>
        <w:docPartGallery w:val="Page Numbers (Top of Page)"/>
        <w:docPartUnique/>
      </w:docPartObj>
    </w:sdtPr>
    <w:sdtContent>
      <w:p w14:paraId="4CC74823" w14:textId="06679051" w:rsidR="00697EB5" w:rsidRPr="00697EB5" w:rsidRDefault="00697EB5" w:rsidP="00816C7C">
        <w:pPr>
          <w:pStyle w:val="Header"/>
          <w:framePr w:wrap="none" w:vAnchor="text" w:hAnchor="margin" w:xAlign="center" w:y="1"/>
          <w:rPr>
            <w:rStyle w:val="PageNumber"/>
            <w:color w:val="00A2FF" w:themeColor="accent1"/>
          </w:rPr>
        </w:pPr>
        <w:r w:rsidRPr="00697EB5">
          <w:rPr>
            <w:rStyle w:val="PageNumber"/>
            <w:color w:val="00A2FF" w:themeColor="accent1"/>
          </w:rPr>
          <w:t>(</w:t>
        </w:r>
        <w:r w:rsidRPr="00697EB5">
          <w:rPr>
            <w:rStyle w:val="PageNumber"/>
            <w:color w:val="00A2FF" w:themeColor="accent1"/>
          </w:rPr>
          <w:fldChar w:fldCharType="begin"/>
        </w:r>
        <w:r w:rsidRPr="00697EB5">
          <w:rPr>
            <w:rStyle w:val="PageNumber"/>
            <w:color w:val="00A2FF" w:themeColor="accent1"/>
          </w:rPr>
          <w:instrText xml:space="preserve"> PAGE </w:instrText>
        </w:r>
        <w:r w:rsidRPr="00697EB5">
          <w:rPr>
            <w:rStyle w:val="PageNumber"/>
            <w:color w:val="00A2FF" w:themeColor="accent1"/>
          </w:rPr>
          <w:fldChar w:fldCharType="separate"/>
        </w:r>
        <w:r w:rsidRPr="00697EB5">
          <w:rPr>
            <w:rStyle w:val="PageNumber"/>
            <w:noProof/>
            <w:color w:val="00A2FF" w:themeColor="accent1"/>
          </w:rPr>
          <w:t>1</w:t>
        </w:r>
        <w:r w:rsidRPr="00697EB5">
          <w:rPr>
            <w:rStyle w:val="PageNumber"/>
            <w:color w:val="00A2FF" w:themeColor="accent1"/>
          </w:rPr>
          <w:fldChar w:fldCharType="end"/>
        </w:r>
        <w:r w:rsidRPr="00697EB5">
          <w:rPr>
            <w:rStyle w:val="PageNumber"/>
            <w:color w:val="00A2FF" w:themeColor="accent1"/>
          </w:rPr>
          <w:t>)</w:t>
        </w:r>
      </w:p>
    </w:sdtContent>
  </w:sdt>
  <w:p w14:paraId="07C31927" w14:textId="77777777" w:rsidR="00696668" w:rsidRPr="00B37015" w:rsidRDefault="00457F4B">
    <w:pPr>
      <w:pStyle w:val="Header"/>
      <w:tabs>
        <w:tab w:val="clear" w:pos="8640"/>
        <w:tab w:val="right" w:pos="8280"/>
      </w:tabs>
      <w:rPr>
        <w:color w:val="00A2FF" w:themeColor="accent1"/>
      </w:rPr>
    </w:pPr>
    <w:r w:rsidRPr="00697EB5">
      <w:rPr>
        <w:color w:val="00A2FF" w:themeColor="accent1"/>
      </w:rPr>
      <w:t>Thanet Makjamroen</w:t>
    </w:r>
    <w:r w:rsidRPr="00B37015">
      <w:rPr>
        <w:color w:val="00A2FF" w:themeColor="accent1"/>
      </w:rPr>
      <w:tab/>
    </w:r>
    <w:r w:rsidRPr="00B37015">
      <w:rPr>
        <w:color w:val="00A2FF" w:themeColor="accent1"/>
      </w:rPr>
      <w:tab/>
      <w:t>Chapter 1</w:t>
    </w:r>
  </w:p>
  <w:p w14:paraId="62A89BC6" w14:textId="06E15BC0" w:rsidR="00696668" w:rsidRPr="00B37015" w:rsidRDefault="00457F4B">
    <w:pPr>
      <w:pStyle w:val="Header"/>
      <w:tabs>
        <w:tab w:val="clear" w:pos="8640"/>
        <w:tab w:val="right" w:pos="8280"/>
      </w:tabs>
      <w:rPr>
        <w:color w:val="00A2FF" w:themeColor="accent1"/>
      </w:rPr>
    </w:pPr>
    <w:r w:rsidRPr="00B37015">
      <w:rPr>
        <w:color w:val="00A2FF" w:themeColor="accent1"/>
      </w:rPr>
      <w:fldChar w:fldCharType="begin"/>
    </w:r>
    <w:r w:rsidRPr="00B37015">
      <w:rPr>
        <w:color w:val="00A2FF" w:themeColor="accent1"/>
      </w:rPr>
      <w:instrText xml:space="preserve"> DATE \@ "d/ M /yyyy" </w:instrText>
    </w:r>
    <w:r w:rsidRPr="00B37015">
      <w:rPr>
        <w:color w:val="00A2FF" w:themeColor="accent1"/>
      </w:rPr>
      <w:fldChar w:fldCharType="separate"/>
    </w:r>
    <w:r w:rsidR="00B37015" w:rsidRPr="00B37015">
      <w:rPr>
        <w:noProof/>
        <w:color w:val="00A2FF" w:themeColor="accent1"/>
      </w:rPr>
      <w:t>20/ 1 /2021</w:t>
    </w:r>
    <w:r w:rsidRPr="00B37015">
      <w:rPr>
        <w:color w:val="00A2FF" w:themeColor="accent1"/>
      </w:rPr>
      <w:fldChar w:fldCharType="end"/>
    </w:r>
    <w:r w:rsidRPr="00B37015">
      <w:rPr>
        <w:color w:val="00A2FF" w:themeColor="accent1"/>
      </w:rPr>
      <w:tab/>
    </w:r>
    <w:r w:rsidRPr="00B37015">
      <w:rPr>
        <w:color w:val="00A2FF" w:themeColor="accent1"/>
      </w:rPr>
      <w:tab/>
      <w:t>Introduction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A36F7"/>
    <w:multiLevelType w:val="hybridMultilevel"/>
    <w:tmpl w:val="B470D92E"/>
    <w:styleLink w:val="List31"/>
    <w:lvl w:ilvl="0" w:tplc="6A78D9B6">
      <w:start w:val="1"/>
      <w:numFmt w:val="bullet"/>
      <w:lvlText w:val="·"/>
      <w:lvlJc w:val="left"/>
      <w:pPr>
        <w:tabs>
          <w:tab w:val="left" w:pos="720"/>
        </w:tabs>
        <w:ind w:left="1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10"/>
        <w:highlight w:val="none"/>
        <w:vertAlign w:val="baseline"/>
      </w:rPr>
    </w:lvl>
    <w:lvl w:ilvl="1" w:tplc="A80421B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68AF84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E7A4E9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0121ED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868714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FD82180">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2E0341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5D25E5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 w15:restartNumberingAfterBreak="0">
    <w:nsid w:val="0A35525A"/>
    <w:multiLevelType w:val="multilevel"/>
    <w:tmpl w:val="B0C87C34"/>
    <w:numStyleLink w:val="List6"/>
  </w:abstractNum>
  <w:abstractNum w:abstractNumId="2" w15:restartNumberingAfterBreak="0">
    <w:nsid w:val="0FE03779"/>
    <w:multiLevelType w:val="hybridMultilevel"/>
    <w:tmpl w:val="C4EAD924"/>
    <w:styleLink w:val="List21"/>
    <w:lvl w:ilvl="0" w:tplc="E1D2DCAC">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7772AA5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844C5AA">
      <w:start w:val="1"/>
      <w:numFmt w:val="lowerRoman"/>
      <w:lvlText w:val="%3."/>
      <w:lvlJc w:val="left"/>
      <w:pPr>
        <w:tabs>
          <w:tab w:val="left" w:pos="720"/>
        </w:tabs>
        <w:ind w:left="2160" w:hanging="34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810ADF2">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8340A4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1C8667C">
      <w:start w:val="1"/>
      <w:numFmt w:val="lowerRoman"/>
      <w:lvlText w:val="%6."/>
      <w:lvlJc w:val="left"/>
      <w:pPr>
        <w:tabs>
          <w:tab w:val="left" w:pos="720"/>
        </w:tabs>
        <w:ind w:left="4320" w:hanging="34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570F3F0">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B160954">
      <w:start w:val="1"/>
      <w:numFmt w:val="lowerLetter"/>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4CAE29D8">
      <w:start w:val="1"/>
      <w:numFmt w:val="lowerRoman"/>
      <w:lvlText w:val="%9."/>
      <w:lvlJc w:val="left"/>
      <w:pPr>
        <w:tabs>
          <w:tab w:val="left" w:pos="720"/>
        </w:tabs>
        <w:ind w:left="6480" w:hanging="34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14286B70"/>
    <w:multiLevelType w:val="hybridMultilevel"/>
    <w:tmpl w:val="FAAC4AF2"/>
    <w:styleLink w:val="ai"/>
    <w:lvl w:ilvl="0" w:tplc="8506AA6E">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tplc="E632A660">
      <w:start w:val="1"/>
      <w:numFmt w:val="lowerLetter"/>
      <w:lvlText w:val="%2)"/>
      <w:lvlJc w:val="left"/>
      <w:pPr>
        <w:ind w:left="864" w:hanging="288"/>
      </w:pPr>
      <w:rPr>
        <w:rFonts w:hAnsi="Arial Unicode MS"/>
        <w:caps w:val="0"/>
        <w:smallCaps w:val="0"/>
        <w:strike w:val="0"/>
        <w:dstrike w:val="0"/>
        <w:outline w:val="0"/>
        <w:emboss w:val="0"/>
        <w:imprint w:val="0"/>
        <w:spacing w:val="0"/>
        <w:w w:val="100"/>
        <w:kern w:val="0"/>
        <w:position w:val="0"/>
        <w:highlight w:val="none"/>
        <w:vertAlign w:val="baseline"/>
      </w:rPr>
    </w:lvl>
    <w:lvl w:ilvl="2" w:tplc="372A91D6">
      <w:start w:val="1"/>
      <w:numFmt w:val="lowerRoman"/>
      <w:lvlText w:val="%3."/>
      <w:lvlJc w:val="left"/>
      <w:pPr>
        <w:ind w:left="960" w:hanging="240"/>
      </w:pPr>
      <w:rPr>
        <w:rFonts w:hAnsi="Arial Unicode MS"/>
        <w:caps w:val="0"/>
        <w:smallCaps w:val="0"/>
        <w:strike w:val="0"/>
        <w:dstrike w:val="0"/>
        <w:outline w:val="0"/>
        <w:emboss w:val="0"/>
        <w:imprint w:val="0"/>
        <w:spacing w:val="0"/>
        <w:w w:val="100"/>
        <w:kern w:val="0"/>
        <w:position w:val="0"/>
        <w:highlight w:val="none"/>
        <w:vertAlign w:val="baseline"/>
      </w:rPr>
    </w:lvl>
    <w:lvl w:ilvl="3" w:tplc="429CEEEC">
      <w:start w:val="1"/>
      <w:numFmt w:val="decimal"/>
      <w:lvlText w:val="%4."/>
      <w:lvlJc w:val="left"/>
      <w:pPr>
        <w:ind w:left="1320" w:hanging="240"/>
      </w:pPr>
      <w:rPr>
        <w:rFonts w:hAnsi="Arial Unicode MS"/>
        <w:caps w:val="0"/>
        <w:smallCaps w:val="0"/>
        <w:strike w:val="0"/>
        <w:dstrike w:val="0"/>
        <w:outline w:val="0"/>
        <w:emboss w:val="0"/>
        <w:imprint w:val="0"/>
        <w:spacing w:val="0"/>
        <w:w w:val="100"/>
        <w:kern w:val="0"/>
        <w:position w:val="0"/>
        <w:highlight w:val="none"/>
        <w:vertAlign w:val="baseline"/>
      </w:rPr>
    </w:lvl>
    <w:lvl w:ilvl="4" w:tplc="64F0A542">
      <w:start w:val="1"/>
      <w:numFmt w:val="lowerLetter"/>
      <w:lvlText w:val="%5."/>
      <w:lvlJc w:val="left"/>
      <w:pPr>
        <w:ind w:left="1680" w:hanging="240"/>
      </w:pPr>
      <w:rPr>
        <w:rFonts w:hAnsi="Arial Unicode MS"/>
        <w:caps w:val="0"/>
        <w:smallCaps w:val="0"/>
        <w:strike w:val="0"/>
        <w:dstrike w:val="0"/>
        <w:outline w:val="0"/>
        <w:emboss w:val="0"/>
        <w:imprint w:val="0"/>
        <w:spacing w:val="0"/>
        <w:w w:val="100"/>
        <w:kern w:val="0"/>
        <w:position w:val="0"/>
        <w:highlight w:val="none"/>
        <w:vertAlign w:val="baseline"/>
      </w:rPr>
    </w:lvl>
    <w:lvl w:ilvl="5" w:tplc="55B0C012">
      <w:start w:val="1"/>
      <w:numFmt w:val="lowerRoman"/>
      <w:lvlText w:val="%6."/>
      <w:lvlJc w:val="left"/>
      <w:pPr>
        <w:ind w:left="2040" w:hanging="240"/>
      </w:pPr>
      <w:rPr>
        <w:rFonts w:hAnsi="Arial Unicode MS"/>
        <w:caps w:val="0"/>
        <w:smallCaps w:val="0"/>
        <w:strike w:val="0"/>
        <w:dstrike w:val="0"/>
        <w:outline w:val="0"/>
        <w:emboss w:val="0"/>
        <w:imprint w:val="0"/>
        <w:spacing w:val="0"/>
        <w:w w:val="100"/>
        <w:kern w:val="0"/>
        <w:position w:val="0"/>
        <w:highlight w:val="none"/>
        <w:vertAlign w:val="baseline"/>
      </w:rPr>
    </w:lvl>
    <w:lvl w:ilvl="6" w:tplc="E90C324C">
      <w:start w:val="1"/>
      <w:numFmt w:val="decimal"/>
      <w:lvlText w:val="%7."/>
      <w:lvlJc w:val="left"/>
      <w:pPr>
        <w:ind w:left="2400" w:hanging="240"/>
      </w:pPr>
      <w:rPr>
        <w:rFonts w:hAnsi="Arial Unicode MS"/>
        <w:caps w:val="0"/>
        <w:smallCaps w:val="0"/>
        <w:strike w:val="0"/>
        <w:dstrike w:val="0"/>
        <w:outline w:val="0"/>
        <w:emboss w:val="0"/>
        <w:imprint w:val="0"/>
        <w:spacing w:val="0"/>
        <w:w w:val="100"/>
        <w:kern w:val="0"/>
        <w:position w:val="0"/>
        <w:highlight w:val="none"/>
        <w:vertAlign w:val="baseline"/>
      </w:rPr>
    </w:lvl>
    <w:lvl w:ilvl="7" w:tplc="D7988BA0">
      <w:start w:val="1"/>
      <w:numFmt w:val="lowerLetter"/>
      <w:lvlText w:val="%8."/>
      <w:lvlJc w:val="left"/>
      <w:pPr>
        <w:ind w:left="2760" w:hanging="240"/>
      </w:pPr>
      <w:rPr>
        <w:rFonts w:hAnsi="Arial Unicode MS"/>
        <w:caps w:val="0"/>
        <w:smallCaps w:val="0"/>
        <w:strike w:val="0"/>
        <w:dstrike w:val="0"/>
        <w:outline w:val="0"/>
        <w:emboss w:val="0"/>
        <w:imprint w:val="0"/>
        <w:spacing w:val="0"/>
        <w:w w:val="100"/>
        <w:kern w:val="0"/>
        <w:position w:val="0"/>
        <w:highlight w:val="none"/>
        <w:vertAlign w:val="baseline"/>
      </w:rPr>
    </w:lvl>
    <w:lvl w:ilvl="8" w:tplc="F144569C">
      <w:start w:val="1"/>
      <w:numFmt w:val="lowerRoman"/>
      <w:lvlText w:val="%9."/>
      <w:lvlJc w:val="left"/>
      <w:pPr>
        <w:ind w:left="3120" w:hanging="2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48352FE"/>
    <w:multiLevelType w:val="hybridMultilevel"/>
    <w:tmpl w:val="5E4261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A3727"/>
    <w:multiLevelType w:val="hybridMultilevel"/>
    <w:tmpl w:val="49E669CA"/>
    <w:lvl w:ilvl="0" w:tplc="C32CFA20">
      <w:start w:val="1"/>
      <w:numFmt w:val="decimal"/>
      <w:lvlText w:val="%1)"/>
      <w:lvlJc w:val="left"/>
      <w:pPr>
        <w:ind w:left="28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1" w:tplc="22CA0F0A">
      <w:start w:val="1"/>
      <w:numFmt w:val="decimal"/>
      <w:lvlText w:val="%2)"/>
      <w:lvlJc w:val="left"/>
      <w:pPr>
        <w:ind w:left="100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2" w:tplc="61F2FD76">
      <w:start w:val="1"/>
      <w:numFmt w:val="decimal"/>
      <w:lvlText w:val="%3)"/>
      <w:lvlJc w:val="left"/>
      <w:pPr>
        <w:ind w:left="172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3" w:tplc="2936803C">
      <w:start w:val="1"/>
      <w:numFmt w:val="decimal"/>
      <w:lvlText w:val="%4)"/>
      <w:lvlJc w:val="left"/>
      <w:pPr>
        <w:ind w:left="244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4" w:tplc="1B108EB4">
      <w:start w:val="1"/>
      <w:numFmt w:val="decimal"/>
      <w:lvlText w:val="%5)"/>
      <w:lvlJc w:val="left"/>
      <w:pPr>
        <w:ind w:left="316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5" w:tplc="1ED43318">
      <w:start w:val="1"/>
      <w:numFmt w:val="decimal"/>
      <w:lvlText w:val="%6)"/>
      <w:lvlJc w:val="left"/>
      <w:pPr>
        <w:ind w:left="388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6" w:tplc="99E20640">
      <w:start w:val="1"/>
      <w:numFmt w:val="decimal"/>
      <w:lvlText w:val="%7)"/>
      <w:lvlJc w:val="left"/>
      <w:pPr>
        <w:ind w:left="460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7" w:tplc="1056FF52">
      <w:start w:val="1"/>
      <w:numFmt w:val="decimal"/>
      <w:lvlText w:val="%8)"/>
      <w:lvlJc w:val="left"/>
      <w:pPr>
        <w:ind w:left="532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8" w:tplc="93A838B0">
      <w:start w:val="1"/>
      <w:numFmt w:val="decimal"/>
      <w:lvlText w:val="%9)"/>
      <w:lvlJc w:val="left"/>
      <w:pPr>
        <w:ind w:left="6048" w:hanging="28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55D5139"/>
    <w:multiLevelType w:val="multilevel"/>
    <w:tmpl w:val="B0C87C34"/>
    <w:styleLink w:val="List6"/>
    <w:lvl w:ilvl="0">
      <w:start w:val="1"/>
      <w:numFmt w:val="lowerLetter"/>
      <w:lvlText w:val="%1)"/>
      <w:lvlJc w:val="left"/>
      <w:pPr>
        <w:ind w:left="864"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lowerLetter"/>
      <w:lvlText w:val="%1)%2."/>
      <w:lvlJc w:val="left"/>
      <w:pPr>
        <w:ind w:left="880" w:hanging="8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lowerLetter"/>
      <w:lvlText w:val="%1)%2.%3."/>
      <w:lvlJc w:val="left"/>
      <w:pPr>
        <w:ind w:left="940" w:hanging="8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lowerLetter"/>
      <w:lvlText w:val="%1)%2.%3.%4."/>
      <w:lvlJc w:val="left"/>
      <w:pPr>
        <w:ind w:left="1000" w:hanging="8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nothing"/>
      <w:lvlText w:val="%1)%2.%3.%4.%5."/>
      <w:lvlJc w:val="left"/>
      <w:pPr>
        <w:ind w:left="1060" w:hanging="8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lowerLetter"/>
      <w:suff w:val="nothing"/>
      <w:lvlText w:val="%1)%2.%3.%4.%5.%6."/>
      <w:lvlJc w:val="left"/>
      <w:pPr>
        <w:ind w:left="1120" w:hanging="8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lowerLetter"/>
      <w:suff w:val="nothing"/>
      <w:lvlText w:val="%1)%2.%3.%4.%5.%6.%7."/>
      <w:lvlJc w:val="left"/>
      <w:pPr>
        <w:ind w:left="1180" w:hanging="8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nothing"/>
      <w:lvlText w:val="%1)%2.%3.%4.%5.%6.%7.%8."/>
      <w:lvlJc w:val="left"/>
      <w:pPr>
        <w:ind w:left="1240" w:hanging="8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lowerLetter"/>
      <w:suff w:val="nothing"/>
      <w:lvlText w:val="%1)%2.%3.%4.%5.%6.%7.%8.%9."/>
      <w:lvlJc w:val="left"/>
      <w:pPr>
        <w:ind w:left="1300" w:hanging="8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46462690"/>
    <w:multiLevelType w:val="hybridMultilevel"/>
    <w:tmpl w:val="2AB6FC44"/>
    <w:styleLink w:val="List41"/>
    <w:lvl w:ilvl="0" w:tplc="4B52DCF2">
      <w:start w:val="1"/>
      <w:numFmt w:val="bullet"/>
      <w:lvlText w:val="·"/>
      <w:lvlJc w:val="left"/>
      <w:pPr>
        <w:tabs>
          <w:tab w:val="left" w:pos="720"/>
        </w:tabs>
        <w:ind w:left="1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F022F3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5708AB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32A2D0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034CDE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22E84D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80CD4F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FB4826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6A2BA1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 w15:restartNumberingAfterBreak="0">
    <w:nsid w:val="4AE27908"/>
    <w:multiLevelType w:val="hybridMultilevel"/>
    <w:tmpl w:val="2AB6FC44"/>
    <w:numStyleLink w:val="List41"/>
  </w:abstractNum>
  <w:abstractNum w:abstractNumId="9" w15:restartNumberingAfterBreak="0">
    <w:nsid w:val="4D794FEF"/>
    <w:multiLevelType w:val="hybridMultilevel"/>
    <w:tmpl w:val="929AA3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F44C71"/>
    <w:multiLevelType w:val="hybridMultilevel"/>
    <w:tmpl w:val="FAAC4AF2"/>
    <w:numStyleLink w:val="ai"/>
  </w:abstractNum>
  <w:abstractNum w:abstractNumId="11" w15:restartNumberingAfterBreak="0">
    <w:nsid w:val="64ED2CB8"/>
    <w:multiLevelType w:val="hybridMultilevel"/>
    <w:tmpl w:val="B470D92E"/>
    <w:numStyleLink w:val="List31"/>
  </w:abstractNum>
  <w:abstractNum w:abstractNumId="12" w15:restartNumberingAfterBreak="0">
    <w:nsid w:val="7F8C772F"/>
    <w:multiLevelType w:val="hybridMultilevel"/>
    <w:tmpl w:val="C4EAD924"/>
    <w:numStyleLink w:val="List21"/>
  </w:abstractNum>
  <w:num w:numId="1">
    <w:abstractNumId w:val="5"/>
  </w:num>
  <w:num w:numId="2">
    <w:abstractNumId w:val="6"/>
  </w:num>
  <w:num w:numId="3">
    <w:abstractNumId w:val="1"/>
  </w:num>
  <w:num w:numId="4">
    <w:abstractNumId w:val="5"/>
    <w:lvlOverride w:ilvl="0">
      <w:startOverride w:val="1"/>
      <w:lvl w:ilvl="0" w:tplc="C32CFA20">
        <w:start w:val="1"/>
        <w:numFmt w:val="decimal"/>
        <w:lvlText w:val="%1)"/>
        <w:lvlJc w:val="left"/>
        <w:pPr>
          <w:ind w:left="260" w:hanging="2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2CA0F0A">
        <w:start w:val="1"/>
        <w:numFmt w:val="decimal"/>
        <w:lvlText w:val="%2)"/>
        <w:lvlJc w:val="left"/>
        <w:pPr>
          <w:ind w:left="980" w:hanging="2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1F2FD76">
        <w:start w:val="1"/>
        <w:numFmt w:val="decimal"/>
        <w:lvlText w:val="%3)"/>
        <w:lvlJc w:val="left"/>
        <w:pPr>
          <w:ind w:left="1700" w:hanging="2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936803C">
        <w:start w:val="1"/>
        <w:numFmt w:val="decimal"/>
        <w:lvlText w:val="%4)"/>
        <w:lvlJc w:val="left"/>
        <w:pPr>
          <w:ind w:left="2420" w:hanging="2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B108EB4">
        <w:start w:val="1"/>
        <w:numFmt w:val="decimal"/>
        <w:lvlText w:val="%5)"/>
        <w:lvlJc w:val="left"/>
        <w:pPr>
          <w:ind w:left="3140" w:hanging="2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ED43318">
        <w:start w:val="1"/>
        <w:numFmt w:val="decimal"/>
        <w:lvlText w:val="%6)"/>
        <w:lvlJc w:val="left"/>
        <w:pPr>
          <w:ind w:left="3860" w:hanging="2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E20640">
        <w:start w:val="1"/>
        <w:numFmt w:val="decimal"/>
        <w:lvlText w:val="%7)"/>
        <w:lvlJc w:val="left"/>
        <w:pPr>
          <w:ind w:left="4580" w:hanging="2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1056FF52">
        <w:start w:val="1"/>
        <w:numFmt w:val="decimal"/>
        <w:lvlText w:val="%8)"/>
        <w:lvlJc w:val="left"/>
        <w:pPr>
          <w:ind w:left="5300" w:hanging="2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3A838B0">
        <w:start w:val="1"/>
        <w:numFmt w:val="decimal"/>
        <w:lvlText w:val="%9)"/>
        <w:lvlJc w:val="left"/>
        <w:pPr>
          <w:ind w:left="6020" w:hanging="26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
    <w:abstractNumId w:val="3"/>
  </w:num>
  <w:num w:numId="6">
    <w:abstractNumId w:val="10"/>
  </w:num>
  <w:num w:numId="7">
    <w:abstractNumId w:val="2"/>
  </w:num>
  <w:num w:numId="8">
    <w:abstractNumId w:val="12"/>
  </w:num>
  <w:num w:numId="9">
    <w:abstractNumId w:val="0"/>
  </w:num>
  <w:num w:numId="10">
    <w:abstractNumId w:val="11"/>
  </w:num>
  <w:num w:numId="11">
    <w:abstractNumId w:val="11"/>
    <w:lvlOverride w:ilvl="0">
      <w:lvl w:ilvl="0" w:tplc="1124F176">
        <w:start w:val="1"/>
        <w:numFmt w:val="bullet"/>
        <w:lvlText w:val="·"/>
        <w:lvlJc w:val="left"/>
        <w:pPr>
          <w:tabs>
            <w:tab w:val="left" w:pos="720"/>
          </w:tabs>
          <w:ind w:left="1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D590A53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DBD0417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46E2D3EA">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3FA2BD7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42E007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634E03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D42A50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2FCD0C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abstractNumId w:val="7"/>
  </w:num>
  <w:num w:numId="13">
    <w:abstractNumId w:val="8"/>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doNotTrackMov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668"/>
    <w:rsid w:val="00080B58"/>
    <w:rsid w:val="00116CB5"/>
    <w:rsid w:val="00175BA6"/>
    <w:rsid w:val="001D4DF1"/>
    <w:rsid w:val="002A0109"/>
    <w:rsid w:val="003B6AC8"/>
    <w:rsid w:val="004456C9"/>
    <w:rsid w:val="00457F4B"/>
    <w:rsid w:val="004D6208"/>
    <w:rsid w:val="00645CA2"/>
    <w:rsid w:val="00684F81"/>
    <w:rsid w:val="00696668"/>
    <w:rsid w:val="00697EB5"/>
    <w:rsid w:val="007D3E6E"/>
    <w:rsid w:val="0088595A"/>
    <w:rsid w:val="009C13F5"/>
    <w:rsid w:val="00B37015"/>
    <w:rsid w:val="00B64FB5"/>
    <w:rsid w:val="00C61256"/>
    <w:rsid w:val="00E7618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467E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rFonts w:eastAsia="Times New Roman"/>
      <w:color w:val="000000"/>
      <w:sz w:val="24"/>
      <w:szCs w:val="24"/>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cs="Arial Unicode MS"/>
      <w:color w:val="000000"/>
      <w14:textOutline w14:w="0" w14:cap="flat" w14:cmpd="sng" w14:algn="ctr">
        <w14:noFill/>
        <w14:prstDash w14:val="solid"/>
        <w14:bevel/>
      </w14:textOutline>
    </w:rPr>
  </w:style>
  <w:style w:type="paragraph" w:styleId="Footer">
    <w:name w:val="footer"/>
    <w:pPr>
      <w:tabs>
        <w:tab w:val="center" w:pos="4320"/>
        <w:tab w:val="right" w:pos="8640"/>
      </w:tabs>
    </w:pPr>
    <w:rPr>
      <w:rFonts w:eastAsia="Times New Roman"/>
      <w:color w:val="000000"/>
      <w14:textOutline w14:w="0" w14:cap="flat" w14:cmpd="sng" w14:algn="ctr">
        <w14:noFill/>
        <w14:prstDash w14:val="solid"/>
        <w14:bevel/>
      </w14:textOutline>
    </w:rPr>
  </w:style>
  <w:style w:type="character" w:styleId="PageNumber">
    <w:name w:val="page number"/>
    <w:rPr>
      <w:outline w:val="0"/>
      <w:color w:val="000000"/>
    </w:rPr>
  </w:style>
  <w:style w:type="paragraph" w:customStyle="1" w:styleId="TitleA">
    <w:name w:val="Title A"/>
    <w:pPr>
      <w:jc w:val="center"/>
    </w:pPr>
    <w:rPr>
      <w:rFonts w:cs="Arial Unicode MS"/>
      <w:b/>
      <w:bCs/>
      <w:color w:val="000000"/>
      <w:sz w:val="32"/>
      <w:szCs w:val="32"/>
      <w14:textOutline w14:w="0" w14:cap="flat" w14:cmpd="sng" w14:algn="ctr">
        <w14:noFill/>
        <w14:prstDash w14:val="solid"/>
        <w14:bevel/>
      </w14:textOutline>
    </w:rPr>
  </w:style>
  <w:style w:type="numbering" w:customStyle="1" w:styleId="List6">
    <w:name w:val="List 6"/>
    <w:pPr>
      <w:numPr>
        <w:numId w:val="2"/>
      </w:numPr>
    </w:pPr>
  </w:style>
  <w:style w:type="numbering" w:customStyle="1" w:styleId="ai">
    <w:name w:val="a. i."/>
    <w:pPr>
      <w:numPr>
        <w:numId w:val="5"/>
      </w:numPr>
    </w:pPr>
  </w:style>
  <w:style w:type="numbering" w:customStyle="1" w:styleId="List21">
    <w:name w:val="List 21"/>
    <w:pPr>
      <w:numPr>
        <w:numId w:val="7"/>
      </w:numPr>
    </w:pPr>
  </w:style>
  <w:style w:type="paragraph" w:customStyle="1" w:styleId="FreeForm">
    <w:name w:val="Free Form"/>
    <w:rPr>
      <w:rFonts w:eastAsia="Times New Roman"/>
      <w:color w:val="000000"/>
      <w14:textOutline w14:w="0" w14:cap="flat" w14:cmpd="sng" w14:algn="ctr">
        <w14:noFill/>
        <w14:prstDash w14:val="solid"/>
        <w14:bevel/>
      </w14:textOutline>
    </w:rPr>
  </w:style>
  <w:style w:type="numbering" w:customStyle="1" w:styleId="List31">
    <w:name w:val="List 31"/>
    <w:pPr>
      <w:numPr>
        <w:numId w:val="9"/>
      </w:numPr>
    </w:pPr>
  </w:style>
  <w:style w:type="numbering" w:customStyle="1" w:styleId="List41">
    <w:name w:val="List 41"/>
    <w:pPr>
      <w:numPr>
        <w:numId w:val="12"/>
      </w:numPr>
    </w:p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eastAsia="Times New Roman"/>
      <w:color w:val="000000"/>
      <w:sz w:val="24"/>
      <w:szCs w:val="24"/>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3B6AC8"/>
    <w:rPr>
      <w:sz w:val="18"/>
      <w:szCs w:val="18"/>
    </w:rPr>
  </w:style>
  <w:style w:type="character" w:customStyle="1" w:styleId="BalloonTextChar">
    <w:name w:val="Balloon Text Char"/>
    <w:basedOn w:val="DefaultParagraphFont"/>
    <w:link w:val="BalloonText"/>
    <w:uiPriority w:val="99"/>
    <w:semiHidden/>
    <w:rsid w:val="003B6AC8"/>
    <w:rPr>
      <w:rFonts w:eastAsia="Times New Roman"/>
      <w:color w:val="000000"/>
      <w:sz w:val="18"/>
      <w:szCs w:val="18"/>
      <w14:textOutline w14:w="0" w14:cap="flat" w14:cmpd="sng" w14:algn="ctr">
        <w14:noFill/>
        <w14:prstDash w14:val="solid"/>
        <w14:bevel/>
      </w14:textOutline>
    </w:rPr>
  </w:style>
  <w:style w:type="paragraph" w:styleId="CommentSubject">
    <w:name w:val="annotation subject"/>
    <w:basedOn w:val="CommentText"/>
    <w:next w:val="CommentText"/>
    <w:link w:val="CommentSubjectChar"/>
    <w:uiPriority w:val="99"/>
    <w:semiHidden/>
    <w:unhideWhenUsed/>
    <w:rsid w:val="003B6AC8"/>
    <w:rPr>
      <w:b/>
      <w:bCs/>
      <w:sz w:val="20"/>
      <w:szCs w:val="20"/>
    </w:rPr>
  </w:style>
  <w:style w:type="character" w:customStyle="1" w:styleId="CommentSubjectChar">
    <w:name w:val="Comment Subject Char"/>
    <w:basedOn w:val="CommentTextChar"/>
    <w:link w:val="CommentSubject"/>
    <w:uiPriority w:val="99"/>
    <w:semiHidden/>
    <w:rsid w:val="003B6AC8"/>
    <w:rPr>
      <w:rFonts w:eastAsia="Times New Roman"/>
      <w:b/>
      <w:bCs/>
      <w:color w:val="000000"/>
      <w:sz w:val="24"/>
      <w:szCs w:val="24"/>
      <w14:textOutline w14:w="0" w14:cap="flat" w14:cmpd="sng" w14:algn="ctr">
        <w14:noFill/>
        <w14:prstDash w14:val="solid"/>
        <w14:bevel/>
      </w14:textOutline>
    </w:rPr>
  </w:style>
  <w:style w:type="character" w:styleId="PlaceholderText">
    <w:name w:val="Placeholder Text"/>
    <w:basedOn w:val="DefaultParagraphFont"/>
    <w:uiPriority w:val="99"/>
    <w:semiHidden/>
    <w:rsid w:val="00E76184"/>
    <w:rPr>
      <w:color w:val="808080"/>
    </w:rPr>
  </w:style>
  <w:style w:type="paragraph" w:styleId="ListParagraph">
    <w:name w:val="List Paragraph"/>
    <w:basedOn w:val="Normal"/>
    <w:uiPriority w:val="34"/>
    <w:qFormat/>
    <w:rsid w:val="001D4D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0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Thanet Makjamroen - Thailand Liaison Officer</cp:lastModifiedBy>
  <cp:revision>10</cp:revision>
  <dcterms:created xsi:type="dcterms:W3CDTF">2020-07-28T03:39:00Z</dcterms:created>
  <dcterms:modified xsi:type="dcterms:W3CDTF">2021-01-20T06:29:00Z</dcterms:modified>
</cp:coreProperties>
</file>