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u w:val="single"/>
          <w:rtl w:val="0"/>
        </w:rPr>
        <w:t xml:space="preserve">(22.07.19): CLMVT Strategy</w:t>
      </w:r>
      <w:r w:rsidDel="00000000" w:rsidR="00000000" w:rsidRPr="00000000">
        <w:rPr>
          <w:rtl w:val="0"/>
        </w:rPr>
      </w:r>
    </w:p>
    <w:p w:rsidR="00000000" w:rsidDel="00000000" w:rsidP="00000000" w:rsidRDefault="00000000" w:rsidRPr="00000000" w14:paraId="00000002">
      <w:pPr>
        <w:spacing w:line="480" w:lineRule="auto"/>
        <w:ind w:firstLine="72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On Monday, the executive director from the Bureau of Trade in Services and Investment Negotiations, Mr. Prewprae, gave a lecture about CLMVT strategy. However, after having listened to the lecture, I would say the lecture was about CLMVT in general(strategies was only with respect to Thailand’s), FDI trends, and challenges CLMVT face within itself and with respect to other countries. Like we’ve previously learned, CLMV is growing at a fast rate, averaging around 6% a year, and we got a clearer idea of which sectors were getting what share of FDIs. Something new that we haven’t touched on is new trends in foreign investments. More investments are going toward joint ventures or mergers/acquisitions, however usually government policies require that a foreign investor can only have a maximum of 49% ownership. Investors are also looking into “no employment” ventures, factories that require no/very little employees which hurt the country by not employing local people in the workforce. On the other hand. we’re also seeing the trend of investing in the whole supply chain within the country. More and more, CLMV countries are supporting foreign investments by making themselves look attractive with tax exemptions and investment protections. He went over challenges, most of which we already knew, but added people have already started to combat some of them like sustainable development and inclusive growth through the Sustainable Development Goals forum and economic integration through digital tech. </w:t>
      </w:r>
    </w:p>
    <w:p w:rsidR="00000000" w:rsidDel="00000000" w:rsidP="00000000" w:rsidRDefault="00000000" w:rsidRPr="00000000" w14:paraId="00000003">
      <w:pPr>
        <w:spacing w:line="480" w:lineRule="auto"/>
        <w:ind w:firstLine="72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More about China’s impact was made clear. They are undoubtedly a rising powerhouse, with plans already in place to accommodate for its current and future growth: infrastructure like high-speed railways and highways that cover major cities and new airport, more “green” initiatives, and more. China isn’t in ASEAN but plays a critical role in ASEAN’s present and future economy. For one, China invests heavily in multiple CLMV countries, not only to help and profit, but also to gain soft power. Secondly, many ASEAN countries will significant benefit from China’s One Belt, One Road initiative, in which China’s government funds will invest in connecting 60 countries and half the world’s population, not only from construction opportunities but simply also from the inevitable increase in economic activity from ease in trade facilitation. In addition, the trade war between the U.S. and China impacts ASEAN countries as well, particularly Vietnam.</w:t>
      </w:r>
    </w:p>
    <w:p w:rsidR="00000000" w:rsidDel="00000000" w:rsidP="00000000" w:rsidRDefault="00000000" w:rsidRPr="00000000" w14:paraId="00000004">
      <w:pPr>
        <w:spacing w:line="480" w:lineRule="auto"/>
        <w:ind w:firstLine="72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Overall, I found today’s lecture to go a little more in depth about information we have previously learned. I would have appreciated more writing on the slides, rather than just tables and illustrations, even short bullets points that he would have explained further would have helped by telling us what the subject of the slide was about. It would have been nice to know, explicitly, what he wanted us to gain from each slide, especially looking back while writing this essay, because there was more that he said than I could catch in my notes. Overall, I found the powerpoint to be slightly unorganized and without clear structure or consistency. In addition, I wish he had specified each country’s challenges as opposed to grouping them all together as CLMVT and expanded on them as opposed to just listing them all out. The same goes for the topic of issues of cooperation.</w:t>
      </w:r>
      <w:r w:rsidDel="00000000" w:rsidR="00000000" w:rsidRPr="00000000">
        <w:br w:type="page"/>
      </w:r>
      <w:r w:rsidDel="00000000" w:rsidR="00000000" w:rsidRPr="00000000">
        <w:rPr>
          <w:rtl w:val="0"/>
        </w:rPr>
      </w:r>
    </w:p>
    <w:p w:rsidR="00000000" w:rsidDel="00000000" w:rsidP="00000000" w:rsidRDefault="00000000" w:rsidRPr="00000000" w14:paraId="00000005">
      <w:pPr>
        <w:spacing w:line="240" w:lineRule="auto"/>
        <w:ind w:left="0" w:firstLine="0"/>
        <w:jc w:val="center"/>
        <w:rPr>
          <w:rFonts w:ascii="Quattrocento Sans" w:cs="Quattrocento Sans" w:eastAsia="Quattrocento Sans" w:hAnsi="Quattrocento Sans"/>
          <w:sz w:val="24"/>
          <w:szCs w:val="24"/>
          <w:u w:val="single"/>
        </w:rPr>
      </w:pPr>
      <w:r w:rsidDel="00000000" w:rsidR="00000000" w:rsidRPr="00000000">
        <w:rPr>
          <w:rFonts w:ascii="Quattrocento Sans" w:cs="Quattrocento Sans" w:eastAsia="Quattrocento Sans" w:hAnsi="Quattrocento Sans"/>
          <w:sz w:val="24"/>
          <w:szCs w:val="24"/>
          <w:u w:val="single"/>
          <w:rtl w:val="0"/>
        </w:rPr>
        <w:t xml:space="preserve">(23.07.19): Myanmar’s Socio-economic and Political Issues</w:t>
      </w:r>
    </w:p>
    <w:p w:rsidR="00000000" w:rsidDel="00000000" w:rsidP="00000000" w:rsidRDefault="00000000" w:rsidRPr="00000000" w14:paraId="00000006">
      <w:pPr>
        <w:spacing w:line="480" w:lineRule="auto"/>
        <w:ind w:left="0" w:firstLine="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u w:val="single"/>
          <w:rtl w:val="0"/>
        </w:rPr>
        <w:tab/>
      </w:r>
      <w:r w:rsidDel="00000000" w:rsidR="00000000" w:rsidRPr="00000000">
        <w:rPr>
          <w:rFonts w:ascii="Quattrocento Sans" w:cs="Quattrocento Sans" w:eastAsia="Quattrocento Sans" w:hAnsi="Quattrocento Sans"/>
          <w:sz w:val="24"/>
          <w:szCs w:val="24"/>
          <w:rtl w:val="0"/>
        </w:rPr>
        <w:t xml:space="preserve">Tuesday’s lecture was an introduction to contemporary Myanmar, given by Ajarn Pinitbhand from the Faculty of Political Science. Before this class, I had know nearly nothing about Myanmar, and hadn’t even know that Burma had changed its name. Burma used to be a British colony until a nationalist group called Thakin led by beloved General Aung San, with the help of the Japanese, gained independence in 1948. Already within the group, there were differences in political ideology and conflict among members. In the midst of developing the country’s constitution, Aung San was assassinated. The 1950s was a progressive decade for Burma in terms of economic recover but ethnic minorities’ lack of autonomy lead to widespread unrest. In 1962, shortly after the election which brought U Nu back as Prime Minister, Ne Win staged a coup and therein began the country’s decline under military dictatorship. All dissent was suppressed and human rights were violated. When the government implemented demonetization, demonstrations broke out driven by economic desperation and opportunity for change. Coincidentally, the daughter of General Aung San, Aung San Suu Kyi, happened to return to Burma to nurse her dying mother and was approached by burgeoning democracy movement to lead. She captured people’s hearts with her nonviolent stance and political integrity and founded National League for Democracy; the government felt threatened so they put her on house-arrest in 1989. In that time, Burma changed its name to Myanmar. When they held an election in 1990, Aung San Suu Kyi’s NLD won overwhelmingly the military refused to hand over power. Then Than Shwe becomes PM, eventually freeing several political prisoners, including Aung San Suu Kyi in 1995, in an attempt to improve Myanmar’s international image. However, she is eventually put back on house arrest as Myanmar struggles with civil unrest, ethnic groups’ clashes with military government, and international sanctions. 2010 marks the transition from military rule to civilian democracy, and a week after the election, Aung San Suu Kyi, who was barred from participating, was released from house arrest. Thein Sein is the new president and talks with Aung San Suu Kyi as her party rejoins the political process; however, she will never be able to be president by constitutional law which is hard to change if ¾ votes are needed but the military officials comprise ¼. When NLD finally wins enough seats in parliamentary elections, shortly after Htin Kyaw is sworn in as president and new era of Aung San Suu Kyi’s democracy movement takes power after 50 years of military domination. Myanmar’s biggest crisis, however, may well be its Rohingya crisis, in which the army is raging war against the Rohingya Muslim minority for ethnic cleansing. </w:t>
      </w:r>
    </w:p>
    <w:p w:rsidR="00000000" w:rsidDel="00000000" w:rsidP="00000000" w:rsidRDefault="00000000" w:rsidRPr="00000000" w14:paraId="00000007">
      <w:pPr>
        <w:spacing w:line="480" w:lineRule="auto"/>
        <w:ind w:left="0" w:firstLine="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ab/>
        <w:t xml:space="preserve">Today’s lecture was insightful and information-rich. I think the aforementioned summary of what I learned, doesn’t even come close to capturing the depth of Myanmar’s historical or political background. There are so many unfortunate aspects to Myanmar’s politics. As an American, one of the things ingrained in us is the right to freedom established by our 1st Amendment. Our freedom of religion, speech,  press, assembly, and to petition the government are all protected by the amendment but the Burmese didn’t have any of these freedoms, and only awarded some recently like right to press. The Constitution put in place that people had the right to protect themselves against the military, which was the initial reason for the 2nd Amendment. Furthermore, the great injustice against the Rohingya people also demonstrates the need for religious freedom, however it seems to me that the military aren’t the only ones who seek to get rid of them, considering how the Buddhists in Myanmar are preaching in the same vain.  </w:t>
        <w:tab/>
      </w:r>
    </w:p>
    <w:p w:rsidR="00000000" w:rsidDel="00000000" w:rsidP="00000000" w:rsidRDefault="00000000" w:rsidRPr="00000000" w14:paraId="00000008">
      <w:pPr>
        <w:spacing w:line="240" w:lineRule="auto"/>
        <w:ind w:left="0" w:firstLine="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ab/>
      </w:r>
    </w:p>
    <w:p w:rsidR="00000000" w:rsidDel="00000000" w:rsidP="00000000" w:rsidRDefault="00000000" w:rsidRPr="00000000" w14:paraId="00000009">
      <w:pPr>
        <w:jc w:val="center"/>
        <w:rPr>
          <w:rFonts w:ascii="Quattrocento Sans" w:cs="Quattrocento Sans" w:eastAsia="Quattrocento Sans" w:hAnsi="Quattrocento Sans"/>
          <w:sz w:val="24"/>
          <w:szCs w:val="24"/>
          <w:u w:val="single"/>
        </w:rPr>
      </w:pPr>
      <w:r w:rsidDel="00000000" w:rsidR="00000000" w:rsidRPr="00000000">
        <w:rPr>
          <w:rFonts w:ascii="Quattrocento Sans" w:cs="Quattrocento Sans" w:eastAsia="Quattrocento Sans" w:hAnsi="Quattrocento Sans"/>
          <w:sz w:val="24"/>
          <w:szCs w:val="24"/>
          <w:u w:val="single"/>
          <w:rtl w:val="0"/>
        </w:rPr>
        <w:t xml:space="preserve">(25.07.19): ASEAN Integration, Border Trade, &amp; China</w:t>
      </w:r>
    </w:p>
    <w:p w:rsidR="00000000" w:rsidDel="00000000" w:rsidP="00000000" w:rsidRDefault="00000000" w:rsidRPr="00000000" w14:paraId="0000000A">
      <w:pPr>
        <w:spacing w:line="480" w:lineRule="auto"/>
        <w:ind w:firstLine="72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The 5 areas of ASEAN integration include goods, services, investment, labor, and capital. These are in order of ease to integrate. For goods, the main goal is 0 tariffs, as outlined in the AEC Blueprint. Tariff reductions are progressing as planned, with the exception of CLMV, who have been given more time because they have development slower. However, non-tariff barriers, such as quotas, licenses, and technical regulations, remain important obstacles to integration of goods. We’ve learned about some of the logistics networks like the EWEC and know that there are logistical advantages to the peninsular countries, whereas islands face greater costs. For services/investment, ASEAN had overly ambitious liberalization goals for ASEAN equity participation in service businesses, in terms that the jump from 49% to 51% equity is a difficult hurdle. Malaysia and Singapore have been the only countries to significantly progress in liberalization of shareholding in the services sector. For investment, ASEAN members liberalize only to the extent of their domestic laws, where some countries are open to FDIs in certain sectors whereas others are conservative. Regardless, the majority of investors come from outside ASEAN. For labor, most movements are non- or semi-skilled workers. Mutual Recognition Arrangements are signed for 8 skilled professions but subject to domestic competency laws and regulations of the host country, where exams are typically in the host’s language. For capital, the ultimate goal is free movement of capital, which could be possible if ASEAN had a common currency, which is unlikely to ever happen. For it to happen, ASEAN should fulfill optimum currency area conditions, one of which is synchronized business cycles; ASEAN 6 have this characteristic but not CLMV. All of what he lectured on border trade, movements of people, sectors of investment, and remittances are all things that we have learned prior.</w:t>
      </w:r>
    </w:p>
    <w:p w:rsidR="00000000" w:rsidDel="00000000" w:rsidP="00000000" w:rsidRDefault="00000000" w:rsidRPr="00000000" w14:paraId="0000000B">
      <w:pPr>
        <w:spacing w:line="480" w:lineRule="auto"/>
        <w:ind w:firstLine="72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Prior to this class I knew close to nothing about China’s history. China’s command economic system consists of the Great Leap Forward (1958-60) and the Cultural Revolution (1966-76). The Great Leap Forward led to the institutional inequality and “the worst man-made famine in history” in which an estimated 30 million people died. The Cultural Revolution shut down schools, stole from the rich under the guise that it would be redistributed to the poor, created mistrust among family and friends, led to death and more. However, China experienced economic success, led by Deng Xiaoping, since the economic and political reforms. In China’s path, they reformed the neglected agricultural sector, opened up to FDIs, decentralized government controls, privatised state enterprises, and surpassed Japan as the largest economy in Asia. China’s power is a threat to the U.S., especially considering their tech industry and One Belt One Road initiative, which fuels their current trade war. </w:t>
      </w:r>
    </w:p>
    <w:p w:rsidR="00000000" w:rsidDel="00000000" w:rsidP="00000000" w:rsidRDefault="00000000" w:rsidRPr="00000000" w14:paraId="0000000C">
      <w:pPr>
        <w:spacing w:line="480" w:lineRule="auto"/>
        <w:ind w:left="0" w:firstLine="720"/>
        <w:rPr>
          <w:rFonts w:ascii="Quattrocento Sans" w:cs="Quattrocento Sans" w:eastAsia="Quattrocento Sans" w:hAnsi="Quattrocento Sans"/>
          <w:sz w:val="24"/>
          <w:szCs w:val="24"/>
          <w:u w:val="single"/>
        </w:rPr>
      </w:pPr>
      <w:r w:rsidDel="00000000" w:rsidR="00000000" w:rsidRPr="00000000">
        <w:rPr>
          <w:rFonts w:ascii="Quattrocento Sans" w:cs="Quattrocento Sans" w:eastAsia="Quattrocento Sans" w:hAnsi="Quattrocento Sans"/>
          <w:sz w:val="24"/>
          <w:szCs w:val="24"/>
          <w:rtl w:val="0"/>
        </w:rPr>
        <w:t xml:space="preserve">I think I learned valuable information about China during today’s lecture. I learned that the race toward 5G fuels the trade war, among other things. Now that I get a sense of its power (big data, military connectivity, efficiency, network security), I understand how it can very well change the world. I think that the social credit system is crazy, like something from a tv show, in fact and something that Americans are very cautious of, considering we are very private people. It’s disappointing that the household registration system leads to normalized and institutionalized discrimination. It holds back the people who need education and opportunity more, while creating inequality.</w:t>
      </w:r>
      <w:r w:rsidDel="00000000" w:rsidR="00000000" w:rsidRPr="00000000">
        <w:rPr>
          <w:rtl w:val="0"/>
        </w:rPr>
      </w:r>
    </w:p>
    <w:p w:rsidR="00000000" w:rsidDel="00000000" w:rsidP="00000000" w:rsidRDefault="00000000" w:rsidRPr="00000000" w14:paraId="0000000D">
      <w:pPr>
        <w:jc w:val="center"/>
        <w:rPr>
          <w:rFonts w:ascii="Quattrocento Sans" w:cs="Quattrocento Sans" w:eastAsia="Quattrocento Sans" w:hAnsi="Quattrocento Sans"/>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0E">
      <w:pPr>
        <w:jc w:val="center"/>
        <w:rPr>
          <w:rFonts w:ascii="Quattrocento Sans" w:cs="Quattrocento Sans" w:eastAsia="Quattrocento Sans" w:hAnsi="Quattrocento Sans"/>
          <w:sz w:val="24"/>
          <w:szCs w:val="24"/>
          <w:u w:val="single"/>
        </w:rPr>
      </w:pPr>
      <w:r w:rsidDel="00000000" w:rsidR="00000000" w:rsidRPr="00000000">
        <w:rPr>
          <w:rFonts w:ascii="Quattrocento Sans" w:cs="Quattrocento Sans" w:eastAsia="Quattrocento Sans" w:hAnsi="Quattrocento Sans"/>
          <w:sz w:val="24"/>
          <w:szCs w:val="24"/>
          <w:u w:val="single"/>
          <w:rtl w:val="0"/>
        </w:rPr>
        <w:t xml:space="preserve">(26.07.19): Urbanization in CLMV: Challenges and Opportunities</w:t>
      </w:r>
    </w:p>
    <w:p w:rsidR="00000000" w:rsidDel="00000000" w:rsidP="00000000" w:rsidRDefault="00000000" w:rsidRPr="00000000" w14:paraId="0000000F">
      <w:pPr>
        <w:spacing w:line="480" w:lineRule="auto"/>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u w:val="single"/>
          <w:rtl w:val="0"/>
        </w:rPr>
        <w:tab/>
      </w:r>
      <w:r w:rsidDel="00000000" w:rsidR="00000000" w:rsidRPr="00000000">
        <w:rPr>
          <w:rFonts w:ascii="Quattrocento Sans" w:cs="Quattrocento Sans" w:eastAsia="Quattrocento Sans" w:hAnsi="Quattrocento Sans"/>
          <w:sz w:val="24"/>
          <w:szCs w:val="24"/>
          <w:rtl w:val="0"/>
        </w:rPr>
        <w:t xml:space="preserve">In today’s lecture, Dr. Hakim gave us a review of the historical and socio-economic context of CLMV countries, and taught us about their drivers of urban growth as well as their key trends, issues, and challenges. Right now, CLMV and many other ASEAN countries are in the midst of political and economic transformation. As we’ve been learning throughout this course, regional trends include connectivity through infrastructure developments, encouraged cooperation in trade (especially cross-border), and community through harmonized policies and tourism. The key drivers of urban growth include: government policies and strategies, regional cooperation, infrastructure, foreign investment, and rural-urban migration. Cambodia has seen great improvement with increased FDIs and advancing to MIC status in 2016; however, Cambodia’s challenges include political corruption, a need for economic diversification, and inefficient land use. Laos also suffers from lack of economic diversification and lack of an industrial base, a problem which can be exacerbated by their resource exploitation (hydropower and mining). Myanmar faces nearly the same challenges as Laos but at a greater magnitude considering their recent emergence from isolation and political reforms. Myanmar’s challenges include nearly obsolete infrastructure needed for economic growth, lack of human resource capacity, and ongoing conflicts with ethnic and minority groups. In contrast to the rest of CLMV, Vietnam is the most advanced, has much more diversification, and is considered one of Asia’s most dynamic economies, with key economic sectors of agriculture, manufacturing, trade, tourism, and services. They graduated from LIC to MIC status in 2012 and is currently in the midst of rapid economic growth. A surge in foreign investments could be a cause, or even an effect, of this rapid growth. As a result, however, Vietnam faces increasing inequality and struggles with </w:t>
      </w:r>
      <w:r w:rsidDel="00000000" w:rsidR="00000000" w:rsidRPr="00000000">
        <w:rPr>
          <w:rFonts w:ascii="Quattrocento Sans" w:cs="Quattrocento Sans" w:eastAsia="Quattrocento Sans" w:hAnsi="Quattrocento Sans"/>
          <w:i w:val="1"/>
          <w:sz w:val="24"/>
          <w:szCs w:val="24"/>
          <w:rtl w:val="0"/>
        </w:rPr>
        <w:t xml:space="preserve">inclusive</w:t>
      </w:r>
      <w:r w:rsidDel="00000000" w:rsidR="00000000" w:rsidRPr="00000000">
        <w:rPr>
          <w:rFonts w:ascii="Quattrocento Sans" w:cs="Quattrocento Sans" w:eastAsia="Quattrocento Sans" w:hAnsi="Quattrocento Sans"/>
          <w:sz w:val="24"/>
          <w:szCs w:val="24"/>
          <w:rtl w:val="0"/>
        </w:rPr>
        <w:t xml:space="preserve"> development. To conclude, Dr. Hakim gave a summary of what he went over and mentioned aspects that CLMV countries must pay close attention to as they continue to urbanized, for instance environment management and sustainable development, inclusive development, financial management, climate change, migration, and more. </w:t>
      </w:r>
    </w:p>
    <w:p w:rsidR="00000000" w:rsidDel="00000000" w:rsidP="00000000" w:rsidRDefault="00000000" w:rsidRPr="00000000" w14:paraId="00000010">
      <w:pPr>
        <w:spacing w:line="480" w:lineRule="auto"/>
        <w:ind w:firstLine="720"/>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While some could complain that Dr. Hakim mostly just read off the slides, I appreciate how much information was on the powerpoint, however I did wish that when he lectured that he had added more to it. Although this lecture mostly repeated things we have learned previously, I still found aspects useful, particularly the part about the steps “moving forward.” It is giving me ideas about policy recommendations for our final project. In particular, I found the concept of “social infrastructure” interesting, considering it is a new term to me. It refers to inclusive growth (economic growth that is distributed across every section of society and creates equitable opportunities for all) and environmental management. These aspects of social infrastructure are equally important as physical infrastructure in order to ensure </w:t>
      </w:r>
      <w:r w:rsidDel="00000000" w:rsidR="00000000" w:rsidRPr="00000000">
        <w:rPr>
          <w:rFonts w:ascii="Quattrocento Sans" w:cs="Quattrocento Sans" w:eastAsia="Quattrocento Sans" w:hAnsi="Quattrocento Sans"/>
          <w:i w:val="1"/>
          <w:sz w:val="24"/>
          <w:szCs w:val="24"/>
          <w:rtl w:val="0"/>
        </w:rPr>
        <w:t xml:space="preserve">sustainable</w:t>
      </w:r>
      <w:r w:rsidDel="00000000" w:rsidR="00000000" w:rsidRPr="00000000">
        <w:rPr>
          <w:rFonts w:ascii="Quattrocento Sans" w:cs="Quattrocento Sans" w:eastAsia="Quattrocento Sans" w:hAnsi="Quattrocento Sans"/>
          <w:sz w:val="24"/>
          <w:szCs w:val="24"/>
          <w:rtl w:val="0"/>
        </w:rPr>
        <w:t xml:space="preserve"> growth, which is the topic of my group’s project in Laos. Dr. Hakin gave a very helpful answer when I asked him how Laos could prevent Dutch Disease especially considering how resource-rich the country is. With respect to hydropower development in Laos(coincidentally our group’s topic), he answered: avoid/minimize any adverse impacts as much as possible like amount of people that must be displaced and trees cut down, have contingency plans for foreseen circumstances like floods, and offset impacts like resettlement plans that improve previous living standards and replanting trees elsewhere. </w:t>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1">
    <w:pPr>
      <w:rPr>
        <w:rFonts w:ascii="Quattrocento Sans" w:cs="Quattrocento Sans" w:eastAsia="Quattrocento Sans" w:hAnsi="Quattrocento Sans"/>
        <w:sz w:val="24"/>
        <w:szCs w:val="24"/>
      </w:rPr>
    </w:pPr>
    <w:r w:rsidDel="00000000" w:rsidR="00000000" w:rsidRPr="00000000">
      <w:rPr>
        <w:rtl w:val="0"/>
      </w:rPr>
    </w:r>
  </w:p>
  <w:p w:rsidR="00000000" w:rsidDel="00000000" w:rsidP="00000000" w:rsidRDefault="00000000" w:rsidRPr="00000000" w14:paraId="00000012">
    <w:pPr>
      <w:rPr>
        <w:rFonts w:ascii="Quattrocento Sans" w:cs="Quattrocento Sans" w:eastAsia="Quattrocento Sans" w:hAnsi="Quattrocento Sans"/>
        <w:sz w:val="24"/>
        <w:szCs w:val="24"/>
      </w:rPr>
    </w:pPr>
    <w:r w:rsidDel="00000000" w:rsidR="00000000" w:rsidRPr="00000000">
      <w:rPr>
        <w:rFonts w:ascii="Quattrocento Sans" w:cs="Quattrocento Sans" w:eastAsia="Quattrocento Sans" w:hAnsi="Quattrocento Sans"/>
        <w:sz w:val="24"/>
        <w:szCs w:val="24"/>
        <w:rtl w:val="0"/>
      </w:rPr>
      <w:t xml:space="preserve">Christine 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