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C3FFF8" w14:textId="3107E279" w:rsidR="008C78F6" w:rsidRPr="008C78F6" w:rsidRDefault="008C78F6" w:rsidP="008C78F6">
      <w:pPr>
        <w:spacing w:line="480" w:lineRule="auto"/>
        <w:jc w:val="right"/>
        <w:rPr>
          <w:rFonts w:ascii="Times New Roman" w:hAnsi="Times New Roman" w:cs="Times New Roman"/>
          <w:b/>
        </w:rPr>
      </w:pPr>
      <w:r w:rsidRPr="008C78F6">
        <w:rPr>
          <w:rFonts w:ascii="Times New Roman" w:hAnsi="Times New Roman" w:cs="Times New Roman"/>
          <w:b/>
        </w:rPr>
        <w:t xml:space="preserve">Pruthaporn </w:t>
      </w:r>
      <w:proofErr w:type="spellStart"/>
      <w:r w:rsidRPr="008C78F6">
        <w:rPr>
          <w:rFonts w:ascii="Times New Roman" w:hAnsi="Times New Roman" w:cs="Times New Roman"/>
          <w:b/>
        </w:rPr>
        <w:t>Yai-aroon</w:t>
      </w:r>
      <w:proofErr w:type="spellEnd"/>
    </w:p>
    <w:p w14:paraId="34027B5C" w14:textId="4AC51020" w:rsidR="008C78F6" w:rsidRPr="008C78F6" w:rsidRDefault="008C78F6" w:rsidP="008C78F6">
      <w:pPr>
        <w:spacing w:line="480" w:lineRule="auto"/>
        <w:jc w:val="right"/>
        <w:rPr>
          <w:rFonts w:ascii="Times New Roman" w:hAnsi="Times New Roman" w:cs="Times New Roman"/>
          <w:b/>
        </w:rPr>
      </w:pPr>
      <w:r w:rsidRPr="008C78F6">
        <w:rPr>
          <w:rFonts w:ascii="Times New Roman" w:hAnsi="Times New Roman" w:cs="Times New Roman"/>
          <w:b/>
        </w:rPr>
        <w:t>5504641373</w:t>
      </w:r>
    </w:p>
    <w:p w14:paraId="510F15D3" w14:textId="7AB6A770" w:rsidR="008C78F6" w:rsidRPr="008C78F6" w:rsidRDefault="008C78F6" w:rsidP="008C78F6">
      <w:pPr>
        <w:spacing w:line="480" w:lineRule="auto"/>
        <w:jc w:val="right"/>
        <w:rPr>
          <w:rFonts w:ascii="Times New Roman" w:hAnsi="Times New Roman" w:cs="Times New Roman"/>
          <w:b/>
        </w:rPr>
      </w:pPr>
      <w:r w:rsidRPr="008C78F6">
        <w:rPr>
          <w:rFonts w:ascii="Times New Roman" w:hAnsi="Times New Roman" w:cs="Times New Roman"/>
          <w:b/>
        </w:rPr>
        <w:t>Word count: 1521</w:t>
      </w:r>
    </w:p>
    <w:p w14:paraId="4DE8250C" w14:textId="77777777" w:rsidR="00D92CF4" w:rsidRDefault="00D92CF4" w:rsidP="008C78F6">
      <w:pPr>
        <w:spacing w:line="480" w:lineRule="auto"/>
        <w:ind w:firstLine="720"/>
        <w:rPr>
          <w:rFonts w:ascii="Times New Roman" w:hAnsi="Times New Roman" w:cs="Times New Roman"/>
        </w:rPr>
      </w:pPr>
    </w:p>
    <w:p w14:paraId="612B6E82" w14:textId="503FA0A3" w:rsidR="00044268" w:rsidRPr="002B05D0" w:rsidRDefault="00044268" w:rsidP="008C78F6">
      <w:pPr>
        <w:spacing w:line="480" w:lineRule="auto"/>
        <w:ind w:firstLine="720"/>
        <w:rPr>
          <w:rFonts w:ascii="Times New Roman" w:hAnsi="Times New Roman" w:cs="Times New Roman"/>
        </w:rPr>
      </w:pPr>
      <w:r w:rsidRPr="002B05D0">
        <w:rPr>
          <w:rFonts w:ascii="Times New Roman" w:hAnsi="Times New Roman" w:cs="Times New Roman"/>
        </w:rPr>
        <w:t>Thailand is one of the successful in develop</w:t>
      </w:r>
      <w:r w:rsidR="006304BB">
        <w:rPr>
          <w:rFonts w:ascii="Times New Roman" w:hAnsi="Times New Roman" w:cs="Times New Roman"/>
        </w:rPr>
        <w:t>ing</w:t>
      </w:r>
      <w:r w:rsidRPr="002B05D0">
        <w:rPr>
          <w:rFonts w:ascii="Times New Roman" w:hAnsi="Times New Roman" w:cs="Times New Roman"/>
        </w:rPr>
        <w:t xml:space="preserve"> an economy. Since smart econo</w:t>
      </w:r>
      <w:r w:rsidR="00A260CF" w:rsidRPr="002B05D0">
        <w:rPr>
          <w:rFonts w:ascii="Times New Roman" w:hAnsi="Times New Roman" w:cs="Times New Roman"/>
        </w:rPr>
        <w:t xml:space="preserve">mic policies, Thailand became </w:t>
      </w:r>
      <w:r w:rsidRPr="002B05D0">
        <w:rPr>
          <w:rFonts w:ascii="Times New Roman" w:hAnsi="Times New Roman" w:cs="Times New Roman"/>
        </w:rPr>
        <w:t>upper-middle income economy</w:t>
      </w:r>
      <w:r w:rsidR="00A260CF" w:rsidRPr="002B05D0">
        <w:rPr>
          <w:rFonts w:ascii="Times New Roman" w:hAnsi="Times New Roman" w:cs="Times New Roman"/>
        </w:rPr>
        <w:t xml:space="preserve"> in a less generation with sustain growth and poverty reduction</w:t>
      </w:r>
      <w:r w:rsidRPr="002B05D0">
        <w:rPr>
          <w:rFonts w:ascii="Times New Roman" w:hAnsi="Times New Roman" w:cs="Times New Roman"/>
        </w:rPr>
        <w:t xml:space="preserve">. </w:t>
      </w:r>
      <w:r w:rsidR="00607816" w:rsidRPr="002B05D0">
        <w:rPr>
          <w:rFonts w:ascii="Times New Roman" w:hAnsi="Times New Roman" w:cs="Times New Roman"/>
        </w:rPr>
        <w:t>In 2015</w:t>
      </w:r>
      <w:r w:rsidR="008E3A7C" w:rsidRPr="002B05D0">
        <w:rPr>
          <w:rFonts w:ascii="Times New Roman" w:hAnsi="Times New Roman" w:cs="Times New Roman"/>
        </w:rPr>
        <w:t xml:space="preserve">, Thailand’s economy is expected to </w:t>
      </w:r>
      <w:r w:rsidR="00CE51A8" w:rsidRPr="002B05D0">
        <w:rPr>
          <w:rFonts w:ascii="Times New Roman" w:hAnsi="Times New Roman" w:cs="Times New Roman"/>
        </w:rPr>
        <w:t>expand. H</w:t>
      </w:r>
      <w:r w:rsidR="008E3A7C" w:rsidRPr="002B05D0">
        <w:rPr>
          <w:rFonts w:ascii="Times New Roman" w:hAnsi="Times New Roman" w:cs="Times New Roman"/>
        </w:rPr>
        <w:t xml:space="preserve">ence government spending </w:t>
      </w:r>
      <w:r w:rsidR="00CA4F3B">
        <w:rPr>
          <w:rFonts w:ascii="Times New Roman" w:hAnsi="Times New Roman" w:cs="Times New Roman"/>
        </w:rPr>
        <w:t>is</w:t>
      </w:r>
      <w:r w:rsidR="008329C2" w:rsidRPr="002B05D0">
        <w:rPr>
          <w:rFonts w:ascii="Times New Roman" w:hAnsi="Times New Roman" w:cs="Times New Roman"/>
        </w:rPr>
        <w:t xml:space="preserve"> play</w:t>
      </w:r>
      <w:r w:rsidR="00CA4F3B">
        <w:rPr>
          <w:rFonts w:ascii="Times New Roman" w:hAnsi="Times New Roman" w:cs="Times New Roman"/>
        </w:rPr>
        <w:t>ing</w:t>
      </w:r>
      <w:r w:rsidR="008329C2" w:rsidRPr="002B05D0">
        <w:rPr>
          <w:rFonts w:ascii="Times New Roman" w:hAnsi="Times New Roman" w:cs="Times New Roman"/>
        </w:rPr>
        <w:t xml:space="preserve"> a major role in enhancing economic expansion through economic improvement plan and other economic meas</w:t>
      </w:r>
      <w:r w:rsidR="00607816" w:rsidRPr="002B05D0">
        <w:rPr>
          <w:rFonts w:ascii="Times New Roman" w:hAnsi="Times New Roman" w:cs="Times New Roman"/>
        </w:rPr>
        <w:t>urement</w:t>
      </w:r>
      <w:r w:rsidR="00CA4F3B">
        <w:rPr>
          <w:rFonts w:ascii="Times New Roman" w:hAnsi="Times New Roman" w:cs="Times New Roman"/>
        </w:rPr>
        <w:t>s</w:t>
      </w:r>
      <w:r w:rsidR="00607816" w:rsidRPr="002B05D0">
        <w:rPr>
          <w:rFonts w:ascii="Times New Roman" w:hAnsi="Times New Roman" w:cs="Times New Roman"/>
        </w:rPr>
        <w:t>, such as</w:t>
      </w:r>
      <w:r w:rsidR="004D620F" w:rsidRPr="002B05D0">
        <w:rPr>
          <w:rFonts w:ascii="Times New Roman" w:hAnsi="Times New Roman" w:cs="Times New Roman"/>
        </w:rPr>
        <w:t xml:space="preserve"> expediting and improving efficiency in disbursement. </w:t>
      </w:r>
      <w:r w:rsidR="00AE3805" w:rsidRPr="002B05D0">
        <w:rPr>
          <w:rFonts w:ascii="Times New Roman" w:hAnsi="Times New Roman" w:cs="Times New Roman"/>
        </w:rPr>
        <w:t xml:space="preserve">To manage expenditure in 2015, government will give </w:t>
      </w:r>
      <w:r w:rsidR="00607816" w:rsidRPr="002B05D0">
        <w:rPr>
          <w:rFonts w:ascii="Times New Roman" w:hAnsi="Times New Roman" w:cs="Times New Roman"/>
        </w:rPr>
        <w:t>a</w:t>
      </w:r>
      <w:r w:rsidR="00AE3805" w:rsidRPr="002B05D0">
        <w:rPr>
          <w:rFonts w:ascii="Times New Roman" w:hAnsi="Times New Roman" w:cs="Times New Roman"/>
        </w:rPr>
        <w:t xml:space="preserve"> priority to restoring </w:t>
      </w:r>
      <w:r w:rsidR="00607816" w:rsidRPr="002B05D0">
        <w:rPr>
          <w:rFonts w:ascii="Times New Roman" w:hAnsi="Times New Roman" w:cs="Times New Roman"/>
        </w:rPr>
        <w:t>confidence and accelerating the establishment of foundation for a country. Underlining will be made on favoring urgent assistant for people, including sti</w:t>
      </w:r>
      <w:r w:rsidR="00497813" w:rsidRPr="002B05D0">
        <w:rPr>
          <w:rFonts w:ascii="Times New Roman" w:hAnsi="Times New Roman" w:cs="Times New Roman"/>
        </w:rPr>
        <w:t>mulating economy and investment and</w:t>
      </w:r>
      <w:r w:rsidR="00607816" w:rsidRPr="002B05D0">
        <w:rPr>
          <w:rFonts w:ascii="Times New Roman" w:hAnsi="Times New Roman" w:cs="Times New Roman"/>
        </w:rPr>
        <w:t xml:space="preserve"> mobilizing infrastructures</w:t>
      </w:r>
      <w:r w:rsidR="00497813" w:rsidRPr="002B05D0">
        <w:rPr>
          <w:rFonts w:ascii="Times New Roman" w:hAnsi="Times New Roman" w:cs="Times New Roman"/>
        </w:rPr>
        <w:t xml:space="preserve"> in order to enter into ASEAN Economic community.</w:t>
      </w:r>
      <w:r w:rsidR="00BC023D" w:rsidRPr="002B05D0">
        <w:rPr>
          <w:rFonts w:ascii="Times New Roman" w:hAnsi="Times New Roman" w:cs="Times New Roman"/>
        </w:rPr>
        <w:t xml:space="preserve"> </w:t>
      </w:r>
    </w:p>
    <w:p w14:paraId="2F831003" w14:textId="769767E9" w:rsidR="00B73945" w:rsidRPr="002B05D0" w:rsidRDefault="00A375E6" w:rsidP="00A375E6">
      <w:pPr>
        <w:spacing w:line="480" w:lineRule="auto"/>
        <w:rPr>
          <w:rFonts w:ascii="Times New Roman" w:hAnsi="Times New Roman" w:cs="Times New Roman"/>
        </w:rPr>
      </w:pPr>
      <w:r w:rsidRPr="002B05D0">
        <w:rPr>
          <w:rFonts w:ascii="Times New Roman" w:hAnsi="Times New Roman" w:cs="Times New Roman"/>
        </w:rPr>
        <w:tab/>
      </w:r>
    </w:p>
    <w:p w14:paraId="0A50EB79" w14:textId="6B40B047" w:rsidR="0059281E" w:rsidRPr="002B05D0" w:rsidRDefault="0059281E" w:rsidP="00A375E6">
      <w:pPr>
        <w:spacing w:line="480" w:lineRule="auto"/>
        <w:rPr>
          <w:rFonts w:ascii="Times New Roman" w:hAnsi="Times New Roman" w:cs="Times New Roman"/>
          <w:b/>
          <w:u w:val="single"/>
        </w:rPr>
      </w:pPr>
      <w:r w:rsidRPr="002B05D0">
        <w:rPr>
          <w:rFonts w:ascii="Times New Roman" w:hAnsi="Times New Roman" w:cs="Times New Roman"/>
          <w:b/>
          <w:u w:val="single"/>
        </w:rPr>
        <w:t>Overall government expenditure in Thailand</w:t>
      </w:r>
    </w:p>
    <w:p w14:paraId="5A133FCA" w14:textId="77777777" w:rsidR="00B73945" w:rsidRPr="002B05D0" w:rsidRDefault="00B73945" w:rsidP="00A375E6">
      <w:pPr>
        <w:spacing w:line="480" w:lineRule="auto"/>
        <w:rPr>
          <w:rFonts w:ascii="Times New Roman" w:hAnsi="Times New Roman" w:cs="Times New Roman"/>
          <w:i/>
          <w:u w:val="single"/>
        </w:rPr>
      </w:pPr>
    </w:p>
    <w:p w14:paraId="36331355" w14:textId="063D59B5" w:rsidR="000D7D1F" w:rsidRPr="002B05D0" w:rsidRDefault="00D449A8" w:rsidP="0059281E">
      <w:pPr>
        <w:spacing w:line="480" w:lineRule="auto"/>
        <w:ind w:firstLine="720"/>
        <w:rPr>
          <w:rFonts w:ascii="Times New Roman" w:hAnsi="Times New Roman" w:cs="Times New Roman"/>
        </w:rPr>
      </w:pPr>
      <w:r w:rsidRPr="002B05D0">
        <w:rPr>
          <w:rFonts w:ascii="Times New Roman" w:hAnsi="Times New Roman" w:cs="Times New Roman"/>
        </w:rPr>
        <w:t>In</w:t>
      </w:r>
      <w:r w:rsidR="00F50865" w:rsidRPr="002B05D0">
        <w:rPr>
          <w:rFonts w:ascii="Times New Roman" w:hAnsi="Times New Roman" w:cs="Times New Roman"/>
        </w:rPr>
        <w:t xml:space="preserve"> appendix (</w:t>
      </w:r>
      <w:r w:rsidR="00F50865" w:rsidRPr="002B05D0">
        <w:rPr>
          <w:rFonts w:ascii="Times New Roman" w:hAnsi="Times New Roman" w:cs="Times New Roman"/>
          <w:i/>
        </w:rPr>
        <w:t>Figture1</w:t>
      </w:r>
      <w:r w:rsidR="00B8148D" w:rsidRPr="002B05D0">
        <w:rPr>
          <w:rFonts w:ascii="Times New Roman" w:hAnsi="Times New Roman" w:cs="Times New Roman"/>
        </w:rPr>
        <w:t xml:space="preserve">), </w:t>
      </w:r>
      <w:r w:rsidR="007673E1" w:rsidRPr="002B05D0">
        <w:rPr>
          <w:rFonts w:ascii="Times New Roman" w:hAnsi="Times New Roman" w:cs="Times New Roman"/>
        </w:rPr>
        <w:t>there is</w:t>
      </w:r>
      <w:r w:rsidRPr="002B05D0">
        <w:rPr>
          <w:rFonts w:ascii="Times New Roman" w:hAnsi="Times New Roman" w:cs="Times New Roman"/>
        </w:rPr>
        <w:t xml:space="preserve"> data of Thailand’s government expenditure in each quarter since year 2011 to 2014, which the trend is increasing through each year.</w:t>
      </w:r>
      <w:r w:rsidR="00612740" w:rsidRPr="002B05D0">
        <w:rPr>
          <w:rFonts w:ascii="Times New Roman" w:hAnsi="Times New Roman" w:cs="Times New Roman"/>
        </w:rPr>
        <w:t xml:space="preserve"> </w:t>
      </w:r>
      <w:r w:rsidR="007C2FAD" w:rsidRPr="002B05D0">
        <w:rPr>
          <w:rFonts w:ascii="Times New Roman" w:hAnsi="Times New Roman" w:cs="Times New Roman"/>
        </w:rPr>
        <w:t>An overall of Thailand</w:t>
      </w:r>
      <w:r w:rsidR="004D243B" w:rsidRPr="002B05D0">
        <w:rPr>
          <w:rFonts w:ascii="Times New Roman" w:hAnsi="Times New Roman" w:cs="Times New Roman"/>
        </w:rPr>
        <w:t xml:space="preserve"> public spending in year 2015, according to appendix (</w:t>
      </w:r>
      <w:r w:rsidR="00F50865" w:rsidRPr="002B05D0">
        <w:rPr>
          <w:rFonts w:ascii="Times New Roman" w:hAnsi="Times New Roman" w:cs="Times New Roman"/>
          <w:i/>
        </w:rPr>
        <w:t>F</w:t>
      </w:r>
      <w:r w:rsidR="004D243B" w:rsidRPr="002B05D0">
        <w:rPr>
          <w:rFonts w:ascii="Times New Roman" w:hAnsi="Times New Roman" w:cs="Times New Roman"/>
          <w:i/>
        </w:rPr>
        <w:t>igture</w:t>
      </w:r>
      <w:r w:rsidR="00F50865" w:rsidRPr="002B05D0">
        <w:rPr>
          <w:rFonts w:ascii="Times New Roman" w:hAnsi="Times New Roman" w:cs="Times New Roman"/>
          <w:i/>
        </w:rPr>
        <w:t>2</w:t>
      </w:r>
      <w:r w:rsidR="004D243B" w:rsidRPr="002B05D0">
        <w:rPr>
          <w:rFonts w:ascii="Times New Roman" w:hAnsi="Times New Roman" w:cs="Times New Roman"/>
        </w:rPr>
        <w:t xml:space="preserve"> and </w:t>
      </w:r>
      <w:r w:rsidR="00F50865" w:rsidRPr="002B05D0">
        <w:rPr>
          <w:rFonts w:ascii="Times New Roman" w:hAnsi="Times New Roman" w:cs="Times New Roman"/>
          <w:i/>
        </w:rPr>
        <w:t>F</w:t>
      </w:r>
      <w:r w:rsidR="004D243B" w:rsidRPr="002B05D0">
        <w:rPr>
          <w:rFonts w:ascii="Times New Roman" w:hAnsi="Times New Roman" w:cs="Times New Roman"/>
          <w:i/>
        </w:rPr>
        <w:t>igture</w:t>
      </w:r>
      <w:r w:rsidR="00F50865" w:rsidRPr="002B05D0">
        <w:rPr>
          <w:rFonts w:ascii="Times New Roman" w:hAnsi="Times New Roman" w:cs="Times New Roman"/>
          <w:i/>
        </w:rPr>
        <w:t>3</w:t>
      </w:r>
      <w:r w:rsidR="00BC023D" w:rsidRPr="002B05D0">
        <w:rPr>
          <w:rFonts w:ascii="Times New Roman" w:hAnsi="Times New Roman" w:cs="Times New Roman"/>
        </w:rPr>
        <w:t>), is 2,575,000 million baht or 19.6 percent of Gross Domestic Product</w:t>
      </w:r>
      <w:r w:rsidR="00CA4F3B">
        <w:rPr>
          <w:rFonts w:ascii="Times New Roman" w:hAnsi="Times New Roman" w:cs="Times New Roman"/>
        </w:rPr>
        <w:t xml:space="preserve"> (GDP)</w:t>
      </w:r>
      <w:r w:rsidR="004D243B" w:rsidRPr="002B05D0">
        <w:rPr>
          <w:rFonts w:ascii="Times New Roman" w:hAnsi="Times New Roman" w:cs="Times New Roman"/>
        </w:rPr>
        <w:t>. The budget is allocated</w:t>
      </w:r>
      <w:r w:rsidR="000D7D1F" w:rsidRPr="002B05D0">
        <w:rPr>
          <w:rFonts w:ascii="Times New Roman" w:hAnsi="Times New Roman" w:cs="Times New Roman"/>
        </w:rPr>
        <w:t xml:space="preserve"> by the strategy that </w:t>
      </w:r>
      <w:r w:rsidR="000D7D1F" w:rsidRPr="002B05D0">
        <w:rPr>
          <w:rFonts w:ascii="Times New Roman" w:eastAsia="Times New Roman" w:hAnsi="Times New Roman" w:cs="Times New Roman"/>
        </w:rPr>
        <w:t>developed under the 11</w:t>
      </w:r>
      <w:r w:rsidR="000D7D1F" w:rsidRPr="002B05D0">
        <w:rPr>
          <w:rFonts w:ascii="Times New Roman" w:eastAsia="Times New Roman" w:hAnsi="Times New Roman" w:cs="Times New Roman"/>
          <w:vertAlign w:val="superscript"/>
        </w:rPr>
        <w:t>th</w:t>
      </w:r>
      <w:r w:rsidR="000D7D1F" w:rsidRPr="002B05D0">
        <w:rPr>
          <w:rFonts w:ascii="Times New Roman" w:eastAsia="Times New Roman" w:hAnsi="Times New Roman" w:cs="Times New Roman"/>
        </w:rPr>
        <w:t xml:space="preserve"> National Economic and Social Development plan, which consist of 9 strategies</w:t>
      </w:r>
      <w:r w:rsidR="000D7D1F" w:rsidRPr="002B05D0">
        <w:rPr>
          <w:rFonts w:ascii="Times New Roman" w:hAnsi="Times New Roman" w:cs="Times New Roman"/>
        </w:rPr>
        <w:t xml:space="preserve"> </w:t>
      </w:r>
      <w:r w:rsidR="00976FFD" w:rsidRPr="002B05D0">
        <w:rPr>
          <w:rFonts w:ascii="Times New Roman" w:hAnsi="Times New Roman" w:cs="Times New Roman"/>
        </w:rPr>
        <w:t>as followings</w:t>
      </w:r>
      <w:r w:rsidR="00627433" w:rsidRPr="002B05D0">
        <w:rPr>
          <w:rFonts w:ascii="Times New Roman" w:hAnsi="Times New Roman" w:cs="Times New Roman"/>
        </w:rPr>
        <w:t>:</w:t>
      </w:r>
    </w:p>
    <w:p w14:paraId="6F2E18E3" w14:textId="77777777" w:rsidR="00025903" w:rsidRPr="002B05D0" w:rsidRDefault="000D7D1F" w:rsidP="00025903">
      <w:pPr>
        <w:spacing w:line="480" w:lineRule="auto"/>
        <w:rPr>
          <w:rFonts w:ascii="Times New Roman" w:eastAsia="Times New Roman" w:hAnsi="Times New Roman" w:cs="Times New Roman"/>
        </w:rPr>
      </w:pPr>
      <w:r w:rsidRPr="002B05D0">
        <w:rPr>
          <w:rFonts w:ascii="Times New Roman" w:hAnsi="Times New Roman" w:cs="Times New Roman"/>
          <w:b/>
          <w:i/>
        </w:rPr>
        <w:t>1.</w:t>
      </w:r>
      <w:r w:rsidR="00AA2D47" w:rsidRPr="002B05D0">
        <w:rPr>
          <w:rFonts w:ascii="Times New Roman" w:hAnsi="Times New Roman" w:cs="Times New Roman"/>
          <w:b/>
          <w:i/>
        </w:rPr>
        <w:t xml:space="preserve"> </w:t>
      </w:r>
      <w:r w:rsidRPr="002B05D0">
        <w:rPr>
          <w:rFonts w:ascii="Times New Roman" w:eastAsia="Times New Roman" w:hAnsi="Times New Roman" w:cs="Times New Roman"/>
          <w:b/>
          <w:i/>
        </w:rPr>
        <w:t>Restoring confidence and mobilizing an establishment of good foundation for a country (7.1 percent of government expenditure)</w:t>
      </w:r>
      <w:r w:rsidRPr="002B05D0">
        <w:rPr>
          <w:rFonts w:ascii="Times New Roman" w:eastAsia="Times New Roman" w:hAnsi="Times New Roman" w:cs="Times New Roman"/>
        </w:rPr>
        <w:t xml:space="preserve"> in order to operate a country within ASEAN Community</w:t>
      </w:r>
      <w:r w:rsidR="00766649" w:rsidRPr="002B05D0">
        <w:rPr>
          <w:rFonts w:ascii="Times New Roman" w:eastAsia="Times New Roman" w:hAnsi="Times New Roman" w:cs="Times New Roman"/>
        </w:rPr>
        <w:t xml:space="preserve"> by strengthening competitiveness potential</w:t>
      </w:r>
      <w:r w:rsidRPr="002B05D0">
        <w:rPr>
          <w:rFonts w:ascii="Times New Roman" w:eastAsia="Times New Roman" w:hAnsi="Times New Roman" w:cs="Times New Roman"/>
        </w:rPr>
        <w:t>, restructure farmers’ debt, and liven up the livelihood of people of low income’s people</w:t>
      </w:r>
      <w:r w:rsidR="00627433" w:rsidRPr="002B05D0">
        <w:rPr>
          <w:rFonts w:ascii="Times New Roman" w:eastAsia="Times New Roman" w:hAnsi="Times New Roman" w:cs="Times New Roman"/>
        </w:rPr>
        <w:t xml:space="preserve"> by supporting agricultural products, providing low interest rate loan, and creating occupation</w:t>
      </w:r>
      <w:r w:rsidRPr="002B05D0">
        <w:rPr>
          <w:rFonts w:ascii="Times New Roman" w:eastAsia="Times New Roman" w:hAnsi="Times New Roman" w:cs="Times New Roman"/>
        </w:rPr>
        <w:t>.</w:t>
      </w:r>
      <w:r w:rsidR="00627433" w:rsidRPr="002B05D0">
        <w:rPr>
          <w:rFonts w:ascii="Times New Roman" w:eastAsia="Times New Roman" w:hAnsi="Times New Roman" w:cs="Times New Roman"/>
        </w:rPr>
        <w:t xml:space="preserve"> Application of research and development projects will be advance to implement the solving of country’s immediate problems. Moreover, compromising among various groups of people in a country will be encouraged to solve the problems occurred in southern of </w:t>
      </w:r>
      <w:r w:rsidR="00766649" w:rsidRPr="002B05D0">
        <w:rPr>
          <w:rFonts w:ascii="Times New Roman" w:eastAsia="Times New Roman" w:hAnsi="Times New Roman" w:cs="Times New Roman"/>
        </w:rPr>
        <w:t>Thailand</w:t>
      </w:r>
      <w:r w:rsidR="00627433" w:rsidRPr="002B05D0">
        <w:rPr>
          <w:rFonts w:ascii="Times New Roman" w:eastAsia="Times New Roman" w:hAnsi="Times New Roman" w:cs="Times New Roman"/>
        </w:rPr>
        <w:t>.</w:t>
      </w:r>
      <w:r w:rsidR="00766649" w:rsidRPr="002B05D0">
        <w:rPr>
          <w:rFonts w:ascii="Times New Roman" w:eastAsia="Times New Roman" w:hAnsi="Times New Roman" w:cs="Times New Roman"/>
        </w:rPr>
        <w:t xml:space="preserve"> In other words, creating a reconciliation to reduce conflict among people within a country and create a unity. </w:t>
      </w:r>
    </w:p>
    <w:p w14:paraId="20ADF132" w14:textId="77777777" w:rsidR="002B05D0" w:rsidRDefault="000D7D1F" w:rsidP="002B05D0">
      <w:pPr>
        <w:spacing w:line="480" w:lineRule="auto"/>
        <w:rPr>
          <w:rFonts w:ascii="Times New Roman" w:hAnsi="Times New Roman"/>
        </w:rPr>
      </w:pPr>
      <w:r w:rsidRPr="002B05D0">
        <w:rPr>
          <w:rFonts w:ascii="Times New Roman" w:hAnsi="Times New Roman"/>
          <w:b/>
          <w:i/>
        </w:rPr>
        <w:t>2. National security (8.6 percent of government expenditure)</w:t>
      </w:r>
      <w:r w:rsidR="00FF15E5" w:rsidRPr="002B05D0">
        <w:rPr>
          <w:rFonts w:ascii="Times New Roman" w:hAnsi="Times New Roman"/>
          <w:b/>
          <w:i/>
        </w:rPr>
        <w:t>:</w:t>
      </w:r>
      <w:r w:rsidR="00FF15E5" w:rsidRPr="002B05D0">
        <w:rPr>
          <w:rFonts w:ascii="Times New Roman" w:hAnsi="Times New Roman"/>
        </w:rPr>
        <w:t xml:space="preserve"> </w:t>
      </w:r>
      <w:r w:rsidR="00C67447" w:rsidRPr="002B05D0">
        <w:rPr>
          <w:rFonts w:ascii="Times New Roman" w:hAnsi="Times New Roman"/>
        </w:rPr>
        <w:t>The government has allocated their expenditure f</w:t>
      </w:r>
      <w:r w:rsidR="009A70C3" w:rsidRPr="002B05D0">
        <w:rPr>
          <w:rFonts w:ascii="Times New Roman" w:hAnsi="Times New Roman"/>
        </w:rPr>
        <w:t>or protecting national security as preserving</w:t>
      </w:r>
      <w:r w:rsidR="00C67447" w:rsidRPr="002B05D0">
        <w:rPr>
          <w:rFonts w:ascii="Times New Roman" w:hAnsi="Times New Roman"/>
        </w:rPr>
        <w:t xml:space="preserve"> monarchy</w:t>
      </w:r>
      <w:r w:rsidR="009A70C3" w:rsidRPr="002B05D0">
        <w:rPr>
          <w:rFonts w:ascii="Times New Roman" w:hAnsi="Times New Roman"/>
        </w:rPr>
        <w:t xml:space="preserve"> offenses by promoting royal projects and creating awareness of his majesty’s kindness. Moreover, e</w:t>
      </w:r>
      <w:r w:rsidR="00C67447" w:rsidRPr="002B05D0">
        <w:rPr>
          <w:rFonts w:ascii="Times New Roman" w:hAnsi="Times New Roman"/>
        </w:rPr>
        <w:t>mpower</w:t>
      </w:r>
      <w:r w:rsidR="00C3668E" w:rsidRPr="002B05D0">
        <w:rPr>
          <w:rFonts w:ascii="Times New Roman" w:hAnsi="Times New Roman"/>
        </w:rPr>
        <w:t>ing the national defense system</w:t>
      </w:r>
      <w:r w:rsidR="009A70C3" w:rsidRPr="002B05D0">
        <w:rPr>
          <w:rFonts w:ascii="Times New Roman" w:hAnsi="Times New Roman"/>
        </w:rPr>
        <w:t xml:space="preserve"> to protect </w:t>
      </w:r>
      <w:r w:rsidR="009A70C3" w:rsidRPr="002B05D0">
        <w:rPr>
          <w:rFonts w:ascii="Times New Roman" w:hAnsi="Times New Roman"/>
        </w:rPr>
        <w:lastRenderedPageBreak/>
        <w:t xml:space="preserve">independence, sovereignty, security, and national interests. Lastly, </w:t>
      </w:r>
      <w:r w:rsidR="00C3668E" w:rsidRPr="002B05D0">
        <w:rPr>
          <w:rFonts w:ascii="Times New Roman" w:hAnsi="Times New Roman"/>
        </w:rPr>
        <w:t>underlining to strengthen of international cooperation network and security of world community, which</w:t>
      </w:r>
      <w:r w:rsidR="00C67447" w:rsidRPr="002B05D0">
        <w:rPr>
          <w:rFonts w:ascii="Times New Roman" w:hAnsi="Times New Roman"/>
        </w:rPr>
        <w:t xml:space="preserve"> will involve effective enforcement of pertinent laws and reinforcing efficiency of domestic and intern</w:t>
      </w:r>
      <w:r w:rsidR="002B05D0">
        <w:rPr>
          <w:rFonts w:ascii="Times New Roman" w:hAnsi="Times New Roman"/>
        </w:rPr>
        <w:t>ational intelligence gathering.</w:t>
      </w:r>
    </w:p>
    <w:p w14:paraId="2F4766AB" w14:textId="77777777" w:rsidR="002B05D0" w:rsidRDefault="00C3668E" w:rsidP="002B05D0">
      <w:pPr>
        <w:spacing w:line="480" w:lineRule="auto"/>
        <w:rPr>
          <w:rFonts w:ascii="Times New Roman" w:hAnsi="Times New Roman"/>
        </w:rPr>
      </w:pPr>
      <w:r w:rsidRPr="002B05D0">
        <w:rPr>
          <w:rFonts w:ascii="Times New Roman" w:eastAsia="Times New Roman" w:hAnsi="Times New Roman"/>
          <w:b/>
          <w:i/>
        </w:rPr>
        <w:t xml:space="preserve">3. </w:t>
      </w:r>
      <w:r w:rsidR="0069294B" w:rsidRPr="002B05D0">
        <w:rPr>
          <w:rFonts w:ascii="Times New Roman" w:eastAsia="Times New Roman" w:hAnsi="Times New Roman"/>
          <w:b/>
          <w:i/>
        </w:rPr>
        <w:t>Developing of economic growth with stability and sustainability (6.5 percent of government expenditure)</w:t>
      </w:r>
      <w:r w:rsidR="0069294B" w:rsidRPr="002B05D0">
        <w:rPr>
          <w:rFonts w:ascii="Times New Roman" w:eastAsia="Times New Roman" w:hAnsi="Times New Roman"/>
        </w:rPr>
        <w:t xml:space="preserve"> for long-term fiscal stability through a winded tax base as improvement efficiency in tax collection. As results, there will be efficient in budget allocation and flexibility in debt management. Improving product efficiency is also take</w:t>
      </w:r>
      <w:r w:rsidR="007B40CA" w:rsidRPr="002B05D0">
        <w:rPr>
          <w:rFonts w:ascii="Times New Roman" w:eastAsia="Times New Roman" w:hAnsi="Times New Roman"/>
        </w:rPr>
        <w:t>n</w:t>
      </w:r>
      <w:r w:rsidR="0069294B" w:rsidRPr="002B05D0">
        <w:rPr>
          <w:rFonts w:ascii="Times New Roman" w:eastAsia="Times New Roman" w:hAnsi="Times New Roman"/>
        </w:rPr>
        <w:t xml:space="preserve"> into consideration. </w:t>
      </w:r>
      <w:r w:rsidR="007B40CA" w:rsidRPr="002B05D0">
        <w:rPr>
          <w:rFonts w:ascii="Times New Roman" w:eastAsia="Times New Roman" w:hAnsi="Times New Roman"/>
        </w:rPr>
        <w:t xml:space="preserve">There is reinforcement the agricultural production base by highlighting on reduction of production cost and </w:t>
      </w:r>
      <w:r w:rsidR="00113A1E" w:rsidRPr="002B05D0">
        <w:rPr>
          <w:rFonts w:ascii="Times New Roman" w:eastAsia="Times New Roman" w:hAnsi="Times New Roman"/>
        </w:rPr>
        <w:t xml:space="preserve">factor of production supply for a higher quality and quantity of the products. </w:t>
      </w:r>
      <w:r w:rsidR="00E25329" w:rsidRPr="002B05D0">
        <w:rPr>
          <w:rFonts w:ascii="Times New Roman" w:eastAsia="Times New Roman" w:hAnsi="Times New Roman"/>
        </w:rPr>
        <w:t xml:space="preserve">Furthermore, there are </w:t>
      </w:r>
      <w:r w:rsidR="00E25329" w:rsidRPr="002B05D0">
        <w:rPr>
          <w:rFonts w:ascii="Times New Roman" w:hAnsi="Times New Roman"/>
        </w:rPr>
        <w:t xml:space="preserve">developing and increasing income from tourism and services due to a promoting dedicated marketing and adopting new marketing strategies, expanding market base for quality tourists, creating a balance in tourism both in terms of area and time and promoting tourism pertinent to the tourists' interests. Operators and personnel in the tourism and service sectors will be encouraged to improve their potentials. </w:t>
      </w:r>
      <w:r w:rsidR="002611AF" w:rsidRPr="002B05D0">
        <w:rPr>
          <w:rFonts w:ascii="Times New Roman" w:hAnsi="Times New Roman"/>
        </w:rPr>
        <w:t>Trade and marketing capability will be upgraded, prices of merchandises will be regulated at an appropriate and fair level with the promotion of products at economy prices and negotiations will be organized to expand markets a</w:t>
      </w:r>
      <w:r w:rsidR="002B05D0">
        <w:rPr>
          <w:rFonts w:ascii="Times New Roman" w:hAnsi="Times New Roman"/>
        </w:rPr>
        <w:t>nd new investment opportunities.</w:t>
      </w:r>
    </w:p>
    <w:p w14:paraId="5982400E" w14:textId="77777777" w:rsidR="002B05D0" w:rsidRDefault="00E25329" w:rsidP="002B05D0">
      <w:pPr>
        <w:spacing w:line="480" w:lineRule="auto"/>
        <w:rPr>
          <w:rFonts w:ascii="Times New Roman" w:hAnsi="Times New Roman"/>
        </w:rPr>
      </w:pPr>
      <w:r w:rsidRPr="002B05D0">
        <w:rPr>
          <w:rFonts w:ascii="Times New Roman" w:hAnsi="Times New Roman"/>
          <w:b/>
          <w:i/>
        </w:rPr>
        <w:t>4.</w:t>
      </w:r>
      <w:r w:rsidR="002611AF" w:rsidRPr="002B05D0">
        <w:rPr>
          <w:rFonts w:ascii="Times New Roman" w:hAnsi="Times New Roman"/>
          <w:b/>
          <w:i/>
        </w:rPr>
        <w:t xml:space="preserve"> </w:t>
      </w:r>
      <w:r w:rsidR="002611AF" w:rsidRPr="002B05D0">
        <w:rPr>
          <w:rFonts w:ascii="Times New Roman" w:eastAsia="Times New Roman" w:hAnsi="Times New Roman"/>
          <w:b/>
          <w:i/>
        </w:rPr>
        <w:t>E</w:t>
      </w:r>
      <w:r w:rsidR="00AA2D47" w:rsidRPr="002B05D0">
        <w:rPr>
          <w:rFonts w:ascii="Times New Roman" w:eastAsia="Times New Roman" w:hAnsi="Times New Roman"/>
          <w:b/>
          <w:i/>
        </w:rPr>
        <w:t>ducation, health, virtue,</w:t>
      </w:r>
      <w:r w:rsidR="002611AF" w:rsidRPr="002B05D0">
        <w:rPr>
          <w:rFonts w:ascii="Times New Roman" w:eastAsia="Times New Roman" w:hAnsi="Times New Roman"/>
          <w:b/>
          <w:i/>
        </w:rPr>
        <w:t xml:space="preserve"> ethics and quality of life (37 percent of government expenditure):</w:t>
      </w:r>
      <w:r w:rsidR="00AA2D47" w:rsidRPr="002B05D0">
        <w:rPr>
          <w:rFonts w:ascii="Times New Roman" w:eastAsia="Times New Roman" w:hAnsi="Times New Roman"/>
          <w:b/>
        </w:rPr>
        <w:t xml:space="preserve"> </w:t>
      </w:r>
      <w:r w:rsidR="007673E1" w:rsidRPr="002B05D0">
        <w:rPr>
          <w:rFonts w:ascii="Times New Roman" w:eastAsia="Times New Roman" w:hAnsi="Times New Roman"/>
        </w:rPr>
        <w:t xml:space="preserve">The government aims to expand an opportunity and improve standard of education by providing basic education from pre-primary school to secondary school. Public healthcare is developed for people, which empowering people to access to a higher quality medical and healthcare services. </w:t>
      </w:r>
      <w:r w:rsidR="00367D67" w:rsidRPr="002B05D0">
        <w:rPr>
          <w:rFonts w:ascii="Times New Roman" w:eastAsia="Times New Roman" w:hAnsi="Times New Roman"/>
        </w:rPr>
        <w:t xml:space="preserve">Health insurance systems are also improved to be on an equal standard. Government targeting is to increase standard of living among all ages. On the labor side, there is an improvement on the management and protection of workforce by promoting employment and increasing labor skills. </w:t>
      </w:r>
      <w:r w:rsidR="00025903" w:rsidRPr="002B05D0">
        <w:rPr>
          <w:rFonts w:ascii="Times New Roman" w:eastAsia="Times New Roman" w:hAnsi="Times New Roman"/>
        </w:rPr>
        <w:t xml:space="preserve">The problem of human trafficking will be prevented and gone over for a focusing results as well as the rehabilitating drug addicts. Religions, arts, and cultures are promoted to people to seize the morality, virtue, and ethics. </w:t>
      </w:r>
      <w:r w:rsidR="00025903" w:rsidRPr="002B05D0">
        <w:rPr>
          <w:rFonts w:ascii="Times New Roman" w:hAnsi="Times New Roman"/>
        </w:rPr>
        <w:t xml:space="preserve">Sport </w:t>
      </w:r>
      <w:r w:rsidR="00D95540" w:rsidRPr="002B05D0">
        <w:rPr>
          <w:rFonts w:ascii="Times New Roman" w:hAnsi="Times New Roman"/>
        </w:rPr>
        <w:t>will be promoted</w:t>
      </w:r>
      <w:r w:rsidR="00025903" w:rsidRPr="002B05D0">
        <w:rPr>
          <w:rFonts w:ascii="Times New Roman" w:hAnsi="Times New Roman"/>
        </w:rPr>
        <w:t xml:space="preserve"> and encouraged among</w:t>
      </w:r>
      <w:r w:rsidR="00D95540" w:rsidRPr="002B05D0">
        <w:rPr>
          <w:rFonts w:ascii="Times New Roman" w:hAnsi="Times New Roman"/>
        </w:rPr>
        <w:t xml:space="preserve"> the public </w:t>
      </w:r>
      <w:r w:rsidR="00025903" w:rsidRPr="002B05D0">
        <w:rPr>
          <w:rFonts w:ascii="Times New Roman" w:hAnsi="Times New Roman"/>
        </w:rPr>
        <w:t xml:space="preserve">in order </w:t>
      </w:r>
      <w:r w:rsidR="00D95540" w:rsidRPr="002B05D0">
        <w:rPr>
          <w:rFonts w:ascii="Times New Roman" w:hAnsi="Times New Roman"/>
        </w:rPr>
        <w:t xml:space="preserve">to gain good health </w:t>
      </w:r>
      <w:r w:rsidR="00025903" w:rsidRPr="002B05D0">
        <w:rPr>
          <w:rFonts w:ascii="Times New Roman" w:hAnsi="Times New Roman"/>
        </w:rPr>
        <w:t xml:space="preserve">in both </w:t>
      </w:r>
      <w:r w:rsidR="00D95540" w:rsidRPr="002B05D0">
        <w:rPr>
          <w:rFonts w:ascii="Times New Roman" w:hAnsi="Times New Roman"/>
        </w:rPr>
        <w:t>physically and mentally. Potentials of athletes will be enhanced up to standards allowing them to excel and participate in professional sports at the international level</w:t>
      </w:r>
      <w:r w:rsidR="00025903" w:rsidRPr="002B05D0">
        <w:rPr>
          <w:rFonts w:ascii="Times New Roman" w:hAnsi="Times New Roman"/>
        </w:rPr>
        <w:t>.</w:t>
      </w:r>
    </w:p>
    <w:p w14:paraId="44FD2E4C" w14:textId="77777777" w:rsidR="002B05D0" w:rsidRDefault="00025903" w:rsidP="002B05D0">
      <w:pPr>
        <w:spacing w:line="480" w:lineRule="auto"/>
        <w:rPr>
          <w:rFonts w:ascii="Times New Roman" w:eastAsia="Times New Roman" w:hAnsi="Times New Roman"/>
        </w:rPr>
      </w:pPr>
      <w:r w:rsidRPr="002B05D0">
        <w:rPr>
          <w:rFonts w:ascii="Times New Roman" w:hAnsi="Times New Roman"/>
          <w:b/>
          <w:i/>
        </w:rPr>
        <w:t>5.</w:t>
      </w:r>
      <w:r w:rsidRPr="002B05D0">
        <w:rPr>
          <w:rFonts w:ascii="Times New Roman" w:eastAsia="Times New Roman" w:hAnsi="Times New Roman"/>
          <w:b/>
          <w:i/>
        </w:rPr>
        <w:t xml:space="preserve"> Management of natural resources and environment (5.2 percent of government spending)</w:t>
      </w:r>
      <w:r w:rsidR="00E133C1" w:rsidRPr="002B05D0">
        <w:rPr>
          <w:rFonts w:ascii="Times New Roman" w:eastAsia="Times New Roman" w:hAnsi="Times New Roman"/>
          <w:b/>
        </w:rPr>
        <w:t xml:space="preserve"> </w:t>
      </w:r>
      <w:r w:rsidR="00E133C1" w:rsidRPr="002B05D0">
        <w:rPr>
          <w:rFonts w:ascii="Times New Roman" w:eastAsia="Times New Roman" w:hAnsi="Times New Roman"/>
        </w:rPr>
        <w:t>is taken into an allocation object to create a utilization balance in term of economic, social, and environmental, to maintain the standard of environment, to restore and prevent the damage from natural disasters, and to cope with world’s climate changes.</w:t>
      </w:r>
    </w:p>
    <w:p w14:paraId="3EC235F3" w14:textId="2FB5E590" w:rsidR="00621223" w:rsidRDefault="00E133C1" w:rsidP="00621223">
      <w:pPr>
        <w:spacing w:line="480" w:lineRule="auto"/>
        <w:rPr>
          <w:rFonts w:ascii="Times New Roman" w:hAnsi="Times New Roman"/>
        </w:rPr>
      </w:pPr>
      <w:r w:rsidRPr="002B05D0">
        <w:rPr>
          <w:rFonts w:ascii="Times New Roman" w:eastAsia="Times New Roman" w:hAnsi="Times New Roman"/>
          <w:b/>
          <w:i/>
        </w:rPr>
        <w:t>6.</w:t>
      </w:r>
      <w:r w:rsidRPr="002B05D0">
        <w:rPr>
          <w:rFonts w:ascii="Times New Roman" w:hAnsi="Times New Roman"/>
          <w:b/>
          <w:i/>
        </w:rPr>
        <w:t xml:space="preserve"> </w:t>
      </w:r>
      <w:r w:rsidRPr="002B05D0">
        <w:rPr>
          <w:rFonts w:ascii="Times New Roman" w:eastAsia="Times New Roman" w:hAnsi="Times New Roman"/>
          <w:b/>
          <w:i/>
        </w:rPr>
        <w:t>Development of science, technol</w:t>
      </w:r>
      <w:r w:rsidR="00690C31" w:rsidRPr="002B05D0">
        <w:rPr>
          <w:rFonts w:ascii="Times New Roman" w:eastAsia="Times New Roman" w:hAnsi="Times New Roman"/>
          <w:b/>
          <w:i/>
        </w:rPr>
        <w:t>ogy and innovation (1 percent</w:t>
      </w:r>
      <w:r w:rsidR="005229AC">
        <w:rPr>
          <w:rFonts w:ascii="Times New Roman" w:eastAsia="Times New Roman" w:hAnsi="Times New Roman"/>
          <w:b/>
          <w:i/>
        </w:rPr>
        <w:t xml:space="preserve"> of government expenditure</w:t>
      </w:r>
      <w:r w:rsidR="00626433" w:rsidRPr="002B05D0">
        <w:rPr>
          <w:rFonts w:ascii="Times New Roman" w:eastAsia="Times New Roman" w:hAnsi="Times New Roman"/>
          <w:b/>
          <w:i/>
        </w:rPr>
        <w:t>):</w:t>
      </w:r>
      <w:r w:rsidR="00626433" w:rsidRPr="002B05D0">
        <w:rPr>
          <w:rFonts w:ascii="Times New Roman" w:eastAsia="Times New Roman" w:hAnsi="Times New Roman"/>
          <w:b/>
        </w:rPr>
        <w:t xml:space="preserve"> </w:t>
      </w:r>
      <w:r w:rsidR="00626433" w:rsidRPr="002B05D0">
        <w:rPr>
          <w:rFonts w:ascii="Times New Roman" w:eastAsia="Times New Roman" w:hAnsi="Times New Roman"/>
        </w:rPr>
        <w:t xml:space="preserve">The government has a purpose to strengthen Thailand to be a knowledge-based society with potentials and capability for science, technology, and innovation by supporting research and development. </w:t>
      </w:r>
      <w:r w:rsidR="000927BD" w:rsidRPr="002B05D0">
        <w:rPr>
          <w:rFonts w:ascii="Times New Roman" w:hAnsi="Times New Roman"/>
        </w:rPr>
        <w:t>Capacity</w:t>
      </w:r>
      <w:r w:rsidR="00626433" w:rsidRPr="002B05D0">
        <w:rPr>
          <w:rFonts w:ascii="Times New Roman" w:hAnsi="Times New Roman"/>
        </w:rPr>
        <w:t xml:space="preserve"> in technology and innovation will be elevated along with the provision of synchrotron light service</w:t>
      </w:r>
      <w:r w:rsidR="000927BD" w:rsidRPr="002B05D0">
        <w:rPr>
          <w:rFonts w:ascii="Times New Roman" w:hAnsi="Times New Roman"/>
        </w:rPr>
        <w:t xml:space="preserve">, </w:t>
      </w:r>
      <w:r w:rsidR="00626433" w:rsidRPr="002B05D0">
        <w:rPr>
          <w:rFonts w:ascii="Times New Roman" w:hAnsi="Times New Roman"/>
        </w:rPr>
        <w:t>applied satellite</w:t>
      </w:r>
      <w:r w:rsidR="000927BD" w:rsidRPr="002B05D0">
        <w:rPr>
          <w:rFonts w:ascii="Times New Roman" w:hAnsi="Times New Roman"/>
        </w:rPr>
        <w:t>,</w:t>
      </w:r>
      <w:r w:rsidR="00626433" w:rsidRPr="002B05D0">
        <w:rPr>
          <w:rFonts w:ascii="Times New Roman" w:hAnsi="Times New Roman"/>
        </w:rPr>
        <w:t xml:space="preserve"> and geo-informatics data for management of natural resources, environment, land</w:t>
      </w:r>
      <w:r w:rsidR="000927BD" w:rsidRPr="002B05D0">
        <w:rPr>
          <w:rFonts w:ascii="Times New Roman" w:hAnsi="Times New Roman"/>
        </w:rPr>
        <w:t>,</w:t>
      </w:r>
      <w:r w:rsidR="00621223">
        <w:rPr>
          <w:rFonts w:ascii="Times New Roman" w:hAnsi="Times New Roman"/>
        </w:rPr>
        <w:t xml:space="preserve"> and agriculture.</w:t>
      </w:r>
    </w:p>
    <w:p w14:paraId="5075DDD2" w14:textId="57970AC1" w:rsidR="00621223" w:rsidRDefault="00242B6E" w:rsidP="00621223">
      <w:pPr>
        <w:spacing w:line="480" w:lineRule="auto"/>
        <w:rPr>
          <w:rFonts w:ascii="Times New Roman" w:hAnsi="Times New Roman"/>
        </w:rPr>
      </w:pPr>
      <w:r w:rsidRPr="002B05D0">
        <w:rPr>
          <w:rFonts w:ascii="Times New Roman" w:hAnsi="Times New Roman"/>
          <w:b/>
          <w:bCs/>
          <w:i/>
        </w:rPr>
        <w:t xml:space="preserve">7. Management of foreign policy and international economic affairs </w:t>
      </w:r>
      <w:r w:rsidRPr="002B05D0">
        <w:rPr>
          <w:rFonts w:ascii="Times New Roman" w:hAnsi="Times New Roman"/>
          <w:b/>
          <w:i/>
        </w:rPr>
        <w:t>(0.4 p</w:t>
      </w:r>
      <w:r w:rsidR="00690C31" w:rsidRPr="002B05D0">
        <w:rPr>
          <w:rFonts w:ascii="Times New Roman" w:hAnsi="Times New Roman"/>
          <w:b/>
          <w:i/>
        </w:rPr>
        <w:t>ercent</w:t>
      </w:r>
      <w:r w:rsidR="005229AC">
        <w:rPr>
          <w:rFonts w:ascii="Times New Roman" w:hAnsi="Times New Roman"/>
          <w:b/>
          <w:i/>
        </w:rPr>
        <w:t xml:space="preserve"> of government expenditure</w:t>
      </w:r>
      <w:r w:rsidRPr="002B05D0">
        <w:rPr>
          <w:rFonts w:ascii="Times New Roman" w:hAnsi="Times New Roman"/>
          <w:b/>
          <w:i/>
        </w:rPr>
        <w:t>):</w:t>
      </w:r>
      <w:r w:rsidR="00BA48AE" w:rsidRPr="002B05D0">
        <w:rPr>
          <w:rFonts w:ascii="Times New Roman" w:hAnsi="Times New Roman"/>
        </w:rPr>
        <w:t xml:space="preserve"> The government aims to promote relationship and expand</w:t>
      </w:r>
      <w:r w:rsidRPr="002B05D0">
        <w:rPr>
          <w:rFonts w:ascii="Times New Roman" w:hAnsi="Times New Roman"/>
        </w:rPr>
        <w:t xml:space="preserve"> collaboration among countries</w:t>
      </w:r>
      <w:r w:rsidR="00B73945" w:rsidRPr="002B05D0">
        <w:rPr>
          <w:rFonts w:ascii="Times New Roman" w:hAnsi="Times New Roman"/>
        </w:rPr>
        <w:t>, promote constructive role of Thailand, and provide collaboration in the improvement of international economy</w:t>
      </w:r>
      <w:r w:rsidR="00690C31" w:rsidRPr="002B05D0">
        <w:rPr>
          <w:rFonts w:ascii="Times New Roman" w:hAnsi="Times New Roman"/>
        </w:rPr>
        <w:t xml:space="preserve"> beside the insistence on foreign services and rights protection of workforce abroad.</w:t>
      </w:r>
    </w:p>
    <w:p w14:paraId="4924AD79" w14:textId="58846029" w:rsidR="00621223" w:rsidRDefault="00690C31" w:rsidP="00621223">
      <w:pPr>
        <w:spacing w:line="480" w:lineRule="auto"/>
        <w:rPr>
          <w:rFonts w:ascii="Times New Roman" w:hAnsi="Times New Roman"/>
          <w:bCs/>
        </w:rPr>
      </w:pPr>
      <w:r w:rsidRPr="002B05D0">
        <w:rPr>
          <w:rFonts w:ascii="Times New Roman" w:hAnsi="Times New Roman"/>
          <w:b/>
          <w:i/>
        </w:rPr>
        <w:t xml:space="preserve">8. </w:t>
      </w:r>
      <w:r w:rsidR="00242B6E" w:rsidRPr="002B05D0">
        <w:rPr>
          <w:rFonts w:ascii="Times New Roman" w:hAnsi="Times New Roman"/>
          <w:b/>
          <w:bCs/>
          <w:i/>
        </w:rPr>
        <w:t xml:space="preserve">Management with efficiency and good governance </w:t>
      </w:r>
      <w:r w:rsidRPr="002B05D0">
        <w:rPr>
          <w:rFonts w:ascii="Times New Roman" w:hAnsi="Times New Roman"/>
          <w:b/>
          <w:bCs/>
          <w:i/>
        </w:rPr>
        <w:t>(13.7 percent</w:t>
      </w:r>
      <w:r w:rsidR="005229AC">
        <w:rPr>
          <w:rFonts w:ascii="Times New Roman" w:hAnsi="Times New Roman"/>
          <w:b/>
          <w:bCs/>
          <w:i/>
        </w:rPr>
        <w:t xml:space="preserve"> of government expenditure</w:t>
      </w:r>
      <w:r w:rsidRPr="002B05D0">
        <w:rPr>
          <w:rFonts w:ascii="Times New Roman" w:hAnsi="Times New Roman"/>
          <w:b/>
          <w:bCs/>
          <w:i/>
        </w:rPr>
        <w:t>):</w:t>
      </w:r>
      <w:r w:rsidRPr="002B05D0">
        <w:rPr>
          <w:rFonts w:ascii="Times New Roman" w:hAnsi="Times New Roman"/>
          <w:b/>
          <w:bCs/>
        </w:rPr>
        <w:t xml:space="preserve"> </w:t>
      </w:r>
      <w:r w:rsidRPr="002B05D0">
        <w:rPr>
          <w:rFonts w:ascii="Times New Roman" w:hAnsi="Times New Roman"/>
          <w:bCs/>
        </w:rPr>
        <w:t>Due to the standardize and development of personnel in public sector to meet with people’s demand with efficiency and effectiveness along with being cost effectiveness and transparency in providing public services, government has to allocate the budget for improvement of management abilities of public sector. There will be a development at the local level</w:t>
      </w:r>
      <w:r w:rsidR="00324F9C" w:rsidRPr="002B05D0">
        <w:rPr>
          <w:rFonts w:ascii="Times New Roman" w:hAnsi="Times New Roman"/>
          <w:bCs/>
        </w:rPr>
        <w:t xml:space="preserve"> to be standardized and improve the capabilities in providing public services.</w:t>
      </w:r>
    </w:p>
    <w:p w14:paraId="0786361C" w14:textId="6969DAC3" w:rsidR="008D34F9" w:rsidRDefault="00324F9C" w:rsidP="008D34F9">
      <w:pPr>
        <w:spacing w:line="480" w:lineRule="auto"/>
        <w:rPr>
          <w:rFonts w:ascii="Times New Roman" w:hAnsi="Times New Roman"/>
        </w:rPr>
      </w:pPr>
      <w:r w:rsidRPr="00621223">
        <w:rPr>
          <w:rFonts w:ascii="Times New Roman" w:hAnsi="Times New Roman"/>
          <w:b/>
          <w:bCs/>
          <w:i/>
        </w:rPr>
        <w:t xml:space="preserve">9. </w:t>
      </w:r>
      <w:r w:rsidR="00242B6E" w:rsidRPr="00621223">
        <w:rPr>
          <w:rFonts w:ascii="Times New Roman" w:hAnsi="Times New Roman"/>
          <w:b/>
          <w:bCs/>
          <w:i/>
        </w:rPr>
        <w:t xml:space="preserve">Expenditures on general administration </w:t>
      </w:r>
      <w:r w:rsidRPr="00621223">
        <w:rPr>
          <w:rFonts w:ascii="Times New Roman" w:hAnsi="Times New Roman"/>
          <w:b/>
          <w:bCs/>
          <w:i/>
        </w:rPr>
        <w:t>(20.5 percent</w:t>
      </w:r>
      <w:r w:rsidR="005229AC">
        <w:rPr>
          <w:rFonts w:ascii="Times New Roman" w:hAnsi="Times New Roman"/>
          <w:b/>
          <w:bCs/>
          <w:i/>
        </w:rPr>
        <w:t xml:space="preserve"> of government expenditure</w:t>
      </w:r>
      <w:r w:rsidRPr="00621223">
        <w:rPr>
          <w:rFonts w:ascii="Times New Roman" w:hAnsi="Times New Roman"/>
          <w:b/>
          <w:bCs/>
          <w:i/>
        </w:rPr>
        <w:t>)</w:t>
      </w:r>
      <w:r w:rsidRPr="00621223">
        <w:rPr>
          <w:rFonts w:ascii="Times New Roman" w:hAnsi="Times New Roman"/>
          <w:b/>
          <w:i/>
        </w:rPr>
        <w:t>:</w:t>
      </w:r>
      <w:r w:rsidRPr="002B05D0">
        <w:rPr>
          <w:rFonts w:ascii="Times New Roman" w:hAnsi="Times New Roman"/>
        </w:rPr>
        <w:t xml:space="preserve"> </w:t>
      </w:r>
      <w:r w:rsidR="00242B6E" w:rsidRPr="002B05D0">
        <w:rPr>
          <w:rFonts w:ascii="Times New Roman" w:hAnsi="Times New Roman"/>
        </w:rPr>
        <w:t>The government has allocated the budget for contingencies, emergencies or necessities, efficient management of personnel in the public sec</w:t>
      </w:r>
      <w:r w:rsidR="008D34F9">
        <w:rPr>
          <w:rFonts w:ascii="Times New Roman" w:hAnsi="Times New Roman"/>
        </w:rPr>
        <w:t>tor and public debt management.</w:t>
      </w:r>
    </w:p>
    <w:p w14:paraId="61FEFA9C" w14:textId="77777777" w:rsidR="00F8467D" w:rsidRDefault="00F8467D" w:rsidP="009D39FA">
      <w:pPr>
        <w:spacing w:line="480" w:lineRule="auto"/>
        <w:rPr>
          <w:rFonts w:ascii="Times New Roman" w:hAnsi="Times New Roman"/>
        </w:rPr>
      </w:pPr>
    </w:p>
    <w:p w14:paraId="636C878F" w14:textId="55995F13" w:rsidR="009D39FA" w:rsidRDefault="00EA589C" w:rsidP="009D39FA">
      <w:pPr>
        <w:spacing w:line="480" w:lineRule="auto"/>
        <w:rPr>
          <w:rFonts w:ascii="Times New Roman" w:hAnsi="Times New Roman"/>
          <w:b/>
          <w:u w:val="single"/>
        </w:rPr>
      </w:pPr>
      <w:r>
        <w:rPr>
          <w:rFonts w:ascii="Times New Roman" w:hAnsi="Times New Roman"/>
          <w:b/>
          <w:u w:val="single"/>
        </w:rPr>
        <w:t>Public h</w:t>
      </w:r>
      <w:r w:rsidR="00197026" w:rsidRPr="00621223">
        <w:rPr>
          <w:rFonts w:ascii="Times New Roman" w:hAnsi="Times New Roman"/>
          <w:b/>
          <w:u w:val="single"/>
        </w:rPr>
        <w:t>ealth</w:t>
      </w:r>
      <w:r>
        <w:rPr>
          <w:rFonts w:ascii="Times New Roman" w:hAnsi="Times New Roman"/>
          <w:b/>
          <w:u w:val="single"/>
        </w:rPr>
        <w:t xml:space="preserve"> expenditure</w:t>
      </w:r>
    </w:p>
    <w:p w14:paraId="1DB97042" w14:textId="77777777" w:rsidR="00CF05DD" w:rsidRDefault="009D39FA" w:rsidP="009D39FA">
      <w:pPr>
        <w:spacing w:line="480" w:lineRule="auto"/>
        <w:rPr>
          <w:rFonts w:ascii="Times New Roman" w:hAnsi="Times New Roman"/>
        </w:rPr>
      </w:pPr>
      <w:r>
        <w:rPr>
          <w:rFonts w:ascii="Times New Roman" w:hAnsi="Times New Roman"/>
        </w:rPr>
        <w:tab/>
      </w:r>
    </w:p>
    <w:p w14:paraId="77E14BD8" w14:textId="6E145DC7" w:rsidR="009D39FA" w:rsidRPr="009D39FA" w:rsidRDefault="009D39FA" w:rsidP="00CF05DD">
      <w:pPr>
        <w:spacing w:line="480" w:lineRule="auto"/>
        <w:ind w:firstLine="720"/>
        <w:rPr>
          <w:rFonts w:ascii="Times New Roman" w:hAnsi="Times New Roman"/>
        </w:rPr>
      </w:pPr>
      <w:r>
        <w:rPr>
          <w:rFonts w:ascii="Times New Roman" w:hAnsi="Times New Roman"/>
        </w:rPr>
        <w:t xml:space="preserve">Health is a one element that </w:t>
      </w:r>
      <w:r w:rsidR="003A201C">
        <w:rPr>
          <w:rFonts w:ascii="Times New Roman" w:hAnsi="Times New Roman"/>
        </w:rPr>
        <w:t>impacts an economic growth by positive way</w:t>
      </w:r>
      <w:r w:rsidR="00803AAF">
        <w:rPr>
          <w:rFonts w:ascii="Times New Roman" w:hAnsi="Times New Roman"/>
        </w:rPr>
        <w:t xml:space="preserve"> since it has positive effect on economic productivity</w:t>
      </w:r>
      <w:r w:rsidR="003A201C">
        <w:rPr>
          <w:rFonts w:ascii="Times New Roman" w:hAnsi="Times New Roman"/>
        </w:rPr>
        <w:t xml:space="preserve">. Factors, including improved nutrition, better sanitation, medical innovation, and public health infrastructure, lead to a longer human lifespan. </w:t>
      </w:r>
      <w:r w:rsidR="00803AAF">
        <w:rPr>
          <w:rFonts w:ascii="Times New Roman" w:hAnsi="Times New Roman"/>
        </w:rPr>
        <w:t>Health is also a direct source of welfare and income</w:t>
      </w:r>
      <w:r w:rsidR="00B03A6B">
        <w:rPr>
          <w:rFonts w:ascii="Times New Roman" w:hAnsi="Times New Roman"/>
        </w:rPr>
        <w:t>.</w:t>
      </w:r>
      <w:r w:rsidR="00803AAF">
        <w:rPr>
          <w:rFonts w:ascii="Times New Roman" w:hAnsi="Times New Roman"/>
        </w:rPr>
        <w:t xml:space="preserve"> </w:t>
      </w:r>
    </w:p>
    <w:p w14:paraId="52B34FD4" w14:textId="63AC145A" w:rsidR="00B50395" w:rsidRDefault="00B50395" w:rsidP="009D39FA">
      <w:pPr>
        <w:spacing w:line="480" w:lineRule="auto"/>
        <w:rPr>
          <w:rFonts w:ascii="Times New Roman" w:hAnsi="Times New Roman"/>
        </w:rPr>
      </w:pPr>
      <w:r>
        <w:rPr>
          <w:rFonts w:ascii="Times New Roman" w:hAnsi="Times New Roman"/>
        </w:rPr>
        <w:t>Ministry of public health and other government agencies performs a public health service in Thailand. These services compose of</w:t>
      </w:r>
      <w:r w:rsidRPr="00B50395">
        <w:rPr>
          <w:rFonts w:ascii="Times New Roman" w:hAnsi="Times New Roman"/>
        </w:rPr>
        <w:t xml:space="preserve"> planning and administration of hospital and health center operations as well as the provision of health care information, research and development on public health.</w:t>
      </w:r>
      <w:r>
        <w:rPr>
          <w:rFonts w:ascii="Times New Roman" w:hAnsi="Times New Roman"/>
        </w:rPr>
        <w:t xml:space="preserve"> </w:t>
      </w:r>
    </w:p>
    <w:p w14:paraId="6260008A" w14:textId="03BBCE78" w:rsidR="00815D9A" w:rsidRDefault="008D34F9" w:rsidP="00815D9A">
      <w:pPr>
        <w:spacing w:line="480" w:lineRule="auto"/>
        <w:ind w:firstLine="720"/>
        <w:rPr>
          <w:rFonts w:ascii="Times New Roman" w:hAnsi="Times New Roman"/>
        </w:rPr>
      </w:pPr>
      <w:r>
        <w:rPr>
          <w:rFonts w:ascii="Times New Roman" w:hAnsi="Times New Roman"/>
        </w:rPr>
        <w:t>According to appendix (</w:t>
      </w:r>
      <w:r>
        <w:rPr>
          <w:rFonts w:ascii="Times New Roman" w:hAnsi="Times New Roman"/>
          <w:i/>
        </w:rPr>
        <w:t>figture4</w:t>
      </w:r>
      <w:r>
        <w:rPr>
          <w:rFonts w:ascii="Times New Roman" w:hAnsi="Times New Roman"/>
        </w:rPr>
        <w:t>), the trend of public health expenditure as a percentage of government expenditure keeps</w:t>
      </w:r>
      <w:r w:rsidR="00631F24">
        <w:rPr>
          <w:rFonts w:ascii="Times New Roman" w:hAnsi="Times New Roman"/>
        </w:rPr>
        <w:t xml:space="preserve"> steady</w:t>
      </w:r>
      <w:r>
        <w:rPr>
          <w:rFonts w:ascii="Times New Roman" w:hAnsi="Times New Roman"/>
        </w:rPr>
        <w:t xml:space="preserve"> growing along the decade. </w:t>
      </w:r>
      <w:r w:rsidR="00631F24">
        <w:rPr>
          <w:rFonts w:ascii="Times New Roman" w:hAnsi="Times New Roman"/>
        </w:rPr>
        <w:t>The share of public health expenditure account with percentage of Gross Domestic Product, in appendix (</w:t>
      </w:r>
      <w:r w:rsidR="00631F24">
        <w:rPr>
          <w:rFonts w:ascii="Times New Roman" w:hAnsi="Times New Roman"/>
          <w:i/>
        </w:rPr>
        <w:t>figture5</w:t>
      </w:r>
      <w:r w:rsidR="00631F24">
        <w:rPr>
          <w:rFonts w:ascii="Times New Roman" w:hAnsi="Times New Roman"/>
        </w:rPr>
        <w:t>), also has a steady increasing trend. These can imply that health care services in a country become more important since year past.</w:t>
      </w:r>
      <w:r w:rsidR="0089125F">
        <w:rPr>
          <w:rFonts w:ascii="Times New Roman" w:hAnsi="Times New Roman"/>
        </w:rPr>
        <w:t xml:space="preserve"> In developing countries </w:t>
      </w:r>
      <w:r w:rsidR="00F00D81">
        <w:rPr>
          <w:rFonts w:ascii="Times New Roman" w:hAnsi="Times New Roman"/>
        </w:rPr>
        <w:t xml:space="preserve">such </w:t>
      </w:r>
      <w:r w:rsidR="0089125F">
        <w:rPr>
          <w:rFonts w:ascii="Times New Roman" w:hAnsi="Times New Roman"/>
        </w:rPr>
        <w:t>as Thailand, there is a reasonable estimate of infant and adul</w:t>
      </w:r>
      <w:r w:rsidR="00F00D81">
        <w:rPr>
          <w:rFonts w:ascii="Times New Roman" w:hAnsi="Times New Roman"/>
        </w:rPr>
        <w:t>t mortality, which are taken in</w:t>
      </w:r>
      <w:r w:rsidR="0089125F">
        <w:rPr>
          <w:rFonts w:ascii="Times New Roman" w:hAnsi="Times New Roman"/>
        </w:rPr>
        <w:t>to account to measure population health.</w:t>
      </w:r>
      <w:r w:rsidR="00631F24">
        <w:rPr>
          <w:rFonts w:ascii="Times New Roman" w:hAnsi="Times New Roman"/>
        </w:rPr>
        <w:t xml:space="preserve"> </w:t>
      </w:r>
      <w:r w:rsidR="0035276E">
        <w:rPr>
          <w:rFonts w:ascii="Times New Roman" w:hAnsi="Times New Roman"/>
        </w:rPr>
        <w:t>As results shown in appendix (</w:t>
      </w:r>
      <w:r w:rsidR="0035276E">
        <w:rPr>
          <w:rFonts w:ascii="Times New Roman" w:hAnsi="Times New Roman"/>
          <w:i/>
        </w:rPr>
        <w:t>figture6 and figture7</w:t>
      </w:r>
      <w:r w:rsidR="0035276E">
        <w:rPr>
          <w:rFonts w:ascii="Times New Roman" w:hAnsi="Times New Roman"/>
        </w:rPr>
        <w:t xml:space="preserve">), </w:t>
      </w:r>
      <w:r w:rsidR="0089125F">
        <w:rPr>
          <w:rFonts w:ascii="Times New Roman" w:hAnsi="Times New Roman"/>
        </w:rPr>
        <w:t>the mortality rate in adults and infant continues to decrease since year 2003. Hence, t</w:t>
      </w:r>
      <w:r w:rsidR="0035276E">
        <w:rPr>
          <w:rFonts w:ascii="Times New Roman" w:hAnsi="Times New Roman"/>
        </w:rPr>
        <w:t>he more public health expenditure</w:t>
      </w:r>
      <w:r w:rsidR="00F00D81">
        <w:rPr>
          <w:rFonts w:ascii="Times New Roman" w:hAnsi="Times New Roman"/>
        </w:rPr>
        <w:t xml:space="preserve"> along with the years leads to </w:t>
      </w:r>
      <w:r w:rsidR="0035276E">
        <w:rPr>
          <w:rFonts w:ascii="Times New Roman" w:hAnsi="Times New Roman"/>
        </w:rPr>
        <w:t xml:space="preserve">the less mortality rate. </w:t>
      </w:r>
      <w:r w:rsidR="0089125F">
        <w:rPr>
          <w:rFonts w:ascii="Times New Roman" w:hAnsi="Times New Roman"/>
        </w:rPr>
        <w:t xml:space="preserve"> </w:t>
      </w:r>
    </w:p>
    <w:p w14:paraId="51D9442B" w14:textId="0DC36135" w:rsidR="00B50395" w:rsidRDefault="00F00D81" w:rsidP="006304BB">
      <w:pPr>
        <w:spacing w:line="480" w:lineRule="auto"/>
        <w:ind w:firstLine="720"/>
        <w:rPr>
          <w:rFonts w:ascii="Times New Roman" w:hAnsi="Times New Roman" w:cs="Times New Roman"/>
        </w:rPr>
      </w:pPr>
      <w:r>
        <w:rPr>
          <w:rFonts w:ascii="Times New Roman" w:hAnsi="Times New Roman"/>
        </w:rPr>
        <w:t>In 2015, there is a government policy on</w:t>
      </w:r>
      <w:r w:rsidR="00D43859">
        <w:rPr>
          <w:rFonts w:ascii="Times New Roman" w:hAnsi="Times New Roman"/>
        </w:rPr>
        <w:t xml:space="preserve"> </w:t>
      </w:r>
      <w:r w:rsidR="00D43859" w:rsidRPr="006E0617">
        <w:rPr>
          <w:rFonts w:ascii="Times New Roman" w:hAnsi="Times New Roman" w:cs="Times New Roman"/>
          <w:b/>
          <w:i/>
        </w:rPr>
        <w:t>enhancing capabilities of the country’s R&amp;D in sciences, medicines, and public health</w:t>
      </w:r>
      <w:r w:rsidR="00D43859">
        <w:rPr>
          <w:rFonts w:ascii="Times New Roman" w:hAnsi="Times New Roman" w:cs="Times New Roman"/>
        </w:rPr>
        <w:t xml:space="preserve">. </w:t>
      </w:r>
      <w:r w:rsidR="0006691A" w:rsidRPr="0006691A">
        <w:rPr>
          <w:rFonts w:ascii="Times New Roman" w:hAnsi="Times New Roman" w:cs="Times New Roman"/>
        </w:rPr>
        <w:t>Ministry of Public Health and the National Health Security Office (NHSO)</w:t>
      </w:r>
      <w:r w:rsidR="0006691A">
        <w:rPr>
          <w:rFonts w:ascii="Times New Roman" w:hAnsi="Times New Roman" w:cs="Times New Roman"/>
        </w:rPr>
        <w:t xml:space="preserve"> is assigned to organize the medical innovation of Thailand fair in order to match medical and public health innovators and innovation users together. Moreover, there is an allowing general public to get into a basic health care and also to develop Thailand to be an ASEAN’s medical and health care hub in the future. However, there is a problem that </w:t>
      </w:r>
      <w:r w:rsidR="002C0EF8">
        <w:rPr>
          <w:rFonts w:ascii="Times New Roman" w:hAnsi="Times New Roman" w:cs="Times New Roman"/>
        </w:rPr>
        <w:t>even</w:t>
      </w:r>
      <w:r w:rsidR="0006691A">
        <w:rPr>
          <w:rFonts w:ascii="Times New Roman" w:hAnsi="Times New Roman" w:cs="Times New Roman"/>
        </w:rPr>
        <w:t xml:space="preserve"> there are progressive number of product created by Thai inventors and innovators, </w:t>
      </w:r>
      <w:r w:rsidR="002C0EF8">
        <w:rPr>
          <w:rFonts w:ascii="Times New Roman" w:hAnsi="Times New Roman" w:cs="Times New Roman"/>
        </w:rPr>
        <w:t>Thailand still lacks of collaboration among the players as well as a systematic support from government. Hence, the medical innovation of Thailand fair is created to encourage the more collaboration between all sectors. Since this fair is a venue for all related sectors to collaborate and conduct the business, the results will be a further economic growth.</w:t>
      </w:r>
      <w:r w:rsidR="006E0617">
        <w:rPr>
          <w:rFonts w:ascii="Times New Roman" w:hAnsi="Times New Roman" w:cs="Times New Roman"/>
        </w:rPr>
        <w:t xml:space="preserve"> There is a concern that, globally, pathogens can rapidly spread among the countries. There is a need for medical development in all factors, including academic comprehension, technology, medicines, medical supply and devices. Hence, research and development is important for the policy to increase standardize of medical sector.</w:t>
      </w:r>
      <w:r w:rsidR="006304BB">
        <w:rPr>
          <w:rFonts w:ascii="Times New Roman" w:hAnsi="Times New Roman" w:cs="Times New Roman"/>
        </w:rPr>
        <w:t xml:space="preserve"> </w:t>
      </w:r>
    </w:p>
    <w:p w14:paraId="16027035" w14:textId="77777777" w:rsidR="006304BB" w:rsidRDefault="006304BB" w:rsidP="006304BB">
      <w:pPr>
        <w:spacing w:line="480" w:lineRule="auto"/>
        <w:rPr>
          <w:rFonts w:ascii="Times New Roman" w:hAnsi="Times New Roman" w:cs="Times New Roman"/>
        </w:rPr>
      </w:pPr>
    </w:p>
    <w:p w14:paraId="0361F396" w14:textId="72108121" w:rsidR="006304BB" w:rsidRDefault="006304BB" w:rsidP="006304BB">
      <w:pPr>
        <w:spacing w:line="480" w:lineRule="auto"/>
        <w:rPr>
          <w:rFonts w:ascii="Times New Roman" w:hAnsi="Times New Roman" w:cs="Times New Roman"/>
          <w:b/>
          <w:u w:val="single"/>
        </w:rPr>
      </w:pPr>
      <w:r w:rsidRPr="006304BB">
        <w:rPr>
          <w:rFonts w:ascii="Times New Roman" w:hAnsi="Times New Roman" w:cs="Times New Roman"/>
          <w:b/>
          <w:u w:val="single"/>
        </w:rPr>
        <w:t>Conclusion</w:t>
      </w:r>
    </w:p>
    <w:p w14:paraId="38E5407F" w14:textId="77777777" w:rsidR="00D92CF4" w:rsidRPr="006304BB" w:rsidRDefault="00D92CF4" w:rsidP="006304BB">
      <w:pPr>
        <w:spacing w:line="480" w:lineRule="auto"/>
        <w:rPr>
          <w:rFonts w:ascii="Times New Roman" w:hAnsi="Times New Roman" w:cs="Times New Roman"/>
          <w:b/>
          <w:u w:val="single"/>
        </w:rPr>
      </w:pPr>
    </w:p>
    <w:p w14:paraId="5FCA61A3" w14:textId="3D66A572" w:rsidR="006304BB" w:rsidRPr="006304BB" w:rsidRDefault="005229AC" w:rsidP="006304BB">
      <w:pPr>
        <w:spacing w:line="480" w:lineRule="auto"/>
        <w:rPr>
          <w:rFonts w:ascii="Times New Roman" w:hAnsi="Times New Roman" w:cs="Times New Roman"/>
        </w:rPr>
      </w:pPr>
      <w:r>
        <w:rPr>
          <w:rFonts w:ascii="Times New Roman" w:hAnsi="Times New Roman" w:cs="Times New Roman"/>
        </w:rPr>
        <w:tab/>
      </w:r>
      <w:r w:rsidR="001D1484">
        <w:rPr>
          <w:rFonts w:ascii="Times New Roman" w:hAnsi="Times New Roman" w:cs="Times New Roman"/>
        </w:rPr>
        <w:t xml:space="preserve">In managing </w:t>
      </w:r>
      <w:proofErr w:type="gramStart"/>
      <w:r w:rsidR="001D1484">
        <w:rPr>
          <w:rFonts w:ascii="Times New Roman" w:hAnsi="Times New Roman" w:cs="Times New Roman"/>
        </w:rPr>
        <w:t>an</w:t>
      </w:r>
      <w:proofErr w:type="gramEnd"/>
      <w:r w:rsidR="001D1484">
        <w:rPr>
          <w:rFonts w:ascii="Times New Roman" w:hAnsi="Times New Roman" w:cs="Times New Roman"/>
        </w:rPr>
        <w:t xml:space="preserve"> government expenditures, there is an underlying to restore confidence and accelerate the establishment of good foundation for a country. The government aims to stimulate the economy, improve infrastructures, and get ready for entering into an ASEAN Community in the future. </w:t>
      </w:r>
      <w:r>
        <w:rPr>
          <w:rFonts w:ascii="Times New Roman" w:hAnsi="Times New Roman" w:cs="Times New Roman"/>
        </w:rPr>
        <w:t xml:space="preserve">Thailand’s government expenditure is undertaken </w:t>
      </w:r>
      <w:r w:rsidR="001D1484">
        <w:rPr>
          <w:rFonts w:ascii="Times New Roman" w:hAnsi="Times New Roman" w:cs="Times New Roman"/>
        </w:rPr>
        <w:t>with the creation balance in developing country in terms of economy, society, culture, security, and natural resources.</w:t>
      </w:r>
    </w:p>
    <w:p w14:paraId="1718FA71" w14:textId="77777777" w:rsidR="00B50395" w:rsidRDefault="00B50395" w:rsidP="00B50395">
      <w:pPr>
        <w:pStyle w:val="NormalWeb"/>
        <w:spacing w:line="480" w:lineRule="auto"/>
        <w:rPr>
          <w:rFonts w:ascii="Times New Roman" w:hAnsi="Times New Roman"/>
          <w:sz w:val="24"/>
          <w:szCs w:val="24"/>
        </w:rPr>
      </w:pPr>
    </w:p>
    <w:p w14:paraId="344C8C34" w14:textId="77777777" w:rsidR="00B50395" w:rsidRDefault="00B50395" w:rsidP="00B50395">
      <w:pPr>
        <w:pStyle w:val="NormalWeb"/>
        <w:spacing w:line="480" w:lineRule="auto"/>
        <w:rPr>
          <w:rFonts w:ascii="Times New Roman" w:hAnsi="Times New Roman"/>
          <w:sz w:val="24"/>
          <w:szCs w:val="24"/>
        </w:rPr>
      </w:pPr>
    </w:p>
    <w:p w14:paraId="77AB87D8" w14:textId="77777777" w:rsidR="00B50395" w:rsidRDefault="00B50395" w:rsidP="00B50395">
      <w:pPr>
        <w:pStyle w:val="NormalWeb"/>
        <w:spacing w:line="480" w:lineRule="auto"/>
        <w:rPr>
          <w:rFonts w:ascii="Times New Roman" w:hAnsi="Times New Roman"/>
          <w:sz w:val="24"/>
          <w:szCs w:val="24"/>
        </w:rPr>
      </w:pPr>
    </w:p>
    <w:p w14:paraId="0A876B53" w14:textId="77777777" w:rsidR="00B50395" w:rsidRDefault="00B50395" w:rsidP="00B50395">
      <w:pPr>
        <w:pStyle w:val="NormalWeb"/>
        <w:spacing w:line="480" w:lineRule="auto"/>
        <w:rPr>
          <w:rFonts w:ascii="Times New Roman" w:hAnsi="Times New Roman"/>
          <w:sz w:val="24"/>
          <w:szCs w:val="24"/>
        </w:rPr>
      </w:pPr>
    </w:p>
    <w:p w14:paraId="082CFA64" w14:textId="77777777" w:rsidR="00B50395" w:rsidRDefault="00B50395" w:rsidP="00B50395">
      <w:pPr>
        <w:pStyle w:val="NormalWeb"/>
        <w:spacing w:line="480" w:lineRule="auto"/>
        <w:rPr>
          <w:rFonts w:ascii="Times New Roman" w:hAnsi="Times New Roman"/>
          <w:sz w:val="24"/>
          <w:szCs w:val="24"/>
        </w:rPr>
      </w:pPr>
    </w:p>
    <w:p w14:paraId="1FCA79B4" w14:textId="440A6718" w:rsidR="00B50395" w:rsidRDefault="00B50395" w:rsidP="00B50395">
      <w:pPr>
        <w:pStyle w:val="NormalWeb"/>
        <w:spacing w:line="480" w:lineRule="auto"/>
      </w:pPr>
      <w:r>
        <w:rPr>
          <w:sz w:val="18"/>
          <w:szCs w:val="18"/>
        </w:rPr>
        <w:t xml:space="preserve"> </w:t>
      </w:r>
    </w:p>
    <w:p w14:paraId="2AAA9777" w14:textId="65173525" w:rsidR="00B50395" w:rsidRPr="00B50395" w:rsidRDefault="00B50395" w:rsidP="00242B6E">
      <w:pPr>
        <w:pStyle w:val="NormalWeb"/>
        <w:spacing w:line="480" w:lineRule="auto"/>
        <w:rPr>
          <w:rFonts w:ascii="Times New Roman" w:hAnsi="Times New Roman"/>
          <w:sz w:val="24"/>
          <w:szCs w:val="24"/>
        </w:rPr>
      </w:pPr>
      <w:r>
        <w:rPr>
          <w:rFonts w:ascii="Times New Roman" w:hAnsi="Times New Roman"/>
          <w:sz w:val="24"/>
          <w:szCs w:val="24"/>
        </w:rPr>
        <w:t xml:space="preserve"> </w:t>
      </w:r>
    </w:p>
    <w:p w14:paraId="0E5AEDEB" w14:textId="77777777" w:rsidR="00242B6E" w:rsidRPr="002B05D0" w:rsidRDefault="00242B6E" w:rsidP="00242B6E">
      <w:pPr>
        <w:pStyle w:val="NormalWeb"/>
        <w:spacing w:line="480" w:lineRule="auto"/>
        <w:rPr>
          <w:rFonts w:ascii="Times New Roman" w:hAnsi="Times New Roman"/>
          <w:sz w:val="24"/>
          <w:szCs w:val="24"/>
        </w:rPr>
      </w:pPr>
    </w:p>
    <w:p w14:paraId="6636BDAF" w14:textId="77777777" w:rsidR="000927BD" w:rsidRPr="002B05D0" w:rsidRDefault="000927BD" w:rsidP="00626433">
      <w:pPr>
        <w:pStyle w:val="NormalWeb"/>
        <w:spacing w:line="480" w:lineRule="auto"/>
        <w:rPr>
          <w:rFonts w:ascii="Times New Roman" w:hAnsi="Times New Roman"/>
          <w:sz w:val="24"/>
          <w:szCs w:val="24"/>
        </w:rPr>
      </w:pPr>
    </w:p>
    <w:p w14:paraId="17540990" w14:textId="1CAE2B01" w:rsidR="004D243B" w:rsidRPr="002B05D0" w:rsidRDefault="004D243B" w:rsidP="004D243B">
      <w:pPr>
        <w:spacing w:line="480" w:lineRule="auto"/>
        <w:rPr>
          <w:rFonts w:ascii="Times New Roman" w:hAnsi="Times New Roman" w:cs="Times New Roman"/>
        </w:rPr>
      </w:pPr>
    </w:p>
    <w:p w14:paraId="0DFF9F00" w14:textId="77777777" w:rsidR="004D243B" w:rsidRPr="002B05D0" w:rsidRDefault="004D243B" w:rsidP="004D243B">
      <w:pPr>
        <w:spacing w:line="480" w:lineRule="auto"/>
        <w:rPr>
          <w:rFonts w:ascii="Times New Roman" w:hAnsi="Times New Roman" w:cs="Times New Roman"/>
        </w:rPr>
      </w:pPr>
    </w:p>
    <w:p w14:paraId="228373A1" w14:textId="77777777" w:rsidR="004D243B" w:rsidRPr="002B05D0" w:rsidRDefault="004D243B" w:rsidP="004D243B">
      <w:pPr>
        <w:spacing w:line="480" w:lineRule="auto"/>
        <w:rPr>
          <w:rFonts w:ascii="Times New Roman" w:hAnsi="Times New Roman" w:cs="Times New Roman"/>
        </w:rPr>
      </w:pPr>
    </w:p>
    <w:p w14:paraId="27F7BCE9" w14:textId="77777777" w:rsidR="004D243B" w:rsidRPr="002B05D0" w:rsidRDefault="004D243B" w:rsidP="004D243B">
      <w:pPr>
        <w:spacing w:line="480" w:lineRule="auto"/>
        <w:rPr>
          <w:rFonts w:ascii="Times New Roman" w:hAnsi="Times New Roman" w:cs="Times New Roman"/>
        </w:rPr>
      </w:pPr>
    </w:p>
    <w:p w14:paraId="6616ECD1" w14:textId="77777777" w:rsidR="004D243B" w:rsidRPr="002B05D0" w:rsidRDefault="004D243B" w:rsidP="004D243B">
      <w:pPr>
        <w:spacing w:line="480" w:lineRule="auto"/>
        <w:rPr>
          <w:rFonts w:ascii="Times New Roman" w:hAnsi="Times New Roman" w:cs="Times New Roman"/>
        </w:rPr>
      </w:pPr>
    </w:p>
    <w:p w14:paraId="0DE11B93" w14:textId="77777777" w:rsidR="00F8467D" w:rsidRDefault="00F8467D" w:rsidP="004D243B">
      <w:pPr>
        <w:spacing w:line="480" w:lineRule="auto"/>
        <w:rPr>
          <w:rFonts w:ascii="Times New Roman" w:hAnsi="Times New Roman" w:cs="Times New Roman"/>
          <w:b/>
        </w:rPr>
      </w:pPr>
    </w:p>
    <w:p w14:paraId="0FEB9545" w14:textId="77777777" w:rsidR="00F8467D" w:rsidRDefault="00F8467D" w:rsidP="004D243B">
      <w:pPr>
        <w:spacing w:line="480" w:lineRule="auto"/>
        <w:rPr>
          <w:rFonts w:ascii="Times New Roman" w:hAnsi="Times New Roman" w:cs="Times New Roman"/>
          <w:b/>
        </w:rPr>
      </w:pPr>
    </w:p>
    <w:p w14:paraId="5BCA3AC0" w14:textId="77777777" w:rsidR="00F8467D" w:rsidRDefault="00F8467D" w:rsidP="004D243B">
      <w:pPr>
        <w:spacing w:line="480" w:lineRule="auto"/>
        <w:rPr>
          <w:rFonts w:ascii="Times New Roman" w:hAnsi="Times New Roman" w:cs="Times New Roman"/>
          <w:b/>
        </w:rPr>
      </w:pPr>
    </w:p>
    <w:p w14:paraId="7E115E39" w14:textId="77777777" w:rsidR="004D243B" w:rsidRDefault="004D243B" w:rsidP="004D243B">
      <w:pPr>
        <w:spacing w:line="480" w:lineRule="auto"/>
        <w:rPr>
          <w:rFonts w:ascii="Times New Roman" w:hAnsi="Times New Roman" w:cs="Times New Roman"/>
          <w:b/>
        </w:rPr>
      </w:pPr>
      <w:r w:rsidRPr="002B05D0">
        <w:rPr>
          <w:rFonts w:ascii="Times New Roman" w:hAnsi="Times New Roman" w:cs="Times New Roman"/>
          <w:b/>
        </w:rPr>
        <w:t>APEENDIX</w:t>
      </w:r>
    </w:p>
    <w:p w14:paraId="0DCB7F7A" w14:textId="77777777" w:rsidR="00D74C13" w:rsidRPr="002B05D0" w:rsidRDefault="00D74C13" w:rsidP="004D243B">
      <w:pPr>
        <w:spacing w:line="480" w:lineRule="auto"/>
        <w:rPr>
          <w:rFonts w:ascii="Times New Roman" w:hAnsi="Times New Roman" w:cs="Times New Roman"/>
          <w:b/>
        </w:rPr>
      </w:pPr>
    </w:p>
    <w:p w14:paraId="7B58B21B" w14:textId="77777777" w:rsidR="004D243B" w:rsidRPr="002B05D0" w:rsidRDefault="004D243B" w:rsidP="004D243B">
      <w:pPr>
        <w:spacing w:line="480" w:lineRule="auto"/>
        <w:rPr>
          <w:rFonts w:ascii="Times New Roman" w:hAnsi="Times New Roman" w:cs="Times New Roman"/>
          <w:i/>
        </w:rPr>
      </w:pPr>
      <w:r w:rsidRPr="002B05D0">
        <w:rPr>
          <w:rFonts w:ascii="Times New Roman" w:hAnsi="Times New Roman" w:cs="Times New Roman"/>
          <w:i/>
        </w:rPr>
        <w:t>Figture1)</w:t>
      </w:r>
    </w:p>
    <w:p w14:paraId="7C98247D" w14:textId="23A7E613" w:rsidR="00C30702" w:rsidRPr="002B05D0" w:rsidRDefault="00350335" w:rsidP="00612740">
      <w:pPr>
        <w:spacing w:line="480" w:lineRule="auto"/>
        <w:jc w:val="center"/>
        <w:rPr>
          <w:rFonts w:ascii="Times New Roman" w:hAnsi="Times New Roman" w:cs="Times New Roman"/>
          <w:i/>
        </w:rPr>
      </w:pPr>
      <w:r w:rsidRPr="002B05D0">
        <w:rPr>
          <w:rFonts w:ascii="Times New Roman" w:hAnsi="Times New Roman" w:cs="Times New Roman"/>
          <w:noProof/>
        </w:rPr>
        <w:drawing>
          <wp:inline distT="0" distB="0" distL="0" distR="0" wp14:anchorId="65E395D1" wp14:editId="36AF6417">
            <wp:extent cx="5343525" cy="3006090"/>
            <wp:effectExtent l="0" t="0" r="15875" b="1651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77C0C40" w14:textId="77777777" w:rsidR="00D449A8" w:rsidRPr="002B05D0" w:rsidRDefault="00D449A8" w:rsidP="004D243B">
      <w:pPr>
        <w:spacing w:line="480" w:lineRule="auto"/>
        <w:rPr>
          <w:rFonts w:ascii="Times New Roman" w:hAnsi="Times New Roman" w:cs="Times New Roman"/>
          <w:i/>
        </w:rPr>
      </w:pPr>
    </w:p>
    <w:p w14:paraId="2DABD80B" w14:textId="348BEFD2" w:rsidR="00D449A8" w:rsidRPr="002B05D0" w:rsidRDefault="00D449A8" w:rsidP="004D243B">
      <w:pPr>
        <w:spacing w:line="480" w:lineRule="auto"/>
        <w:rPr>
          <w:rFonts w:ascii="Times New Roman" w:hAnsi="Times New Roman" w:cs="Times New Roman"/>
        </w:rPr>
      </w:pPr>
      <w:r w:rsidRPr="002B05D0">
        <w:rPr>
          <w:rFonts w:ascii="Times New Roman" w:hAnsi="Times New Roman" w:cs="Times New Roman"/>
          <w:i/>
        </w:rPr>
        <w:t>Figure2)</w:t>
      </w:r>
    </w:p>
    <w:p w14:paraId="14B5AA53" w14:textId="77777777" w:rsidR="004D243B" w:rsidRPr="002B05D0" w:rsidRDefault="004D243B" w:rsidP="004D243B">
      <w:pPr>
        <w:spacing w:line="480" w:lineRule="auto"/>
        <w:jc w:val="center"/>
        <w:rPr>
          <w:rFonts w:ascii="Times New Roman" w:hAnsi="Times New Roman" w:cs="Times New Roman"/>
        </w:rPr>
      </w:pPr>
      <w:r w:rsidRPr="002B05D0">
        <w:rPr>
          <w:rFonts w:ascii="Times New Roman" w:hAnsi="Times New Roman" w:cs="Times New Roman"/>
          <w:noProof/>
        </w:rPr>
        <w:drawing>
          <wp:inline distT="0" distB="0" distL="0" distR="0" wp14:anchorId="5335135F" wp14:editId="4213D47C">
            <wp:extent cx="5104765" cy="3561715"/>
            <wp:effectExtent l="0" t="0" r="26035" b="1968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853F704" w14:textId="77777777" w:rsidR="004D243B" w:rsidRPr="002B05D0" w:rsidRDefault="004D243B" w:rsidP="004D243B">
      <w:pPr>
        <w:spacing w:line="480" w:lineRule="auto"/>
        <w:rPr>
          <w:rFonts w:ascii="Times New Roman" w:hAnsi="Times New Roman" w:cs="Times New Roman"/>
          <w:i/>
        </w:rPr>
      </w:pPr>
    </w:p>
    <w:p w14:paraId="52E62A69" w14:textId="77777777" w:rsidR="00D74C13" w:rsidRDefault="00D74C13" w:rsidP="004D243B">
      <w:pPr>
        <w:spacing w:line="480" w:lineRule="auto"/>
        <w:rPr>
          <w:rFonts w:ascii="Times New Roman" w:hAnsi="Times New Roman" w:cs="Times New Roman"/>
          <w:i/>
        </w:rPr>
      </w:pPr>
    </w:p>
    <w:p w14:paraId="62F5D5BC" w14:textId="77777777" w:rsidR="00D74C13" w:rsidRDefault="00D74C13" w:rsidP="004D243B">
      <w:pPr>
        <w:spacing w:line="480" w:lineRule="auto"/>
        <w:rPr>
          <w:rFonts w:ascii="Times New Roman" w:hAnsi="Times New Roman" w:cs="Times New Roman"/>
          <w:i/>
        </w:rPr>
      </w:pPr>
    </w:p>
    <w:p w14:paraId="0C15741A" w14:textId="77777777" w:rsidR="00D74C13" w:rsidRDefault="00D74C13" w:rsidP="004D243B">
      <w:pPr>
        <w:spacing w:line="480" w:lineRule="auto"/>
        <w:rPr>
          <w:rFonts w:ascii="Times New Roman" w:hAnsi="Times New Roman" w:cs="Times New Roman"/>
          <w:i/>
        </w:rPr>
      </w:pPr>
    </w:p>
    <w:p w14:paraId="68380528" w14:textId="2304BD3C" w:rsidR="004D243B" w:rsidRPr="002B05D0" w:rsidRDefault="00D449A8" w:rsidP="004D243B">
      <w:pPr>
        <w:spacing w:line="480" w:lineRule="auto"/>
        <w:rPr>
          <w:rFonts w:ascii="Times New Roman" w:hAnsi="Times New Roman" w:cs="Times New Roman"/>
          <w:i/>
        </w:rPr>
      </w:pPr>
      <w:r w:rsidRPr="002B05D0">
        <w:rPr>
          <w:rFonts w:ascii="Times New Roman" w:hAnsi="Times New Roman" w:cs="Times New Roman"/>
          <w:i/>
        </w:rPr>
        <w:t>Figture3</w:t>
      </w:r>
      <w:r w:rsidR="004D243B" w:rsidRPr="002B05D0">
        <w:rPr>
          <w:rFonts w:ascii="Times New Roman" w:hAnsi="Times New Roman" w:cs="Times New Roman"/>
          <w:i/>
        </w:rPr>
        <w:t>)</w:t>
      </w:r>
    </w:p>
    <w:tbl>
      <w:tblPr>
        <w:tblW w:w="8080" w:type="dxa"/>
        <w:jc w:val="center"/>
        <w:tblInd w:w="108" w:type="dxa"/>
        <w:tblLayout w:type="fixed"/>
        <w:tblLook w:val="04A0" w:firstRow="1" w:lastRow="0" w:firstColumn="1" w:lastColumn="0" w:noHBand="0" w:noVBand="1"/>
      </w:tblPr>
      <w:tblGrid>
        <w:gridCol w:w="6346"/>
        <w:gridCol w:w="1134"/>
        <w:gridCol w:w="600"/>
      </w:tblGrid>
      <w:tr w:rsidR="004D243B" w:rsidRPr="002B05D0" w14:paraId="5C99BBBF" w14:textId="77777777" w:rsidTr="004D243B">
        <w:trPr>
          <w:trHeight w:val="291"/>
          <w:jc w:val="center"/>
        </w:trPr>
        <w:tc>
          <w:tcPr>
            <w:tcW w:w="63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AABEB"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Budget allocation strategy</w:t>
            </w:r>
          </w:p>
        </w:tc>
        <w:tc>
          <w:tcPr>
            <w:tcW w:w="1734" w:type="dxa"/>
            <w:gridSpan w:val="2"/>
            <w:tcBorders>
              <w:top w:val="single" w:sz="4" w:space="0" w:color="auto"/>
              <w:left w:val="nil"/>
              <w:bottom w:val="single" w:sz="4" w:space="0" w:color="auto"/>
              <w:right w:val="single" w:sz="4" w:space="0" w:color="auto"/>
            </w:tcBorders>
            <w:shd w:val="clear" w:color="auto" w:fill="auto"/>
            <w:noWrap/>
            <w:vAlign w:val="center"/>
            <w:hideMark/>
          </w:tcPr>
          <w:p w14:paraId="28122ECA"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Budget</w:t>
            </w:r>
          </w:p>
        </w:tc>
      </w:tr>
      <w:tr w:rsidR="004D243B" w:rsidRPr="002B05D0" w14:paraId="6CB747C6" w14:textId="77777777" w:rsidTr="004D243B">
        <w:trPr>
          <w:trHeight w:val="281"/>
          <w:jc w:val="center"/>
        </w:trPr>
        <w:tc>
          <w:tcPr>
            <w:tcW w:w="6346" w:type="dxa"/>
            <w:vMerge/>
            <w:tcBorders>
              <w:top w:val="single" w:sz="4" w:space="0" w:color="auto"/>
              <w:left w:val="single" w:sz="4" w:space="0" w:color="auto"/>
              <w:bottom w:val="single" w:sz="4" w:space="0" w:color="auto"/>
              <w:right w:val="single" w:sz="4" w:space="0" w:color="auto"/>
            </w:tcBorders>
            <w:vAlign w:val="center"/>
            <w:hideMark/>
          </w:tcPr>
          <w:p w14:paraId="10C4695A" w14:textId="77777777" w:rsidR="004D243B" w:rsidRPr="002B05D0" w:rsidRDefault="004D243B" w:rsidP="004D243B">
            <w:pPr>
              <w:jc w:val="center"/>
              <w:rPr>
                <w:rFonts w:ascii="Times New Roman" w:eastAsia="Times New Roman" w:hAnsi="Times New Roman" w:cs="Times New Roman"/>
                <w:sz w:val="20"/>
                <w:szCs w:val="20"/>
              </w:rPr>
            </w:pPr>
          </w:p>
        </w:tc>
        <w:tc>
          <w:tcPr>
            <w:tcW w:w="1134" w:type="dxa"/>
            <w:tcBorders>
              <w:top w:val="nil"/>
              <w:left w:val="nil"/>
              <w:bottom w:val="single" w:sz="4" w:space="0" w:color="auto"/>
              <w:right w:val="single" w:sz="4" w:space="0" w:color="auto"/>
            </w:tcBorders>
            <w:shd w:val="clear" w:color="auto" w:fill="auto"/>
            <w:noWrap/>
            <w:vAlign w:val="center"/>
            <w:hideMark/>
          </w:tcPr>
          <w:p w14:paraId="5A0A68CD"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Amount</w:t>
            </w:r>
          </w:p>
        </w:tc>
        <w:tc>
          <w:tcPr>
            <w:tcW w:w="600" w:type="dxa"/>
            <w:tcBorders>
              <w:top w:val="nil"/>
              <w:left w:val="nil"/>
              <w:bottom w:val="single" w:sz="4" w:space="0" w:color="auto"/>
              <w:right w:val="single" w:sz="4" w:space="0" w:color="auto"/>
            </w:tcBorders>
            <w:shd w:val="clear" w:color="auto" w:fill="auto"/>
            <w:noWrap/>
            <w:vAlign w:val="center"/>
            <w:hideMark/>
          </w:tcPr>
          <w:p w14:paraId="5C6368C5"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w:t>
            </w:r>
          </w:p>
        </w:tc>
      </w:tr>
      <w:tr w:rsidR="004D243B" w:rsidRPr="002B05D0" w14:paraId="7FAE95F0" w14:textId="77777777" w:rsidTr="004D243B">
        <w:trPr>
          <w:trHeight w:val="413"/>
          <w:jc w:val="center"/>
        </w:trPr>
        <w:tc>
          <w:tcPr>
            <w:tcW w:w="6346" w:type="dxa"/>
            <w:tcBorders>
              <w:top w:val="nil"/>
              <w:left w:val="single" w:sz="4" w:space="0" w:color="auto"/>
              <w:bottom w:val="single" w:sz="4" w:space="0" w:color="auto"/>
              <w:right w:val="single" w:sz="4" w:space="0" w:color="auto"/>
            </w:tcBorders>
            <w:shd w:val="clear" w:color="auto" w:fill="auto"/>
            <w:noWrap/>
            <w:vAlign w:val="center"/>
            <w:hideMark/>
          </w:tcPr>
          <w:p w14:paraId="4E495A95"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Total</w:t>
            </w:r>
          </w:p>
        </w:tc>
        <w:tc>
          <w:tcPr>
            <w:tcW w:w="1134" w:type="dxa"/>
            <w:tcBorders>
              <w:top w:val="nil"/>
              <w:left w:val="nil"/>
              <w:bottom w:val="single" w:sz="4" w:space="0" w:color="auto"/>
              <w:right w:val="single" w:sz="4" w:space="0" w:color="auto"/>
            </w:tcBorders>
            <w:shd w:val="clear" w:color="auto" w:fill="auto"/>
            <w:noWrap/>
            <w:vAlign w:val="center"/>
            <w:hideMark/>
          </w:tcPr>
          <w:p w14:paraId="6F24F672"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2,575,000</w:t>
            </w:r>
          </w:p>
        </w:tc>
        <w:tc>
          <w:tcPr>
            <w:tcW w:w="600" w:type="dxa"/>
            <w:tcBorders>
              <w:top w:val="nil"/>
              <w:left w:val="nil"/>
              <w:bottom w:val="single" w:sz="4" w:space="0" w:color="auto"/>
              <w:right w:val="single" w:sz="4" w:space="0" w:color="auto"/>
            </w:tcBorders>
            <w:shd w:val="clear" w:color="auto" w:fill="auto"/>
            <w:noWrap/>
            <w:vAlign w:val="center"/>
            <w:hideMark/>
          </w:tcPr>
          <w:p w14:paraId="780F57F7"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100</w:t>
            </w:r>
          </w:p>
        </w:tc>
      </w:tr>
      <w:tr w:rsidR="004D243B" w:rsidRPr="002B05D0" w14:paraId="3363FEA2" w14:textId="77777777" w:rsidTr="004D243B">
        <w:trPr>
          <w:trHeight w:val="600"/>
          <w:jc w:val="center"/>
        </w:trPr>
        <w:tc>
          <w:tcPr>
            <w:tcW w:w="6346" w:type="dxa"/>
            <w:tcBorders>
              <w:top w:val="nil"/>
              <w:left w:val="single" w:sz="4" w:space="0" w:color="auto"/>
              <w:bottom w:val="single" w:sz="4" w:space="0" w:color="auto"/>
              <w:right w:val="single" w:sz="4" w:space="0" w:color="auto"/>
            </w:tcBorders>
            <w:shd w:val="clear" w:color="auto" w:fill="auto"/>
            <w:noWrap/>
            <w:vAlign w:val="center"/>
            <w:hideMark/>
          </w:tcPr>
          <w:p w14:paraId="67BB1817"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1. Restoring confidence and mobilizing the establishment of good foundation for the country</w:t>
            </w:r>
          </w:p>
        </w:tc>
        <w:tc>
          <w:tcPr>
            <w:tcW w:w="1134" w:type="dxa"/>
            <w:tcBorders>
              <w:top w:val="nil"/>
              <w:left w:val="nil"/>
              <w:bottom w:val="single" w:sz="4" w:space="0" w:color="auto"/>
              <w:right w:val="single" w:sz="4" w:space="0" w:color="auto"/>
            </w:tcBorders>
            <w:shd w:val="clear" w:color="auto" w:fill="auto"/>
            <w:noWrap/>
            <w:vAlign w:val="center"/>
            <w:hideMark/>
          </w:tcPr>
          <w:p w14:paraId="0F980698"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183,806.80</w:t>
            </w:r>
          </w:p>
        </w:tc>
        <w:tc>
          <w:tcPr>
            <w:tcW w:w="600" w:type="dxa"/>
            <w:tcBorders>
              <w:top w:val="nil"/>
              <w:left w:val="nil"/>
              <w:bottom w:val="single" w:sz="4" w:space="0" w:color="auto"/>
              <w:right w:val="single" w:sz="4" w:space="0" w:color="auto"/>
            </w:tcBorders>
            <w:shd w:val="clear" w:color="auto" w:fill="auto"/>
            <w:noWrap/>
            <w:vAlign w:val="center"/>
            <w:hideMark/>
          </w:tcPr>
          <w:p w14:paraId="5641BFB2"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7.1</w:t>
            </w:r>
          </w:p>
        </w:tc>
      </w:tr>
      <w:tr w:rsidR="004D243B" w:rsidRPr="002B05D0" w14:paraId="1DA61613" w14:textId="77777777" w:rsidTr="004D243B">
        <w:trPr>
          <w:trHeight w:val="600"/>
          <w:jc w:val="center"/>
        </w:trPr>
        <w:tc>
          <w:tcPr>
            <w:tcW w:w="6346" w:type="dxa"/>
            <w:tcBorders>
              <w:top w:val="nil"/>
              <w:left w:val="single" w:sz="4" w:space="0" w:color="auto"/>
              <w:bottom w:val="single" w:sz="4" w:space="0" w:color="auto"/>
              <w:right w:val="single" w:sz="4" w:space="0" w:color="auto"/>
            </w:tcBorders>
            <w:shd w:val="clear" w:color="auto" w:fill="auto"/>
            <w:noWrap/>
            <w:vAlign w:val="center"/>
            <w:hideMark/>
          </w:tcPr>
          <w:p w14:paraId="1E2C6711"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2. National security</w:t>
            </w:r>
          </w:p>
        </w:tc>
        <w:tc>
          <w:tcPr>
            <w:tcW w:w="1134" w:type="dxa"/>
            <w:tcBorders>
              <w:top w:val="nil"/>
              <w:left w:val="nil"/>
              <w:bottom w:val="single" w:sz="4" w:space="0" w:color="auto"/>
              <w:right w:val="single" w:sz="4" w:space="0" w:color="auto"/>
            </w:tcBorders>
            <w:shd w:val="clear" w:color="auto" w:fill="auto"/>
            <w:noWrap/>
            <w:vAlign w:val="center"/>
            <w:hideMark/>
          </w:tcPr>
          <w:p w14:paraId="287AC554"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222,116.90</w:t>
            </w:r>
          </w:p>
        </w:tc>
        <w:tc>
          <w:tcPr>
            <w:tcW w:w="600" w:type="dxa"/>
            <w:tcBorders>
              <w:top w:val="nil"/>
              <w:left w:val="nil"/>
              <w:bottom w:val="single" w:sz="4" w:space="0" w:color="auto"/>
              <w:right w:val="single" w:sz="4" w:space="0" w:color="auto"/>
            </w:tcBorders>
            <w:shd w:val="clear" w:color="auto" w:fill="auto"/>
            <w:noWrap/>
            <w:vAlign w:val="center"/>
            <w:hideMark/>
          </w:tcPr>
          <w:p w14:paraId="08F0EC4E"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8.6</w:t>
            </w:r>
          </w:p>
        </w:tc>
      </w:tr>
      <w:tr w:rsidR="004D243B" w:rsidRPr="002B05D0" w14:paraId="3013998B" w14:textId="77777777" w:rsidTr="004D243B">
        <w:trPr>
          <w:trHeight w:val="600"/>
          <w:jc w:val="center"/>
        </w:trPr>
        <w:tc>
          <w:tcPr>
            <w:tcW w:w="6346" w:type="dxa"/>
            <w:tcBorders>
              <w:top w:val="nil"/>
              <w:left w:val="single" w:sz="4" w:space="0" w:color="auto"/>
              <w:bottom w:val="single" w:sz="4" w:space="0" w:color="auto"/>
              <w:right w:val="single" w:sz="4" w:space="0" w:color="auto"/>
            </w:tcBorders>
            <w:shd w:val="clear" w:color="auto" w:fill="auto"/>
            <w:noWrap/>
            <w:vAlign w:val="center"/>
            <w:hideMark/>
          </w:tcPr>
          <w:p w14:paraId="07A9910D"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3. Development of economic growth with stability and sustainability</w:t>
            </w:r>
          </w:p>
        </w:tc>
        <w:tc>
          <w:tcPr>
            <w:tcW w:w="1134" w:type="dxa"/>
            <w:tcBorders>
              <w:top w:val="nil"/>
              <w:left w:val="nil"/>
              <w:bottom w:val="single" w:sz="4" w:space="0" w:color="auto"/>
              <w:right w:val="single" w:sz="4" w:space="0" w:color="auto"/>
            </w:tcBorders>
            <w:shd w:val="clear" w:color="auto" w:fill="auto"/>
            <w:noWrap/>
            <w:vAlign w:val="center"/>
            <w:hideMark/>
          </w:tcPr>
          <w:p w14:paraId="0F2E5167"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167,405.60</w:t>
            </w:r>
          </w:p>
        </w:tc>
        <w:tc>
          <w:tcPr>
            <w:tcW w:w="600" w:type="dxa"/>
            <w:tcBorders>
              <w:top w:val="nil"/>
              <w:left w:val="nil"/>
              <w:bottom w:val="single" w:sz="4" w:space="0" w:color="auto"/>
              <w:right w:val="single" w:sz="4" w:space="0" w:color="auto"/>
            </w:tcBorders>
            <w:shd w:val="clear" w:color="auto" w:fill="auto"/>
            <w:noWrap/>
            <w:vAlign w:val="center"/>
            <w:hideMark/>
          </w:tcPr>
          <w:p w14:paraId="7EF5A04D"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6.5</w:t>
            </w:r>
          </w:p>
        </w:tc>
      </w:tr>
      <w:tr w:rsidR="004D243B" w:rsidRPr="002B05D0" w14:paraId="21CBE4B9" w14:textId="77777777" w:rsidTr="004D243B">
        <w:trPr>
          <w:trHeight w:val="600"/>
          <w:jc w:val="center"/>
        </w:trPr>
        <w:tc>
          <w:tcPr>
            <w:tcW w:w="6346" w:type="dxa"/>
            <w:tcBorders>
              <w:top w:val="nil"/>
              <w:left w:val="single" w:sz="4" w:space="0" w:color="auto"/>
              <w:bottom w:val="single" w:sz="4" w:space="0" w:color="auto"/>
              <w:right w:val="single" w:sz="4" w:space="0" w:color="auto"/>
            </w:tcBorders>
            <w:shd w:val="clear" w:color="auto" w:fill="auto"/>
            <w:noWrap/>
            <w:vAlign w:val="center"/>
            <w:hideMark/>
          </w:tcPr>
          <w:p w14:paraId="7AF62ECD"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4. Education, health, virtue, ethics and quality of life</w:t>
            </w:r>
          </w:p>
        </w:tc>
        <w:tc>
          <w:tcPr>
            <w:tcW w:w="1134" w:type="dxa"/>
            <w:tcBorders>
              <w:top w:val="nil"/>
              <w:left w:val="nil"/>
              <w:bottom w:val="single" w:sz="4" w:space="0" w:color="auto"/>
              <w:right w:val="single" w:sz="4" w:space="0" w:color="auto"/>
            </w:tcBorders>
            <w:shd w:val="clear" w:color="auto" w:fill="auto"/>
            <w:noWrap/>
            <w:vAlign w:val="center"/>
            <w:hideMark/>
          </w:tcPr>
          <w:p w14:paraId="516E6F59"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954,151.70</w:t>
            </w:r>
          </w:p>
        </w:tc>
        <w:tc>
          <w:tcPr>
            <w:tcW w:w="600" w:type="dxa"/>
            <w:tcBorders>
              <w:top w:val="nil"/>
              <w:left w:val="nil"/>
              <w:bottom w:val="single" w:sz="4" w:space="0" w:color="auto"/>
              <w:right w:val="single" w:sz="4" w:space="0" w:color="auto"/>
            </w:tcBorders>
            <w:shd w:val="clear" w:color="auto" w:fill="auto"/>
            <w:noWrap/>
            <w:vAlign w:val="center"/>
            <w:hideMark/>
          </w:tcPr>
          <w:p w14:paraId="14B2935C"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37.0</w:t>
            </w:r>
          </w:p>
        </w:tc>
      </w:tr>
      <w:tr w:rsidR="004D243B" w:rsidRPr="002B05D0" w14:paraId="09242889" w14:textId="77777777" w:rsidTr="004D243B">
        <w:trPr>
          <w:trHeight w:val="600"/>
          <w:jc w:val="center"/>
        </w:trPr>
        <w:tc>
          <w:tcPr>
            <w:tcW w:w="6346" w:type="dxa"/>
            <w:tcBorders>
              <w:top w:val="nil"/>
              <w:left w:val="single" w:sz="4" w:space="0" w:color="auto"/>
              <w:bottom w:val="single" w:sz="4" w:space="0" w:color="auto"/>
              <w:right w:val="single" w:sz="4" w:space="0" w:color="auto"/>
            </w:tcBorders>
            <w:shd w:val="clear" w:color="auto" w:fill="auto"/>
            <w:noWrap/>
            <w:vAlign w:val="center"/>
            <w:hideMark/>
          </w:tcPr>
          <w:p w14:paraId="26125ECE"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5. Management of natural resources and environment</w:t>
            </w:r>
          </w:p>
        </w:tc>
        <w:tc>
          <w:tcPr>
            <w:tcW w:w="1134" w:type="dxa"/>
            <w:tcBorders>
              <w:top w:val="nil"/>
              <w:left w:val="nil"/>
              <w:bottom w:val="single" w:sz="4" w:space="0" w:color="auto"/>
              <w:right w:val="single" w:sz="4" w:space="0" w:color="auto"/>
            </w:tcBorders>
            <w:shd w:val="clear" w:color="auto" w:fill="auto"/>
            <w:noWrap/>
            <w:vAlign w:val="center"/>
            <w:hideMark/>
          </w:tcPr>
          <w:p w14:paraId="29CBD742"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133,093.50</w:t>
            </w:r>
          </w:p>
        </w:tc>
        <w:tc>
          <w:tcPr>
            <w:tcW w:w="600" w:type="dxa"/>
            <w:tcBorders>
              <w:top w:val="nil"/>
              <w:left w:val="nil"/>
              <w:bottom w:val="single" w:sz="4" w:space="0" w:color="auto"/>
              <w:right w:val="single" w:sz="4" w:space="0" w:color="auto"/>
            </w:tcBorders>
            <w:shd w:val="clear" w:color="auto" w:fill="auto"/>
            <w:noWrap/>
            <w:vAlign w:val="center"/>
            <w:hideMark/>
          </w:tcPr>
          <w:p w14:paraId="0C0DD154"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5.2</w:t>
            </w:r>
          </w:p>
        </w:tc>
      </w:tr>
      <w:tr w:rsidR="004D243B" w:rsidRPr="002B05D0" w14:paraId="588307D9" w14:textId="77777777" w:rsidTr="004D243B">
        <w:trPr>
          <w:trHeight w:val="600"/>
          <w:jc w:val="center"/>
        </w:trPr>
        <w:tc>
          <w:tcPr>
            <w:tcW w:w="6346" w:type="dxa"/>
            <w:tcBorders>
              <w:top w:val="nil"/>
              <w:left w:val="single" w:sz="4" w:space="0" w:color="auto"/>
              <w:bottom w:val="single" w:sz="4" w:space="0" w:color="auto"/>
              <w:right w:val="single" w:sz="4" w:space="0" w:color="auto"/>
            </w:tcBorders>
            <w:shd w:val="clear" w:color="auto" w:fill="auto"/>
            <w:noWrap/>
            <w:vAlign w:val="center"/>
            <w:hideMark/>
          </w:tcPr>
          <w:p w14:paraId="4B33B8E8"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6. Development of science, technology and innovation</w:t>
            </w:r>
          </w:p>
        </w:tc>
        <w:tc>
          <w:tcPr>
            <w:tcW w:w="1134" w:type="dxa"/>
            <w:tcBorders>
              <w:top w:val="nil"/>
              <w:left w:val="nil"/>
              <w:bottom w:val="single" w:sz="4" w:space="0" w:color="auto"/>
              <w:right w:val="single" w:sz="4" w:space="0" w:color="auto"/>
            </w:tcBorders>
            <w:shd w:val="clear" w:color="auto" w:fill="auto"/>
            <w:noWrap/>
            <w:vAlign w:val="center"/>
            <w:hideMark/>
          </w:tcPr>
          <w:p w14:paraId="1A496B68"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24,632.90</w:t>
            </w:r>
          </w:p>
        </w:tc>
        <w:tc>
          <w:tcPr>
            <w:tcW w:w="600" w:type="dxa"/>
            <w:tcBorders>
              <w:top w:val="nil"/>
              <w:left w:val="nil"/>
              <w:bottom w:val="single" w:sz="4" w:space="0" w:color="auto"/>
              <w:right w:val="single" w:sz="4" w:space="0" w:color="auto"/>
            </w:tcBorders>
            <w:shd w:val="clear" w:color="auto" w:fill="auto"/>
            <w:noWrap/>
            <w:vAlign w:val="center"/>
            <w:hideMark/>
          </w:tcPr>
          <w:p w14:paraId="0DAA476E"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1.0</w:t>
            </w:r>
          </w:p>
        </w:tc>
      </w:tr>
      <w:tr w:rsidR="004D243B" w:rsidRPr="002B05D0" w14:paraId="3E7C6B30" w14:textId="77777777" w:rsidTr="004D243B">
        <w:trPr>
          <w:trHeight w:val="600"/>
          <w:jc w:val="center"/>
        </w:trPr>
        <w:tc>
          <w:tcPr>
            <w:tcW w:w="6346" w:type="dxa"/>
            <w:tcBorders>
              <w:top w:val="nil"/>
              <w:left w:val="single" w:sz="4" w:space="0" w:color="auto"/>
              <w:bottom w:val="single" w:sz="4" w:space="0" w:color="auto"/>
              <w:right w:val="single" w:sz="4" w:space="0" w:color="auto"/>
            </w:tcBorders>
            <w:shd w:val="clear" w:color="auto" w:fill="auto"/>
            <w:noWrap/>
            <w:vAlign w:val="center"/>
            <w:hideMark/>
          </w:tcPr>
          <w:p w14:paraId="35D0F536"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7. Management of foreign policy and international economic affairs</w:t>
            </w:r>
          </w:p>
        </w:tc>
        <w:tc>
          <w:tcPr>
            <w:tcW w:w="1134" w:type="dxa"/>
            <w:tcBorders>
              <w:top w:val="nil"/>
              <w:left w:val="nil"/>
              <w:bottom w:val="single" w:sz="4" w:space="0" w:color="auto"/>
              <w:right w:val="single" w:sz="4" w:space="0" w:color="auto"/>
            </w:tcBorders>
            <w:shd w:val="clear" w:color="auto" w:fill="auto"/>
            <w:noWrap/>
            <w:vAlign w:val="center"/>
            <w:hideMark/>
          </w:tcPr>
          <w:p w14:paraId="2C5BE93E"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9,367.80</w:t>
            </w:r>
          </w:p>
        </w:tc>
        <w:tc>
          <w:tcPr>
            <w:tcW w:w="600" w:type="dxa"/>
            <w:tcBorders>
              <w:top w:val="nil"/>
              <w:left w:val="nil"/>
              <w:bottom w:val="single" w:sz="4" w:space="0" w:color="auto"/>
              <w:right w:val="single" w:sz="4" w:space="0" w:color="auto"/>
            </w:tcBorders>
            <w:shd w:val="clear" w:color="auto" w:fill="auto"/>
            <w:noWrap/>
            <w:vAlign w:val="center"/>
            <w:hideMark/>
          </w:tcPr>
          <w:p w14:paraId="5D0FB415"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0.4</w:t>
            </w:r>
          </w:p>
        </w:tc>
      </w:tr>
      <w:tr w:rsidR="004D243B" w:rsidRPr="002B05D0" w14:paraId="459D72AC" w14:textId="77777777" w:rsidTr="004D243B">
        <w:trPr>
          <w:trHeight w:val="600"/>
          <w:jc w:val="center"/>
        </w:trPr>
        <w:tc>
          <w:tcPr>
            <w:tcW w:w="6346" w:type="dxa"/>
            <w:tcBorders>
              <w:top w:val="nil"/>
              <w:left w:val="single" w:sz="4" w:space="0" w:color="auto"/>
              <w:bottom w:val="single" w:sz="4" w:space="0" w:color="auto"/>
              <w:right w:val="single" w:sz="4" w:space="0" w:color="auto"/>
            </w:tcBorders>
            <w:shd w:val="clear" w:color="auto" w:fill="auto"/>
            <w:noWrap/>
            <w:vAlign w:val="center"/>
            <w:hideMark/>
          </w:tcPr>
          <w:p w14:paraId="4628D6F2"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8. Management with efficiency and good governance</w:t>
            </w:r>
          </w:p>
        </w:tc>
        <w:tc>
          <w:tcPr>
            <w:tcW w:w="1134" w:type="dxa"/>
            <w:tcBorders>
              <w:top w:val="nil"/>
              <w:left w:val="nil"/>
              <w:bottom w:val="single" w:sz="4" w:space="0" w:color="auto"/>
              <w:right w:val="single" w:sz="4" w:space="0" w:color="auto"/>
            </w:tcBorders>
            <w:shd w:val="clear" w:color="auto" w:fill="auto"/>
            <w:noWrap/>
            <w:vAlign w:val="center"/>
            <w:hideMark/>
          </w:tcPr>
          <w:p w14:paraId="27CAD8D5"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352,780.80</w:t>
            </w:r>
          </w:p>
        </w:tc>
        <w:tc>
          <w:tcPr>
            <w:tcW w:w="600" w:type="dxa"/>
            <w:tcBorders>
              <w:top w:val="nil"/>
              <w:left w:val="nil"/>
              <w:bottom w:val="single" w:sz="4" w:space="0" w:color="auto"/>
              <w:right w:val="single" w:sz="4" w:space="0" w:color="auto"/>
            </w:tcBorders>
            <w:shd w:val="clear" w:color="auto" w:fill="auto"/>
            <w:noWrap/>
            <w:vAlign w:val="center"/>
            <w:hideMark/>
          </w:tcPr>
          <w:p w14:paraId="2BED31D5"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13.7</w:t>
            </w:r>
          </w:p>
        </w:tc>
      </w:tr>
      <w:tr w:rsidR="004D243B" w:rsidRPr="002B05D0" w14:paraId="184B0812" w14:textId="77777777" w:rsidTr="004D243B">
        <w:trPr>
          <w:trHeight w:val="600"/>
          <w:jc w:val="center"/>
        </w:trPr>
        <w:tc>
          <w:tcPr>
            <w:tcW w:w="6346" w:type="dxa"/>
            <w:tcBorders>
              <w:top w:val="nil"/>
              <w:left w:val="single" w:sz="4" w:space="0" w:color="auto"/>
              <w:bottom w:val="single" w:sz="4" w:space="0" w:color="auto"/>
              <w:right w:val="single" w:sz="4" w:space="0" w:color="auto"/>
            </w:tcBorders>
            <w:shd w:val="clear" w:color="auto" w:fill="auto"/>
            <w:noWrap/>
            <w:vAlign w:val="center"/>
            <w:hideMark/>
          </w:tcPr>
          <w:p w14:paraId="44451676"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9. Expenditures on general administration</w:t>
            </w:r>
          </w:p>
        </w:tc>
        <w:tc>
          <w:tcPr>
            <w:tcW w:w="1134" w:type="dxa"/>
            <w:tcBorders>
              <w:top w:val="nil"/>
              <w:left w:val="nil"/>
              <w:bottom w:val="single" w:sz="4" w:space="0" w:color="auto"/>
              <w:right w:val="single" w:sz="4" w:space="0" w:color="auto"/>
            </w:tcBorders>
            <w:shd w:val="clear" w:color="auto" w:fill="auto"/>
            <w:noWrap/>
            <w:vAlign w:val="center"/>
            <w:hideMark/>
          </w:tcPr>
          <w:p w14:paraId="297B8EE0"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527,644.00</w:t>
            </w:r>
          </w:p>
        </w:tc>
        <w:tc>
          <w:tcPr>
            <w:tcW w:w="600" w:type="dxa"/>
            <w:tcBorders>
              <w:top w:val="nil"/>
              <w:left w:val="nil"/>
              <w:bottom w:val="single" w:sz="4" w:space="0" w:color="auto"/>
              <w:right w:val="single" w:sz="4" w:space="0" w:color="auto"/>
            </w:tcBorders>
            <w:shd w:val="clear" w:color="auto" w:fill="auto"/>
            <w:noWrap/>
            <w:vAlign w:val="center"/>
            <w:hideMark/>
          </w:tcPr>
          <w:p w14:paraId="0424F155" w14:textId="77777777" w:rsidR="004D243B" w:rsidRPr="002B05D0" w:rsidRDefault="004D243B" w:rsidP="004D243B">
            <w:pPr>
              <w:jc w:val="center"/>
              <w:rPr>
                <w:rFonts w:ascii="Times New Roman" w:eastAsia="Times New Roman" w:hAnsi="Times New Roman" w:cs="Times New Roman"/>
                <w:sz w:val="20"/>
                <w:szCs w:val="20"/>
              </w:rPr>
            </w:pPr>
            <w:r w:rsidRPr="002B05D0">
              <w:rPr>
                <w:rFonts w:ascii="Times New Roman" w:eastAsia="Times New Roman" w:hAnsi="Times New Roman" w:cs="Times New Roman"/>
                <w:sz w:val="20"/>
                <w:szCs w:val="20"/>
              </w:rPr>
              <w:t>20.5</w:t>
            </w:r>
          </w:p>
        </w:tc>
      </w:tr>
    </w:tbl>
    <w:p w14:paraId="2622377A" w14:textId="77777777" w:rsidR="00C05DED" w:rsidRPr="002B05D0" w:rsidRDefault="00C05DED" w:rsidP="004D243B">
      <w:pPr>
        <w:spacing w:line="480" w:lineRule="auto"/>
        <w:rPr>
          <w:rFonts w:ascii="Times New Roman" w:hAnsi="Times New Roman" w:cs="Times New Roman"/>
        </w:rPr>
      </w:pPr>
    </w:p>
    <w:p w14:paraId="09B6F9A6" w14:textId="20253096" w:rsidR="00C05DED" w:rsidRDefault="00621223" w:rsidP="004D243B">
      <w:pPr>
        <w:spacing w:line="480" w:lineRule="auto"/>
        <w:rPr>
          <w:rFonts w:ascii="Times New Roman" w:hAnsi="Times New Roman" w:cs="Times New Roman"/>
          <w:i/>
        </w:rPr>
      </w:pPr>
      <w:r>
        <w:rPr>
          <w:rFonts w:ascii="Times New Roman" w:hAnsi="Times New Roman" w:cs="Times New Roman"/>
          <w:i/>
        </w:rPr>
        <w:t>Figure4)</w:t>
      </w:r>
    </w:p>
    <w:p w14:paraId="61CBF741" w14:textId="7E398961" w:rsidR="00EA589C" w:rsidRPr="00631F24" w:rsidRDefault="00F31365" w:rsidP="00631F24">
      <w:pPr>
        <w:spacing w:line="480" w:lineRule="auto"/>
        <w:jc w:val="center"/>
        <w:rPr>
          <w:rFonts w:ascii="Times New Roman" w:hAnsi="Times New Roman" w:cs="Times New Roman"/>
        </w:rPr>
      </w:pPr>
      <w:r>
        <w:rPr>
          <w:rFonts w:ascii="Times New Roman" w:hAnsi="Times New Roman" w:cs="Times New Roman"/>
          <w:noProof/>
        </w:rPr>
        <w:drawing>
          <wp:inline distT="0" distB="0" distL="0" distR="0" wp14:anchorId="786BB915" wp14:editId="6A985F2E">
            <wp:extent cx="5511165" cy="2859405"/>
            <wp:effectExtent l="0" t="0" r="26035" b="3619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8D9584B" w14:textId="77777777" w:rsidR="00EA589C" w:rsidRDefault="00EA589C" w:rsidP="00D74C13">
      <w:pPr>
        <w:spacing w:line="480" w:lineRule="auto"/>
        <w:rPr>
          <w:rFonts w:ascii="Times New Roman" w:hAnsi="Times New Roman" w:cs="Times New Roman"/>
          <w:i/>
        </w:rPr>
      </w:pPr>
    </w:p>
    <w:p w14:paraId="6617FB2E" w14:textId="77777777" w:rsidR="00F8467D" w:rsidRDefault="00F8467D" w:rsidP="00D15D45">
      <w:pPr>
        <w:spacing w:line="480" w:lineRule="auto"/>
        <w:rPr>
          <w:rFonts w:ascii="Times New Roman" w:hAnsi="Times New Roman" w:cs="Times New Roman"/>
          <w:i/>
        </w:rPr>
      </w:pPr>
    </w:p>
    <w:p w14:paraId="410C1364" w14:textId="77777777" w:rsidR="00F8467D" w:rsidRDefault="00F8467D" w:rsidP="00D15D45">
      <w:pPr>
        <w:spacing w:line="480" w:lineRule="auto"/>
        <w:rPr>
          <w:rFonts w:ascii="Times New Roman" w:hAnsi="Times New Roman" w:cs="Times New Roman"/>
          <w:i/>
        </w:rPr>
      </w:pPr>
    </w:p>
    <w:p w14:paraId="0750AA97" w14:textId="77777777" w:rsidR="00F8467D" w:rsidRDefault="00F8467D" w:rsidP="00D15D45">
      <w:pPr>
        <w:spacing w:line="480" w:lineRule="auto"/>
        <w:rPr>
          <w:rFonts w:ascii="Times New Roman" w:hAnsi="Times New Roman" w:cs="Times New Roman"/>
          <w:i/>
        </w:rPr>
      </w:pPr>
    </w:p>
    <w:p w14:paraId="3CAD0C5E" w14:textId="77777777" w:rsidR="00F8467D" w:rsidRDefault="00F8467D" w:rsidP="00D15D45">
      <w:pPr>
        <w:spacing w:line="480" w:lineRule="auto"/>
        <w:rPr>
          <w:rFonts w:ascii="Times New Roman" w:hAnsi="Times New Roman" w:cs="Times New Roman"/>
          <w:i/>
        </w:rPr>
      </w:pPr>
    </w:p>
    <w:p w14:paraId="751D33B9" w14:textId="6EB9C527" w:rsidR="00EA589C" w:rsidRDefault="00D74C13" w:rsidP="00D15D45">
      <w:pPr>
        <w:spacing w:line="480" w:lineRule="auto"/>
        <w:rPr>
          <w:rFonts w:ascii="Times New Roman" w:hAnsi="Times New Roman" w:cs="Times New Roman"/>
          <w:i/>
        </w:rPr>
      </w:pPr>
      <w:r>
        <w:rPr>
          <w:rFonts w:ascii="Times New Roman" w:hAnsi="Times New Roman" w:cs="Times New Roman"/>
          <w:i/>
        </w:rPr>
        <w:t>Figture5)</w:t>
      </w:r>
    </w:p>
    <w:p w14:paraId="41D9C17C" w14:textId="79E5B96C" w:rsidR="00D74C13" w:rsidRDefault="00F43B56" w:rsidP="00D74C13">
      <w:pPr>
        <w:spacing w:line="480" w:lineRule="auto"/>
        <w:jc w:val="center"/>
        <w:rPr>
          <w:rFonts w:ascii="Times New Roman" w:hAnsi="Times New Roman" w:cs="Times New Roman"/>
        </w:rPr>
      </w:pPr>
      <w:r>
        <w:rPr>
          <w:rFonts w:ascii="Times New Roman" w:hAnsi="Times New Roman" w:cs="Times New Roman"/>
          <w:noProof/>
        </w:rPr>
        <w:drawing>
          <wp:inline distT="0" distB="0" distL="0" distR="0" wp14:anchorId="7D076B7A" wp14:editId="5F730084">
            <wp:extent cx="5486400" cy="3200400"/>
            <wp:effectExtent l="0" t="0" r="25400" b="254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9E7A084" w14:textId="77777777" w:rsidR="00D15D45" w:rsidRDefault="00D15D45" w:rsidP="00D74C13">
      <w:pPr>
        <w:spacing w:line="480" w:lineRule="auto"/>
        <w:jc w:val="center"/>
        <w:rPr>
          <w:rFonts w:ascii="Times New Roman" w:hAnsi="Times New Roman" w:cs="Times New Roman"/>
        </w:rPr>
      </w:pPr>
    </w:p>
    <w:p w14:paraId="2605DC9E" w14:textId="3459A91E" w:rsidR="00D15D45" w:rsidRDefault="00D15D45" w:rsidP="00D15D45">
      <w:pPr>
        <w:spacing w:line="480" w:lineRule="auto"/>
        <w:rPr>
          <w:rFonts w:ascii="Times New Roman" w:hAnsi="Times New Roman" w:cs="Times New Roman"/>
          <w:i/>
        </w:rPr>
      </w:pPr>
      <w:r>
        <w:rPr>
          <w:rFonts w:ascii="Times New Roman" w:hAnsi="Times New Roman" w:cs="Times New Roman"/>
          <w:i/>
        </w:rPr>
        <w:t>Figture6)</w:t>
      </w:r>
    </w:p>
    <w:p w14:paraId="3CF598EB" w14:textId="33B03334" w:rsidR="00560DE8" w:rsidRDefault="00560DE8" w:rsidP="00435C17">
      <w:pPr>
        <w:spacing w:line="480" w:lineRule="auto"/>
        <w:jc w:val="center"/>
        <w:rPr>
          <w:rFonts w:ascii="Times New Roman" w:hAnsi="Times New Roman" w:cs="Times New Roman"/>
          <w:i/>
        </w:rPr>
      </w:pPr>
      <w:r>
        <w:rPr>
          <w:rFonts w:ascii="Times New Roman" w:hAnsi="Times New Roman" w:cs="Times New Roman"/>
          <w:i/>
          <w:noProof/>
        </w:rPr>
        <w:drawing>
          <wp:inline distT="0" distB="0" distL="0" distR="0" wp14:anchorId="09A92E6E" wp14:editId="72B8CD78">
            <wp:extent cx="5486400" cy="3200400"/>
            <wp:effectExtent l="0" t="0" r="25400" b="254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9ED6C1E" w14:textId="77777777" w:rsidR="00D15D45" w:rsidRDefault="00D15D45" w:rsidP="00D15D45">
      <w:pPr>
        <w:spacing w:line="480" w:lineRule="auto"/>
        <w:rPr>
          <w:rFonts w:ascii="Times New Roman" w:hAnsi="Times New Roman" w:cs="Times New Roman"/>
          <w:i/>
        </w:rPr>
      </w:pPr>
    </w:p>
    <w:p w14:paraId="55C03DC0" w14:textId="77777777" w:rsidR="00F8467D" w:rsidRDefault="00F8467D" w:rsidP="00D15D45">
      <w:pPr>
        <w:spacing w:line="480" w:lineRule="auto"/>
        <w:rPr>
          <w:rFonts w:ascii="Times New Roman" w:hAnsi="Times New Roman" w:cs="Times New Roman"/>
          <w:i/>
        </w:rPr>
      </w:pPr>
    </w:p>
    <w:p w14:paraId="4B0DD327" w14:textId="77777777" w:rsidR="00F8467D" w:rsidRDefault="00F8467D" w:rsidP="00D15D45">
      <w:pPr>
        <w:spacing w:line="480" w:lineRule="auto"/>
        <w:rPr>
          <w:rFonts w:ascii="Times New Roman" w:hAnsi="Times New Roman" w:cs="Times New Roman"/>
          <w:i/>
        </w:rPr>
      </w:pPr>
    </w:p>
    <w:p w14:paraId="6C6A684A" w14:textId="77777777" w:rsidR="00F8467D" w:rsidRDefault="00F8467D" w:rsidP="00D15D45">
      <w:pPr>
        <w:spacing w:line="480" w:lineRule="auto"/>
        <w:rPr>
          <w:rFonts w:ascii="Times New Roman" w:hAnsi="Times New Roman" w:cs="Times New Roman"/>
          <w:i/>
        </w:rPr>
      </w:pPr>
    </w:p>
    <w:p w14:paraId="492FD904" w14:textId="77777777" w:rsidR="00F8467D" w:rsidRDefault="00F8467D" w:rsidP="00D15D45">
      <w:pPr>
        <w:spacing w:line="480" w:lineRule="auto"/>
        <w:rPr>
          <w:rFonts w:ascii="Times New Roman" w:hAnsi="Times New Roman" w:cs="Times New Roman"/>
          <w:i/>
        </w:rPr>
      </w:pPr>
    </w:p>
    <w:p w14:paraId="4BA54B4A" w14:textId="77777777" w:rsidR="00F8467D" w:rsidRDefault="00F8467D" w:rsidP="00D15D45">
      <w:pPr>
        <w:spacing w:line="480" w:lineRule="auto"/>
        <w:rPr>
          <w:rFonts w:ascii="Times New Roman" w:hAnsi="Times New Roman" w:cs="Times New Roman"/>
          <w:i/>
        </w:rPr>
      </w:pPr>
    </w:p>
    <w:p w14:paraId="02A7E580" w14:textId="008A7F09" w:rsidR="001139A1" w:rsidRDefault="001B1807" w:rsidP="00D15D45">
      <w:pPr>
        <w:spacing w:line="480" w:lineRule="auto"/>
        <w:rPr>
          <w:rFonts w:ascii="Times New Roman" w:hAnsi="Times New Roman" w:cs="Times New Roman"/>
        </w:rPr>
      </w:pPr>
      <w:r>
        <w:rPr>
          <w:rFonts w:ascii="Times New Roman" w:hAnsi="Times New Roman" w:cs="Times New Roman"/>
          <w:i/>
        </w:rPr>
        <w:t>Figture7)</w:t>
      </w:r>
    </w:p>
    <w:p w14:paraId="5C383643" w14:textId="2E048E5F" w:rsidR="001B1807" w:rsidRPr="001B1807" w:rsidRDefault="001B1807" w:rsidP="00D15D45">
      <w:pPr>
        <w:spacing w:line="480" w:lineRule="auto"/>
        <w:rPr>
          <w:rFonts w:ascii="Times New Roman" w:hAnsi="Times New Roman" w:cs="Times New Roman"/>
        </w:rPr>
      </w:pPr>
      <w:r>
        <w:rPr>
          <w:rFonts w:ascii="Times New Roman" w:hAnsi="Times New Roman" w:cs="Times New Roman"/>
        </w:rPr>
        <w:tab/>
      </w:r>
      <w:r w:rsidR="00CF05DD">
        <w:rPr>
          <w:rFonts w:ascii="Times New Roman" w:hAnsi="Times New Roman" w:cs="Times New Roman"/>
          <w:noProof/>
        </w:rPr>
        <w:drawing>
          <wp:inline distT="0" distB="0" distL="0" distR="0" wp14:anchorId="7FD69D49" wp14:editId="0E2A143E">
            <wp:extent cx="5486400" cy="3200400"/>
            <wp:effectExtent l="0" t="0" r="25400" b="254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3B71F9A" w14:textId="77777777" w:rsidR="00D74C13" w:rsidRPr="00D74C13" w:rsidRDefault="00D74C13" w:rsidP="00D74C13">
      <w:pPr>
        <w:spacing w:line="480" w:lineRule="auto"/>
        <w:rPr>
          <w:rFonts w:ascii="Times New Roman" w:hAnsi="Times New Roman" w:cs="Times New Roman"/>
          <w:i/>
        </w:rPr>
      </w:pPr>
    </w:p>
    <w:p w14:paraId="4B93FCDE" w14:textId="77777777" w:rsidR="00C05DED" w:rsidRPr="002B05D0" w:rsidRDefault="00C05DED" w:rsidP="004D243B">
      <w:pPr>
        <w:spacing w:line="480" w:lineRule="auto"/>
        <w:rPr>
          <w:rFonts w:ascii="Times New Roman" w:hAnsi="Times New Roman" w:cs="Times New Roman"/>
        </w:rPr>
      </w:pPr>
    </w:p>
    <w:p w14:paraId="0758A6E5" w14:textId="77777777" w:rsidR="00C05DED" w:rsidRPr="002B05D0" w:rsidRDefault="00C05DED" w:rsidP="004D243B">
      <w:pPr>
        <w:spacing w:line="480" w:lineRule="auto"/>
        <w:rPr>
          <w:rFonts w:ascii="Times New Roman" w:hAnsi="Times New Roman" w:cs="Times New Roman"/>
        </w:rPr>
      </w:pPr>
    </w:p>
    <w:p w14:paraId="6F075549" w14:textId="77777777" w:rsidR="00C05DED" w:rsidRPr="002B05D0" w:rsidRDefault="00C05DED" w:rsidP="004D243B">
      <w:pPr>
        <w:spacing w:line="480" w:lineRule="auto"/>
        <w:rPr>
          <w:rFonts w:ascii="Times New Roman" w:hAnsi="Times New Roman" w:cs="Times New Roman"/>
        </w:rPr>
      </w:pPr>
    </w:p>
    <w:p w14:paraId="075FD745" w14:textId="77777777" w:rsidR="00C05DED" w:rsidRPr="002B05D0" w:rsidRDefault="00C05DED" w:rsidP="004D243B">
      <w:pPr>
        <w:spacing w:line="480" w:lineRule="auto"/>
        <w:rPr>
          <w:rFonts w:ascii="Times New Roman" w:hAnsi="Times New Roman" w:cs="Times New Roman"/>
        </w:rPr>
      </w:pPr>
    </w:p>
    <w:p w14:paraId="02D22E63" w14:textId="77777777" w:rsidR="00C05DED" w:rsidRPr="002B05D0" w:rsidRDefault="00C05DED" w:rsidP="004D243B">
      <w:pPr>
        <w:spacing w:line="480" w:lineRule="auto"/>
        <w:rPr>
          <w:rFonts w:ascii="Times New Roman" w:hAnsi="Times New Roman" w:cs="Times New Roman"/>
        </w:rPr>
      </w:pPr>
    </w:p>
    <w:p w14:paraId="544A47E8" w14:textId="77777777" w:rsidR="00C05DED" w:rsidRPr="002B05D0" w:rsidRDefault="00C05DED" w:rsidP="004D243B">
      <w:pPr>
        <w:spacing w:line="480" w:lineRule="auto"/>
        <w:rPr>
          <w:rFonts w:ascii="Times New Roman" w:hAnsi="Times New Roman" w:cs="Times New Roman"/>
        </w:rPr>
      </w:pPr>
    </w:p>
    <w:p w14:paraId="40B5751D" w14:textId="77777777" w:rsidR="00C05DED" w:rsidRPr="002B05D0" w:rsidRDefault="00C05DED" w:rsidP="004D243B">
      <w:pPr>
        <w:spacing w:line="480" w:lineRule="auto"/>
        <w:rPr>
          <w:rFonts w:ascii="Times New Roman" w:hAnsi="Times New Roman" w:cs="Times New Roman"/>
        </w:rPr>
      </w:pPr>
    </w:p>
    <w:p w14:paraId="0C5A9E3F" w14:textId="77777777" w:rsidR="00C05DED" w:rsidRPr="002B05D0" w:rsidRDefault="00C05DED" w:rsidP="004D243B">
      <w:pPr>
        <w:spacing w:line="480" w:lineRule="auto"/>
        <w:rPr>
          <w:rFonts w:ascii="Times New Roman" w:hAnsi="Times New Roman" w:cs="Times New Roman"/>
        </w:rPr>
      </w:pPr>
    </w:p>
    <w:p w14:paraId="0B75A005" w14:textId="77777777" w:rsidR="00C05DED" w:rsidRPr="002B05D0" w:rsidRDefault="00C05DED" w:rsidP="004D243B">
      <w:pPr>
        <w:spacing w:line="480" w:lineRule="auto"/>
        <w:rPr>
          <w:rFonts w:ascii="Times New Roman" w:hAnsi="Times New Roman" w:cs="Times New Roman"/>
        </w:rPr>
      </w:pPr>
    </w:p>
    <w:p w14:paraId="3A889E15" w14:textId="77777777" w:rsidR="00C05DED" w:rsidRPr="002B05D0" w:rsidRDefault="00C05DED" w:rsidP="004D243B">
      <w:pPr>
        <w:spacing w:line="480" w:lineRule="auto"/>
        <w:rPr>
          <w:rFonts w:ascii="Times New Roman" w:hAnsi="Times New Roman" w:cs="Times New Roman"/>
        </w:rPr>
      </w:pPr>
    </w:p>
    <w:p w14:paraId="2625634C" w14:textId="77777777" w:rsidR="00C05DED" w:rsidRPr="002B05D0" w:rsidRDefault="00C05DED" w:rsidP="004D243B">
      <w:pPr>
        <w:spacing w:line="480" w:lineRule="auto"/>
        <w:rPr>
          <w:rFonts w:ascii="Times New Roman" w:hAnsi="Times New Roman" w:cs="Times New Roman"/>
        </w:rPr>
      </w:pPr>
    </w:p>
    <w:p w14:paraId="035F2205" w14:textId="77777777" w:rsidR="00C05DED" w:rsidRPr="002B05D0" w:rsidRDefault="00C05DED" w:rsidP="004D243B">
      <w:pPr>
        <w:spacing w:line="480" w:lineRule="auto"/>
        <w:rPr>
          <w:rFonts w:ascii="Times New Roman" w:hAnsi="Times New Roman" w:cs="Times New Roman"/>
        </w:rPr>
      </w:pPr>
    </w:p>
    <w:p w14:paraId="73A8D143" w14:textId="77777777" w:rsidR="00C05DED" w:rsidRPr="002B05D0" w:rsidRDefault="00C05DED" w:rsidP="004D243B">
      <w:pPr>
        <w:spacing w:line="480" w:lineRule="auto"/>
        <w:rPr>
          <w:rFonts w:ascii="Times New Roman" w:hAnsi="Times New Roman" w:cs="Times New Roman"/>
        </w:rPr>
      </w:pPr>
    </w:p>
    <w:p w14:paraId="2E70E111" w14:textId="77777777" w:rsidR="00C05DED" w:rsidRPr="002B05D0" w:rsidRDefault="00C05DED" w:rsidP="004D243B">
      <w:pPr>
        <w:spacing w:line="480" w:lineRule="auto"/>
        <w:rPr>
          <w:rFonts w:ascii="Times New Roman" w:hAnsi="Times New Roman" w:cs="Times New Roman"/>
        </w:rPr>
      </w:pPr>
    </w:p>
    <w:p w14:paraId="1F4631BF" w14:textId="77777777" w:rsidR="00F8467D" w:rsidRDefault="00F8467D" w:rsidP="004D243B">
      <w:pPr>
        <w:spacing w:line="480" w:lineRule="auto"/>
        <w:rPr>
          <w:rFonts w:ascii="Times New Roman" w:hAnsi="Times New Roman" w:cs="Times New Roman"/>
          <w:b/>
        </w:rPr>
      </w:pPr>
    </w:p>
    <w:p w14:paraId="62EF3A63" w14:textId="77777777" w:rsidR="00F8467D" w:rsidRDefault="00F8467D" w:rsidP="004D243B">
      <w:pPr>
        <w:spacing w:line="480" w:lineRule="auto"/>
        <w:rPr>
          <w:rFonts w:ascii="Times New Roman" w:hAnsi="Times New Roman" w:cs="Times New Roman"/>
          <w:b/>
        </w:rPr>
      </w:pPr>
    </w:p>
    <w:p w14:paraId="0E9FC52E" w14:textId="77777777" w:rsidR="00F8467D" w:rsidRDefault="00F8467D" w:rsidP="004D243B">
      <w:pPr>
        <w:spacing w:line="480" w:lineRule="auto"/>
        <w:rPr>
          <w:rFonts w:ascii="Times New Roman" w:hAnsi="Times New Roman" w:cs="Times New Roman"/>
          <w:b/>
        </w:rPr>
      </w:pPr>
    </w:p>
    <w:p w14:paraId="3B77080B" w14:textId="0BFFA421" w:rsidR="00C05DED" w:rsidRPr="002B05D0" w:rsidRDefault="00C05DED" w:rsidP="004D243B">
      <w:pPr>
        <w:spacing w:line="480" w:lineRule="auto"/>
        <w:rPr>
          <w:rFonts w:ascii="Times New Roman" w:hAnsi="Times New Roman" w:cs="Times New Roman"/>
          <w:b/>
        </w:rPr>
      </w:pPr>
      <w:r w:rsidRPr="002B05D0">
        <w:rPr>
          <w:rFonts w:ascii="Times New Roman" w:hAnsi="Times New Roman" w:cs="Times New Roman"/>
          <w:b/>
        </w:rPr>
        <w:t>REFERENCE</w:t>
      </w:r>
    </w:p>
    <w:p w14:paraId="607C50AE" w14:textId="14DD7033" w:rsidR="00C05DED" w:rsidRPr="002B05D0" w:rsidRDefault="00085A84" w:rsidP="00085A84">
      <w:pPr>
        <w:pStyle w:val="ListParagraph"/>
        <w:numPr>
          <w:ilvl w:val="0"/>
          <w:numId w:val="2"/>
        </w:numPr>
        <w:spacing w:line="480" w:lineRule="auto"/>
        <w:rPr>
          <w:rFonts w:ascii="Times New Roman" w:hAnsi="Times New Roman" w:cs="Times New Roman"/>
          <w:b/>
          <w:i/>
        </w:rPr>
      </w:pPr>
      <w:r w:rsidRPr="002B05D0">
        <w:rPr>
          <w:rFonts w:ascii="Times New Roman" w:hAnsi="Times New Roman" w:cs="Times New Roman"/>
          <w:i/>
        </w:rPr>
        <w:t>(</w:t>
      </w:r>
      <w:proofErr w:type="spellStart"/>
      <w:proofErr w:type="gramStart"/>
      <w:r w:rsidRPr="002B05D0">
        <w:rPr>
          <w:rFonts w:ascii="Times New Roman" w:hAnsi="Times New Roman" w:cs="Times New Roman"/>
          <w:i/>
        </w:rPr>
        <w:t>n</w:t>
      </w:r>
      <w:proofErr w:type="gramEnd"/>
      <w:r w:rsidRPr="002B05D0">
        <w:rPr>
          <w:rFonts w:ascii="Times New Roman" w:hAnsi="Times New Roman" w:cs="Times New Roman"/>
          <w:i/>
        </w:rPr>
        <w:t>.d.</w:t>
      </w:r>
      <w:proofErr w:type="spellEnd"/>
      <w:r w:rsidRPr="002B05D0">
        <w:rPr>
          <w:rFonts w:ascii="Times New Roman" w:hAnsi="Times New Roman" w:cs="Times New Roman"/>
          <w:i/>
        </w:rPr>
        <w:t xml:space="preserve">). Retrieved January 3, 2016, from </w:t>
      </w:r>
      <w:hyperlink r:id="rId12" w:history="1">
        <w:r w:rsidRPr="002B05D0">
          <w:rPr>
            <w:rStyle w:val="Hyperlink"/>
            <w:rFonts w:ascii="Times New Roman" w:hAnsi="Times New Roman" w:cs="Times New Roman"/>
            <w:i/>
            <w:color w:val="auto"/>
          </w:rPr>
          <w:t>http://www.bb.go.th/budget_book/e-Book2558/PDF/Budget-in-Brief-2015.pdf</w:t>
        </w:r>
      </w:hyperlink>
    </w:p>
    <w:p w14:paraId="415735E5" w14:textId="0E614011" w:rsidR="00085A84" w:rsidRPr="002B05D0" w:rsidRDefault="00D449A8" w:rsidP="00085A84">
      <w:pPr>
        <w:pStyle w:val="ListParagraph"/>
        <w:numPr>
          <w:ilvl w:val="0"/>
          <w:numId w:val="2"/>
        </w:numPr>
        <w:spacing w:line="480" w:lineRule="auto"/>
        <w:rPr>
          <w:rFonts w:ascii="Times New Roman" w:hAnsi="Times New Roman" w:cs="Times New Roman"/>
          <w:b/>
          <w:i/>
        </w:rPr>
      </w:pPr>
      <w:r w:rsidRPr="002B05D0">
        <w:rPr>
          <w:rFonts w:ascii="Times New Roman" w:hAnsi="Times New Roman" w:cs="Times New Roman"/>
          <w:i/>
        </w:rPr>
        <w:t>Thailand - Government Spending - Actual Data - Historical Charts. (</w:t>
      </w:r>
      <w:proofErr w:type="spellStart"/>
      <w:proofErr w:type="gramStart"/>
      <w:r w:rsidRPr="002B05D0">
        <w:rPr>
          <w:rFonts w:ascii="Times New Roman" w:hAnsi="Times New Roman" w:cs="Times New Roman"/>
          <w:i/>
        </w:rPr>
        <w:t>n</w:t>
      </w:r>
      <w:proofErr w:type="gramEnd"/>
      <w:r w:rsidRPr="002B05D0">
        <w:rPr>
          <w:rFonts w:ascii="Times New Roman" w:hAnsi="Times New Roman" w:cs="Times New Roman"/>
          <w:i/>
        </w:rPr>
        <w:t>.d.</w:t>
      </w:r>
      <w:proofErr w:type="spellEnd"/>
      <w:r w:rsidRPr="002B05D0">
        <w:rPr>
          <w:rFonts w:ascii="Times New Roman" w:hAnsi="Times New Roman" w:cs="Times New Roman"/>
          <w:i/>
        </w:rPr>
        <w:t xml:space="preserve">). Retrieved January 3, 2016, from </w:t>
      </w:r>
      <w:hyperlink r:id="rId13" w:history="1">
        <w:r w:rsidRPr="002B05D0">
          <w:rPr>
            <w:rStyle w:val="Hyperlink"/>
            <w:rFonts w:ascii="Times New Roman" w:hAnsi="Times New Roman" w:cs="Times New Roman"/>
            <w:i/>
            <w:color w:val="auto"/>
          </w:rPr>
          <w:t>http://ieconomics.com/thailand-government-spending</w:t>
        </w:r>
      </w:hyperlink>
    </w:p>
    <w:p w14:paraId="21DD820D" w14:textId="7868BB09" w:rsidR="00D449A8" w:rsidRPr="00F31365" w:rsidRDefault="00F31365" w:rsidP="00085A84">
      <w:pPr>
        <w:pStyle w:val="ListParagraph"/>
        <w:numPr>
          <w:ilvl w:val="0"/>
          <w:numId w:val="2"/>
        </w:numPr>
        <w:spacing w:line="480" w:lineRule="auto"/>
        <w:rPr>
          <w:rFonts w:ascii="Times New Roman" w:hAnsi="Times New Roman" w:cs="Times New Roman"/>
          <w:b/>
          <w:i/>
        </w:rPr>
      </w:pPr>
      <w:r w:rsidRPr="00F31365">
        <w:rPr>
          <w:rFonts w:ascii="Times New Roman" w:hAnsi="Times New Roman" w:cs="Times New Roman"/>
          <w:i/>
          <w:color w:val="262626"/>
        </w:rPr>
        <w:t>Health expenditure, public (% of GDP). (</w:t>
      </w:r>
      <w:proofErr w:type="spellStart"/>
      <w:proofErr w:type="gramStart"/>
      <w:r w:rsidRPr="00F31365">
        <w:rPr>
          <w:rFonts w:ascii="Times New Roman" w:hAnsi="Times New Roman" w:cs="Times New Roman"/>
          <w:i/>
          <w:color w:val="262626"/>
        </w:rPr>
        <w:t>n</w:t>
      </w:r>
      <w:proofErr w:type="gramEnd"/>
      <w:r w:rsidRPr="00F31365">
        <w:rPr>
          <w:rFonts w:ascii="Times New Roman" w:hAnsi="Times New Roman" w:cs="Times New Roman"/>
          <w:i/>
          <w:color w:val="262626"/>
        </w:rPr>
        <w:t>.d.</w:t>
      </w:r>
      <w:proofErr w:type="spellEnd"/>
      <w:r w:rsidRPr="00F31365">
        <w:rPr>
          <w:rFonts w:ascii="Times New Roman" w:hAnsi="Times New Roman" w:cs="Times New Roman"/>
          <w:i/>
          <w:color w:val="262626"/>
        </w:rPr>
        <w:t xml:space="preserve">). Retrieved January 4, 2016, from </w:t>
      </w:r>
      <w:hyperlink r:id="rId14" w:history="1">
        <w:r w:rsidRPr="00BA34A7">
          <w:rPr>
            <w:rStyle w:val="Hyperlink"/>
            <w:rFonts w:ascii="Times New Roman" w:hAnsi="Times New Roman" w:cs="Times New Roman"/>
            <w:i/>
          </w:rPr>
          <w:t>http://data.worldbank.org/indicator/SH.XPD.PUBL.ZS?page=2&amp;display=default</w:t>
        </w:r>
      </w:hyperlink>
    </w:p>
    <w:p w14:paraId="67E90DBF" w14:textId="6D611453" w:rsidR="00F8467D" w:rsidRPr="00F8467D" w:rsidRDefault="00F8467D" w:rsidP="00F8467D">
      <w:pPr>
        <w:pStyle w:val="ListParagraph"/>
        <w:numPr>
          <w:ilvl w:val="0"/>
          <w:numId w:val="2"/>
        </w:numPr>
        <w:spacing w:line="480" w:lineRule="auto"/>
        <w:ind w:left="714" w:hanging="357"/>
        <w:rPr>
          <w:rFonts w:ascii="Times New Roman" w:hAnsi="Times New Roman" w:cs="Times New Roman"/>
          <w:b/>
          <w:i/>
        </w:rPr>
      </w:pPr>
      <w:r w:rsidRPr="00F8467D">
        <w:rPr>
          <w:rFonts w:ascii="Times New Roman" w:hAnsi="Times New Roman" w:cs="Times New Roman"/>
          <w:i/>
          <w:color w:val="262626"/>
        </w:rPr>
        <w:t>(</w:t>
      </w:r>
      <w:proofErr w:type="spellStart"/>
      <w:proofErr w:type="gramStart"/>
      <w:r w:rsidRPr="00F8467D">
        <w:rPr>
          <w:rFonts w:ascii="Times New Roman" w:hAnsi="Times New Roman" w:cs="Times New Roman"/>
          <w:i/>
          <w:color w:val="262626"/>
        </w:rPr>
        <w:t>n</w:t>
      </w:r>
      <w:proofErr w:type="gramEnd"/>
      <w:r w:rsidRPr="00F8467D">
        <w:rPr>
          <w:rFonts w:ascii="Times New Roman" w:hAnsi="Times New Roman" w:cs="Times New Roman"/>
          <w:i/>
          <w:color w:val="262626"/>
        </w:rPr>
        <w:t>.d.</w:t>
      </w:r>
      <w:proofErr w:type="spellEnd"/>
      <w:r w:rsidRPr="00F8467D">
        <w:rPr>
          <w:rFonts w:ascii="Times New Roman" w:hAnsi="Times New Roman" w:cs="Times New Roman"/>
          <w:i/>
          <w:color w:val="262626"/>
        </w:rPr>
        <w:t xml:space="preserve">). Retrieved January 5, 2016, from </w:t>
      </w:r>
      <w:hyperlink r:id="rId15" w:history="1">
        <w:r w:rsidRPr="00F8467D">
          <w:rPr>
            <w:rStyle w:val="Hyperlink"/>
            <w:rFonts w:ascii="Times New Roman" w:hAnsi="Times New Roman" w:cs="Times New Roman"/>
            <w:i/>
          </w:rPr>
          <w:t>http://www.who.int/healthinfo/paper33.pdf</w:t>
        </w:r>
      </w:hyperlink>
    </w:p>
    <w:p w14:paraId="00C5A0F1" w14:textId="07B45272" w:rsidR="00F8467D" w:rsidRPr="00F8467D" w:rsidRDefault="00F8467D" w:rsidP="00F8467D">
      <w:pPr>
        <w:pStyle w:val="ListParagraph"/>
        <w:numPr>
          <w:ilvl w:val="0"/>
          <w:numId w:val="2"/>
        </w:numPr>
        <w:spacing w:line="480" w:lineRule="auto"/>
        <w:ind w:left="714" w:hanging="357"/>
        <w:rPr>
          <w:rFonts w:ascii="Times New Roman" w:eastAsia="Times New Roman" w:hAnsi="Times New Roman" w:cs="Times New Roman"/>
          <w:i/>
        </w:rPr>
      </w:pPr>
      <w:r w:rsidRPr="00F8467D">
        <w:rPr>
          <w:rFonts w:ascii="Times New Roman" w:eastAsia="Times New Roman" w:hAnsi="Times New Roman" w:cs="Times New Roman"/>
          <w:i/>
        </w:rPr>
        <w:t xml:space="preserve"> (</w:t>
      </w:r>
      <w:proofErr w:type="spellStart"/>
      <w:proofErr w:type="gramStart"/>
      <w:r w:rsidRPr="00F8467D">
        <w:rPr>
          <w:rFonts w:ascii="Times New Roman" w:eastAsia="Times New Roman" w:hAnsi="Times New Roman" w:cs="Times New Roman"/>
          <w:i/>
        </w:rPr>
        <w:t>n</w:t>
      </w:r>
      <w:proofErr w:type="gramEnd"/>
      <w:r w:rsidRPr="00F8467D">
        <w:rPr>
          <w:rFonts w:ascii="Times New Roman" w:eastAsia="Times New Roman" w:hAnsi="Times New Roman" w:cs="Times New Roman"/>
          <w:i/>
        </w:rPr>
        <w:t>.d.</w:t>
      </w:r>
      <w:proofErr w:type="spellEnd"/>
      <w:r w:rsidRPr="00F8467D">
        <w:rPr>
          <w:rFonts w:ascii="Times New Roman" w:eastAsia="Times New Roman" w:hAnsi="Times New Roman" w:cs="Times New Roman"/>
          <w:i/>
        </w:rPr>
        <w:t xml:space="preserve">). Retrieved January 5, 2016, from http://siteresources.worldbank.org/EXTPREMNET/Resources/489960-1338997241035/Growth_Commission_Working_Paper_24_Population_Health_Economic_Growth.pdf </w:t>
      </w:r>
    </w:p>
    <w:p w14:paraId="7AB42283" w14:textId="1A870EF4" w:rsidR="00F8467D" w:rsidRPr="00F8467D" w:rsidRDefault="00F8467D" w:rsidP="00085A84">
      <w:pPr>
        <w:pStyle w:val="ListParagraph"/>
        <w:numPr>
          <w:ilvl w:val="0"/>
          <w:numId w:val="2"/>
        </w:numPr>
        <w:spacing w:line="480" w:lineRule="auto"/>
        <w:rPr>
          <w:rFonts w:ascii="Times New Roman" w:hAnsi="Times New Roman" w:cs="Times New Roman"/>
          <w:b/>
          <w:i/>
        </w:rPr>
      </w:pPr>
      <w:proofErr w:type="spellStart"/>
      <w:r w:rsidRPr="00F8467D">
        <w:rPr>
          <w:rFonts w:ascii="Times New Roman" w:hAnsi="Times New Roman" w:cs="Times New Roman"/>
          <w:i/>
          <w:color w:val="262626"/>
        </w:rPr>
        <w:t>EngMoph</w:t>
      </w:r>
      <w:proofErr w:type="spellEnd"/>
      <w:r w:rsidRPr="00F8467D">
        <w:rPr>
          <w:rFonts w:ascii="Times New Roman" w:hAnsi="Times New Roman" w:cs="Times New Roman"/>
          <w:i/>
          <w:color w:val="262626"/>
        </w:rPr>
        <w:t>. (</w:t>
      </w:r>
      <w:proofErr w:type="spellStart"/>
      <w:proofErr w:type="gramStart"/>
      <w:r w:rsidRPr="00F8467D">
        <w:rPr>
          <w:rFonts w:ascii="Times New Roman" w:hAnsi="Times New Roman" w:cs="Times New Roman"/>
          <w:i/>
          <w:color w:val="262626"/>
        </w:rPr>
        <w:t>n</w:t>
      </w:r>
      <w:proofErr w:type="gramEnd"/>
      <w:r w:rsidRPr="00F8467D">
        <w:rPr>
          <w:rFonts w:ascii="Times New Roman" w:hAnsi="Times New Roman" w:cs="Times New Roman"/>
          <w:i/>
          <w:color w:val="262626"/>
        </w:rPr>
        <w:t>.d.</w:t>
      </w:r>
      <w:proofErr w:type="spellEnd"/>
      <w:r w:rsidRPr="00F8467D">
        <w:rPr>
          <w:rFonts w:ascii="Times New Roman" w:hAnsi="Times New Roman" w:cs="Times New Roman"/>
          <w:i/>
          <w:color w:val="262626"/>
        </w:rPr>
        <w:t xml:space="preserve">). Retrieved January 5, 2016, from </w:t>
      </w:r>
      <w:hyperlink r:id="rId16" w:history="1">
        <w:r w:rsidRPr="00F8467D">
          <w:rPr>
            <w:rStyle w:val="Hyperlink"/>
            <w:rFonts w:ascii="Times New Roman" w:hAnsi="Times New Roman" w:cs="Times New Roman"/>
            <w:i/>
          </w:rPr>
          <w:t>http://eng.moph.go.th</w:t>
        </w:r>
      </w:hyperlink>
    </w:p>
    <w:p w14:paraId="3C9557B7" w14:textId="42E0AC01" w:rsidR="00F00D81" w:rsidRPr="00E306EA" w:rsidRDefault="00F8467D" w:rsidP="00F8467D">
      <w:pPr>
        <w:pStyle w:val="ListParagraph"/>
        <w:numPr>
          <w:ilvl w:val="0"/>
          <w:numId w:val="2"/>
        </w:numPr>
        <w:spacing w:line="480" w:lineRule="auto"/>
        <w:rPr>
          <w:rFonts w:ascii="Times New Roman" w:hAnsi="Times New Roman" w:cs="Times New Roman"/>
          <w:i/>
        </w:rPr>
      </w:pPr>
      <w:r w:rsidRPr="00F8467D">
        <w:rPr>
          <w:rFonts w:ascii="Times New Roman" w:hAnsi="Times New Roman" w:cs="Times New Roman"/>
          <w:i/>
          <w:color w:val="262626"/>
        </w:rPr>
        <w:t>Health expenditure, public (% of GDP). (</w:t>
      </w:r>
      <w:proofErr w:type="spellStart"/>
      <w:proofErr w:type="gramStart"/>
      <w:r w:rsidRPr="00F8467D">
        <w:rPr>
          <w:rFonts w:ascii="Times New Roman" w:hAnsi="Times New Roman" w:cs="Times New Roman"/>
          <w:i/>
          <w:color w:val="262626"/>
        </w:rPr>
        <w:t>n</w:t>
      </w:r>
      <w:proofErr w:type="gramEnd"/>
      <w:r w:rsidRPr="00F8467D">
        <w:rPr>
          <w:rFonts w:ascii="Times New Roman" w:hAnsi="Times New Roman" w:cs="Times New Roman"/>
          <w:i/>
          <w:color w:val="262626"/>
        </w:rPr>
        <w:t>.d.</w:t>
      </w:r>
      <w:proofErr w:type="spellEnd"/>
      <w:r w:rsidRPr="00F8467D">
        <w:rPr>
          <w:rFonts w:ascii="Times New Roman" w:hAnsi="Times New Roman" w:cs="Times New Roman"/>
          <w:i/>
          <w:color w:val="262626"/>
        </w:rPr>
        <w:t xml:space="preserve">). Retrieved January 5, 2016, from </w:t>
      </w:r>
      <w:hyperlink r:id="rId17" w:history="1">
        <w:r w:rsidR="00E306EA" w:rsidRPr="00222049">
          <w:rPr>
            <w:rStyle w:val="Hyperlink"/>
            <w:rFonts w:ascii="Times New Roman" w:hAnsi="Times New Roman" w:cs="Times New Roman"/>
            <w:i/>
          </w:rPr>
          <w:t>http://data.worldbank.org/indicator/SH.XPD.PUBL.ZS?page=1&amp;display=default</w:t>
        </w:r>
      </w:hyperlink>
    </w:p>
    <w:p w14:paraId="10C5C0E9" w14:textId="77777777" w:rsidR="00E306EA" w:rsidRPr="00E306EA" w:rsidRDefault="00E306EA" w:rsidP="00E306EA">
      <w:pPr>
        <w:pStyle w:val="ListParagraph"/>
        <w:widowControl w:val="0"/>
        <w:numPr>
          <w:ilvl w:val="0"/>
          <w:numId w:val="2"/>
        </w:numPr>
        <w:autoSpaceDE w:val="0"/>
        <w:autoSpaceDN w:val="0"/>
        <w:adjustRightInd w:val="0"/>
        <w:spacing w:line="480" w:lineRule="auto"/>
        <w:ind w:left="714" w:hanging="357"/>
        <w:rPr>
          <w:rFonts w:ascii="Times New Roman" w:hAnsi="Times New Roman" w:cs="Times New Roman"/>
          <w:i/>
          <w:color w:val="262626"/>
        </w:rPr>
      </w:pPr>
      <w:r w:rsidRPr="00E306EA">
        <w:rPr>
          <w:rFonts w:ascii="Times New Roman" w:hAnsi="Times New Roman" w:cs="Times New Roman"/>
          <w:i/>
          <w:color w:val="262626"/>
        </w:rPr>
        <w:t>(</w:t>
      </w:r>
      <w:proofErr w:type="spellStart"/>
      <w:proofErr w:type="gramStart"/>
      <w:r w:rsidRPr="00E306EA">
        <w:rPr>
          <w:rFonts w:ascii="Times New Roman" w:hAnsi="Times New Roman" w:cs="Times New Roman"/>
          <w:i/>
          <w:color w:val="262626"/>
        </w:rPr>
        <w:t>n</w:t>
      </w:r>
      <w:proofErr w:type="gramEnd"/>
      <w:r w:rsidRPr="00E306EA">
        <w:rPr>
          <w:rFonts w:ascii="Times New Roman" w:hAnsi="Times New Roman" w:cs="Times New Roman"/>
          <w:i/>
          <w:color w:val="262626"/>
        </w:rPr>
        <w:t>.d.</w:t>
      </w:r>
      <w:proofErr w:type="spellEnd"/>
      <w:r w:rsidRPr="00E306EA">
        <w:rPr>
          <w:rFonts w:ascii="Times New Roman" w:hAnsi="Times New Roman" w:cs="Times New Roman"/>
          <w:i/>
          <w:color w:val="262626"/>
        </w:rPr>
        <w:t>). Retrieved January 5, 2016, from http://www.thaigov.go.th/index.php/en/government-en1/item/94721-94721.html</w:t>
      </w:r>
      <w:bookmarkStart w:id="0" w:name="_GoBack"/>
      <w:bookmarkEnd w:id="0"/>
    </w:p>
    <w:p w14:paraId="3723AC19" w14:textId="77777777" w:rsidR="00E306EA" w:rsidRPr="00E306EA" w:rsidRDefault="00E306EA" w:rsidP="00E306EA">
      <w:pPr>
        <w:spacing w:line="480" w:lineRule="auto"/>
        <w:rPr>
          <w:rFonts w:ascii="Times New Roman" w:hAnsi="Times New Roman" w:cs="Times New Roman"/>
          <w:i/>
        </w:rPr>
      </w:pPr>
    </w:p>
    <w:sectPr w:rsidR="00E306EA" w:rsidRPr="00E306EA" w:rsidSect="004D243B">
      <w:pgSz w:w="11900" w:h="16840"/>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104BF"/>
    <w:multiLevelType w:val="hybridMultilevel"/>
    <w:tmpl w:val="851E6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3E54B4"/>
    <w:multiLevelType w:val="hybridMultilevel"/>
    <w:tmpl w:val="85101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43B"/>
    <w:rsid w:val="00025903"/>
    <w:rsid w:val="00044268"/>
    <w:rsid w:val="0006691A"/>
    <w:rsid w:val="00083C23"/>
    <w:rsid w:val="00085A84"/>
    <w:rsid w:val="000927BD"/>
    <w:rsid w:val="000D7D1F"/>
    <w:rsid w:val="001139A1"/>
    <w:rsid w:val="00113A1E"/>
    <w:rsid w:val="00115213"/>
    <w:rsid w:val="00194058"/>
    <w:rsid w:val="00197026"/>
    <w:rsid w:val="001B1807"/>
    <w:rsid w:val="001D1484"/>
    <w:rsid w:val="001F745D"/>
    <w:rsid w:val="00200005"/>
    <w:rsid w:val="00242B6E"/>
    <w:rsid w:val="002611AF"/>
    <w:rsid w:val="00285424"/>
    <w:rsid w:val="0029023B"/>
    <w:rsid w:val="002B05D0"/>
    <w:rsid w:val="002C0EF8"/>
    <w:rsid w:val="00324F9C"/>
    <w:rsid w:val="00350335"/>
    <w:rsid w:val="0035276E"/>
    <w:rsid w:val="00367D67"/>
    <w:rsid w:val="00374D3F"/>
    <w:rsid w:val="00396850"/>
    <w:rsid w:val="003A201C"/>
    <w:rsid w:val="003F3800"/>
    <w:rsid w:val="00435C17"/>
    <w:rsid w:val="00497813"/>
    <w:rsid w:val="004D243B"/>
    <w:rsid w:val="004D620F"/>
    <w:rsid w:val="005229AC"/>
    <w:rsid w:val="00546939"/>
    <w:rsid w:val="00560DE8"/>
    <w:rsid w:val="00565473"/>
    <w:rsid w:val="0059281E"/>
    <w:rsid w:val="005D70CD"/>
    <w:rsid w:val="00607816"/>
    <w:rsid w:val="00612740"/>
    <w:rsid w:val="0061360B"/>
    <w:rsid w:val="006157D7"/>
    <w:rsid w:val="00621223"/>
    <w:rsid w:val="00626433"/>
    <w:rsid w:val="00627433"/>
    <w:rsid w:val="006304BB"/>
    <w:rsid w:val="00631F24"/>
    <w:rsid w:val="00644BB8"/>
    <w:rsid w:val="00690C31"/>
    <w:rsid w:val="0069294B"/>
    <w:rsid w:val="006E0617"/>
    <w:rsid w:val="00766649"/>
    <w:rsid w:val="007673E1"/>
    <w:rsid w:val="007B40CA"/>
    <w:rsid w:val="007C13B6"/>
    <w:rsid w:val="007C2FAD"/>
    <w:rsid w:val="00803AAF"/>
    <w:rsid w:val="00804F76"/>
    <w:rsid w:val="00815D9A"/>
    <w:rsid w:val="008329C2"/>
    <w:rsid w:val="008336F4"/>
    <w:rsid w:val="0089125F"/>
    <w:rsid w:val="008C78F6"/>
    <w:rsid w:val="008D34F9"/>
    <w:rsid w:val="008E3A7C"/>
    <w:rsid w:val="00976FFD"/>
    <w:rsid w:val="009A55F5"/>
    <w:rsid w:val="009A70C3"/>
    <w:rsid w:val="009D39FA"/>
    <w:rsid w:val="009F061D"/>
    <w:rsid w:val="009F0B95"/>
    <w:rsid w:val="00A260CF"/>
    <w:rsid w:val="00A375E6"/>
    <w:rsid w:val="00AA2D47"/>
    <w:rsid w:val="00AB1A64"/>
    <w:rsid w:val="00AE3805"/>
    <w:rsid w:val="00B03A6B"/>
    <w:rsid w:val="00B37296"/>
    <w:rsid w:val="00B46030"/>
    <w:rsid w:val="00B50395"/>
    <w:rsid w:val="00B73945"/>
    <w:rsid w:val="00B8148D"/>
    <w:rsid w:val="00BA48AE"/>
    <w:rsid w:val="00BC023D"/>
    <w:rsid w:val="00BD7ADD"/>
    <w:rsid w:val="00BE0E78"/>
    <w:rsid w:val="00BF1509"/>
    <w:rsid w:val="00C05DED"/>
    <w:rsid w:val="00C30702"/>
    <w:rsid w:val="00C31A58"/>
    <w:rsid w:val="00C3668E"/>
    <w:rsid w:val="00C67447"/>
    <w:rsid w:val="00CA4F3B"/>
    <w:rsid w:val="00CE51A8"/>
    <w:rsid w:val="00CF05DD"/>
    <w:rsid w:val="00D15D45"/>
    <w:rsid w:val="00D43859"/>
    <w:rsid w:val="00D449A8"/>
    <w:rsid w:val="00D74C13"/>
    <w:rsid w:val="00D92CF4"/>
    <w:rsid w:val="00D95540"/>
    <w:rsid w:val="00DA3F62"/>
    <w:rsid w:val="00DB00DB"/>
    <w:rsid w:val="00E133C1"/>
    <w:rsid w:val="00E25329"/>
    <w:rsid w:val="00E306EA"/>
    <w:rsid w:val="00EA589C"/>
    <w:rsid w:val="00EB500F"/>
    <w:rsid w:val="00F00D81"/>
    <w:rsid w:val="00F31365"/>
    <w:rsid w:val="00F43B56"/>
    <w:rsid w:val="00F50865"/>
    <w:rsid w:val="00F8467D"/>
    <w:rsid w:val="00F84FD1"/>
    <w:rsid w:val="00FF15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37B10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24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D243B"/>
    <w:rPr>
      <w:rFonts w:ascii="Lucida Grande" w:hAnsi="Lucida Grande" w:cs="Lucida Grande"/>
      <w:sz w:val="18"/>
      <w:szCs w:val="18"/>
    </w:rPr>
  </w:style>
  <w:style w:type="paragraph" w:styleId="ListParagraph">
    <w:name w:val="List Paragraph"/>
    <w:basedOn w:val="Normal"/>
    <w:uiPriority w:val="34"/>
    <w:qFormat/>
    <w:rsid w:val="00C05DED"/>
    <w:pPr>
      <w:ind w:left="720"/>
      <w:contextualSpacing/>
    </w:pPr>
  </w:style>
  <w:style w:type="character" w:styleId="Hyperlink">
    <w:name w:val="Hyperlink"/>
    <w:basedOn w:val="DefaultParagraphFont"/>
    <w:uiPriority w:val="99"/>
    <w:unhideWhenUsed/>
    <w:rsid w:val="00085A84"/>
    <w:rPr>
      <w:color w:val="0000FF" w:themeColor="hyperlink"/>
      <w:u w:val="single"/>
    </w:rPr>
  </w:style>
  <w:style w:type="paragraph" w:styleId="NormalWeb">
    <w:name w:val="Normal (Web)"/>
    <w:basedOn w:val="Normal"/>
    <w:uiPriority w:val="99"/>
    <w:unhideWhenUsed/>
    <w:rsid w:val="000D7D1F"/>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F8467D"/>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24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D243B"/>
    <w:rPr>
      <w:rFonts w:ascii="Lucida Grande" w:hAnsi="Lucida Grande" w:cs="Lucida Grande"/>
      <w:sz w:val="18"/>
      <w:szCs w:val="18"/>
    </w:rPr>
  </w:style>
  <w:style w:type="paragraph" w:styleId="ListParagraph">
    <w:name w:val="List Paragraph"/>
    <w:basedOn w:val="Normal"/>
    <w:uiPriority w:val="34"/>
    <w:qFormat/>
    <w:rsid w:val="00C05DED"/>
    <w:pPr>
      <w:ind w:left="720"/>
      <w:contextualSpacing/>
    </w:pPr>
  </w:style>
  <w:style w:type="character" w:styleId="Hyperlink">
    <w:name w:val="Hyperlink"/>
    <w:basedOn w:val="DefaultParagraphFont"/>
    <w:uiPriority w:val="99"/>
    <w:unhideWhenUsed/>
    <w:rsid w:val="00085A84"/>
    <w:rPr>
      <w:color w:val="0000FF" w:themeColor="hyperlink"/>
      <w:u w:val="single"/>
    </w:rPr>
  </w:style>
  <w:style w:type="paragraph" w:styleId="NormalWeb">
    <w:name w:val="Normal (Web)"/>
    <w:basedOn w:val="Normal"/>
    <w:uiPriority w:val="99"/>
    <w:unhideWhenUsed/>
    <w:rsid w:val="000D7D1F"/>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F8467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68197">
      <w:bodyDiv w:val="1"/>
      <w:marLeft w:val="0"/>
      <w:marRight w:val="0"/>
      <w:marTop w:val="0"/>
      <w:marBottom w:val="0"/>
      <w:divBdr>
        <w:top w:val="none" w:sz="0" w:space="0" w:color="auto"/>
        <w:left w:val="none" w:sz="0" w:space="0" w:color="auto"/>
        <w:bottom w:val="none" w:sz="0" w:space="0" w:color="auto"/>
        <w:right w:val="none" w:sz="0" w:space="0" w:color="auto"/>
      </w:divBdr>
      <w:divsChild>
        <w:div w:id="1803300847">
          <w:marLeft w:val="0"/>
          <w:marRight w:val="0"/>
          <w:marTop w:val="0"/>
          <w:marBottom w:val="0"/>
          <w:divBdr>
            <w:top w:val="none" w:sz="0" w:space="0" w:color="auto"/>
            <w:left w:val="none" w:sz="0" w:space="0" w:color="auto"/>
            <w:bottom w:val="none" w:sz="0" w:space="0" w:color="auto"/>
            <w:right w:val="none" w:sz="0" w:space="0" w:color="auto"/>
          </w:divBdr>
          <w:divsChild>
            <w:div w:id="1381514467">
              <w:marLeft w:val="0"/>
              <w:marRight w:val="0"/>
              <w:marTop w:val="0"/>
              <w:marBottom w:val="0"/>
              <w:divBdr>
                <w:top w:val="none" w:sz="0" w:space="0" w:color="auto"/>
                <w:left w:val="none" w:sz="0" w:space="0" w:color="auto"/>
                <w:bottom w:val="none" w:sz="0" w:space="0" w:color="auto"/>
                <w:right w:val="none" w:sz="0" w:space="0" w:color="auto"/>
              </w:divBdr>
              <w:divsChild>
                <w:div w:id="62246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090801">
      <w:bodyDiv w:val="1"/>
      <w:marLeft w:val="0"/>
      <w:marRight w:val="0"/>
      <w:marTop w:val="0"/>
      <w:marBottom w:val="0"/>
      <w:divBdr>
        <w:top w:val="none" w:sz="0" w:space="0" w:color="auto"/>
        <w:left w:val="none" w:sz="0" w:space="0" w:color="auto"/>
        <w:bottom w:val="none" w:sz="0" w:space="0" w:color="auto"/>
        <w:right w:val="none" w:sz="0" w:space="0" w:color="auto"/>
      </w:divBdr>
      <w:divsChild>
        <w:div w:id="1433748425">
          <w:marLeft w:val="0"/>
          <w:marRight w:val="0"/>
          <w:marTop w:val="0"/>
          <w:marBottom w:val="0"/>
          <w:divBdr>
            <w:top w:val="none" w:sz="0" w:space="0" w:color="auto"/>
            <w:left w:val="none" w:sz="0" w:space="0" w:color="auto"/>
            <w:bottom w:val="none" w:sz="0" w:space="0" w:color="auto"/>
            <w:right w:val="none" w:sz="0" w:space="0" w:color="auto"/>
          </w:divBdr>
          <w:divsChild>
            <w:div w:id="409083952">
              <w:marLeft w:val="0"/>
              <w:marRight w:val="0"/>
              <w:marTop w:val="0"/>
              <w:marBottom w:val="0"/>
              <w:divBdr>
                <w:top w:val="none" w:sz="0" w:space="0" w:color="auto"/>
                <w:left w:val="none" w:sz="0" w:space="0" w:color="auto"/>
                <w:bottom w:val="none" w:sz="0" w:space="0" w:color="auto"/>
                <w:right w:val="none" w:sz="0" w:space="0" w:color="auto"/>
              </w:divBdr>
              <w:divsChild>
                <w:div w:id="85807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373575">
      <w:bodyDiv w:val="1"/>
      <w:marLeft w:val="0"/>
      <w:marRight w:val="0"/>
      <w:marTop w:val="0"/>
      <w:marBottom w:val="0"/>
      <w:divBdr>
        <w:top w:val="none" w:sz="0" w:space="0" w:color="auto"/>
        <w:left w:val="none" w:sz="0" w:space="0" w:color="auto"/>
        <w:bottom w:val="none" w:sz="0" w:space="0" w:color="auto"/>
        <w:right w:val="none" w:sz="0" w:space="0" w:color="auto"/>
      </w:divBdr>
      <w:divsChild>
        <w:div w:id="1988239319">
          <w:marLeft w:val="0"/>
          <w:marRight w:val="0"/>
          <w:marTop w:val="0"/>
          <w:marBottom w:val="0"/>
          <w:divBdr>
            <w:top w:val="none" w:sz="0" w:space="0" w:color="auto"/>
            <w:left w:val="none" w:sz="0" w:space="0" w:color="auto"/>
            <w:bottom w:val="none" w:sz="0" w:space="0" w:color="auto"/>
            <w:right w:val="none" w:sz="0" w:space="0" w:color="auto"/>
          </w:divBdr>
          <w:divsChild>
            <w:div w:id="788663330">
              <w:marLeft w:val="0"/>
              <w:marRight w:val="0"/>
              <w:marTop w:val="0"/>
              <w:marBottom w:val="0"/>
              <w:divBdr>
                <w:top w:val="none" w:sz="0" w:space="0" w:color="auto"/>
                <w:left w:val="none" w:sz="0" w:space="0" w:color="auto"/>
                <w:bottom w:val="none" w:sz="0" w:space="0" w:color="auto"/>
                <w:right w:val="none" w:sz="0" w:space="0" w:color="auto"/>
              </w:divBdr>
              <w:divsChild>
                <w:div w:id="77235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383574">
      <w:bodyDiv w:val="1"/>
      <w:marLeft w:val="0"/>
      <w:marRight w:val="0"/>
      <w:marTop w:val="0"/>
      <w:marBottom w:val="0"/>
      <w:divBdr>
        <w:top w:val="none" w:sz="0" w:space="0" w:color="auto"/>
        <w:left w:val="none" w:sz="0" w:space="0" w:color="auto"/>
        <w:bottom w:val="none" w:sz="0" w:space="0" w:color="auto"/>
        <w:right w:val="none" w:sz="0" w:space="0" w:color="auto"/>
      </w:divBdr>
      <w:divsChild>
        <w:div w:id="279075717">
          <w:marLeft w:val="0"/>
          <w:marRight w:val="0"/>
          <w:marTop w:val="0"/>
          <w:marBottom w:val="0"/>
          <w:divBdr>
            <w:top w:val="none" w:sz="0" w:space="0" w:color="auto"/>
            <w:left w:val="none" w:sz="0" w:space="0" w:color="auto"/>
            <w:bottom w:val="none" w:sz="0" w:space="0" w:color="auto"/>
            <w:right w:val="none" w:sz="0" w:space="0" w:color="auto"/>
          </w:divBdr>
          <w:divsChild>
            <w:div w:id="2094160609">
              <w:marLeft w:val="0"/>
              <w:marRight w:val="0"/>
              <w:marTop w:val="0"/>
              <w:marBottom w:val="0"/>
              <w:divBdr>
                <w:top w:val="none" w:sz="0" w:space="0" w:color="auto"/>
                <w:left w:val="none" w:sz="0" w:space="0" w:color="auto"/>
                <w:bottom w:val="none" w:sz="0" w:space="0" w:color="auto"/>
                <w:right w:val="none" w:sz="0" w:space="0" w:color="auto"/>
              </w:divBdr>
              <w:divsChild>
                <w:div w:id="181320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613814">
      <w:bodyDiv w:val="1"/>
      <w:marLeft w:val="0"/>
      <w:marRight w:val="0"/>
      <w:marTop w:val="0"/>
      <w:marBottom w:val="0"/>
      <w:divBdr>
        <w:top w:val="none" w:sz="0" w:space="0" w:color="auto"/>
        <w:left w:val="none" w:sz="0" w:space="0" w:color="auto"/>
        <w:bottom w:val="none" w:sz="0" w:space="0" w:color="auto"/>
        <w:right w:val="none" w:sz="0" w:space="0" w:color="auto"/>
      </w:divBdr>
      <w:divsChild>
        <w:div w:id="213390348">
          <w:marLeft w:val="0"/>
          <w:marRight w:val="0"/>
          <w:marTop w:val="0"/>
          <w:marBottom w:val="0"/>
          <w:divBdr>
            <w:top w:val="none" w:sz="0" w:space="0" w:color="auto"/>
            <w:left w:val="none" w:sz="0" w:space="0" w:color="auto"/>
            <w:bottom w:val="none" w:sz="0" w:space="0" w:color="auto"/>
            <w:right w:val="none" w:sz="0" w:space="0" w:color="auto"/>
          </w:divBdr>
          <w:divsChild>
            <w:div w:id="1039890751">
              <w:marLeft w:val="0"/>
              <w:marRight w:val="0"/>
              <w:marTop w:val="0"/>
              <w:marBottom w:val="0"/>
              <w:divBdr>
                <w:top w:val="none" w:sz="0" w:space="0" w:color="auto"/>
                <w:left w:val="none" w:sz="0" w:space="0" w:color="auto"/>
                <w:bottom w:val="none" w:sz="0" w:space="0" w:color="auto"/>
                <w:right w:val="none" w:sz="0" w:space="0" w:color="auto"/>
              </w:divBdr>
              <w:divsChild>
                <w:div w:id="201753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768746">
      <w:bodyDiv w:val="1"/>
      <w:marLeft w:val="0"/>
      <w:marRight w:val="0"/>
      <w:marTop w:val="0"/>
      <w:marBottom w:val="0"/>
      <w:divBdr>
        <w:top w:val="none" w:sz="0" w:space="0" w:color="auto"/>
        <w:left w:val="none" w:sz="0" w:space="0" w:color="auto"/>
        <w:bottom w:val="none" w:sz="0" w:space="0" w:color="auto"/>
        <w:right w:val="none" w:sz="0" w:space="0" w:color="auto"/>
      </w:divBdr>
      <w:divsChild>
        <w:div w:id="1346515412">
          <w:marLeft w:val="0"/>
          <w:marRight w:val="0"/>
          <w:marTop w:val="0"/>
          <w:marBottom w:val="0"/>
          <w:divBdr>
            <w:top w:val="none" w:sz="0" w:space="0" w:color="auto"/>
            <w:left w:val="none" w:sz="0" w:space="0" w:color="auto"/>
            <w:bottom w:val="none" w:sz="0" w:space="0" w:color="auto"/>
            <w:right w:val="none" w:sz="0" w:space="0" w:color="auto"/>
          </w:divBdr>
          <w:divsChild>
            <w:div w:id="144707287">
              <w:marLeft w:val="0"/>
              <w:marRight w:val="0"/>
              <w:marTop w:val="0"/>
              <w:marBottom w:val="0"/>
              <w:divBdr>
                <w:top w:val="none" w:sz="0" w:space="0" w:color="auto"/>
                <w:left w:val="none" w:sz="0" w:space="0" w:color="auto"/>
                <w:bottom w:val="none" w:sz="0" w:space="0" w:color="auto"/>
                <w:right w:val="none" w:sz="0" w:space="0" w:color="auto"/>
              </w:divBdr>
              <w:divsChild>
                <w:div w:id="154298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346956">
      <w:bodyDiv w:val="1"/>
      <w:marLeft w:val="0"/>
      <w:marRight w:val="0"/>
      <w:marTop w:val="0"/>
      <w:marBottom w:val="0"/>
      <w:divBdr>
        <w:top w:val="none" w:sz="0" w:space="0" w:color="auto"/>
        <w:left w:val="none" w:sz="0" w:space="0" w:color="auto"/>
        <w:bottom w:val="none" w:sz="0" w:space="0" w:color="auto"/>
        <w:right w:val="none" w:sz="0" w:space="0" w:color="auto"/>
      </w:divBdr>
      <w:divsChild>
        <w:div w:id="331101906">
          <w:marLeft w:val="0"/>
          <w:marRight w:val="0"/>
          <w:marTop w:val="0"/>
          <w:marBottom w:val="0"/>
          <w:divBdr>
            <w:top w:val="none" w:sz="0" w:space="0" w:color="auto"/>
            <w:left w:val="none" w:sz="0" w:space="0" w:color="auto"/>
            <w:bottom w:val="none" w:sz="0" w:space="0" w:color="auto"/>
            <w:right w:val="none" w:sz="0" w:space="0" w:color="auto"/>
          </w:divBdr>
        </w:div>
      </w:divsChild>
    </w:div>
    <w:div w:id="662122066">
      <w:bodyDiv w:val="1"/>
      <w:marLeft w:val="0"/>
      <w:marRight w:val="0"/>
      <w:marTop w:val="0"/>
      <w:marBottom w:val="0"/>
      <w:divBdr>
        <w:top w:val="none" w:sz="0" w:space="0" w:color="auto"/>
        <w:left w:val="none" w:sz="0" w:space="0" w:color="auto"/>
        <w:bottom w:val="none" w:sz="0" w:space="0" w:color="auto"/>
        <w:right w:val="none" w:sz="0" w:space="0" w:color="auto"/>
      </w:divBdr>
      <w:divsChild>
        <w:div w:id="665673455">
          <w:marLeft w:val="0"/>
          <w:marRight w:val="0"/>
          <w:marTop w:val="0"/>
          <w:marBottom w:val="0"/>
          <w:divBdr>
            <w:top w:val="none" w:sz="0" w:space="0" w:color="auto"/>
            <w:left w:val="none" w:sz="0" w:space="0" w:color="auto"/>
            <w:bottom w:val="none" w:sz="0" w:space="0" w:color="auto"/>
            <w:right w:val="none" w:sz="0" w:space="0" w:color="auto"/>
          </w:divBdr>
          <w:divsChild>
            <w:div w:id="1276214865">
              <w:marLeft w:val="0"/>
              <w:marRight w:val="0"/>
              <w:marTop w:val="0"/>
              <w:marBottom w:val="0"/>
              <w:divBdr>
                <w:top w:val="none" w:sz="0" w:space="0" w:color="auto"/>
                <w:left w:val="none" w:sz="0" w:space="0" w:color="auto"/>
                <w:bottom w:val="none" w:sz="0" w:space="0" w:color="auto"/>
                <w:right w:val="none" w:sz="0" w:space="0" w:color="auto"/>
              </w:divBdr>
              <w:divsChild>
                <w:div w:id="138676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770985">
      <w:bodyDiv w:val="1"/>
      <w:marLeft w:val="0"/>
      <w:marRight w:val="0"/>
      <w:marTop w:val="0"/>
      <w:marBottom w:val="0"/>
      <w:divBdr>
        <w:top w:val="none" w:sz="0" w:space="0" w:color="auto"/>
        <w:left w:val="none" w:sz="0" w:space="0" w:color="auto"/>
        <w:bottom w:val="none" w:sz="0" w:space="0" w:color="auto"/>
        <w:right w:val="none" w:sz="0" w:space="0" w:color="auto"/>
      </w:divBdr>
      <w:divsChild>
        <w:div w:id="81802708">
          <w:marLeft w:val="0"/>
          <w:marRight w:val="0"/>
          <w:marTop w:val="0"/>
          <w:marBottom w:val="0"/>
          <w:divBdr>
            <w:top w:val="none" w:sz="0" w:space="0" w:color="auto"/>
            <w:left w:val="none" w:sz="0" w:space="0" w:color="auto"/>
            <w:bottom w:val="none" w:sz="0" w:space="0" w:color="auto"/>
            <w:right w:val="none" w:sz="0" w:space="0" w:color="auto"/>
          </w:divBdr>
          <w:divsChild>
            <w:div w:id="1179615131">
              <w:marLeft w:val="0"/>
              <w:marRight w:val="0"/>
              <w:marTop w:val="0"/>
              <w:marBottom w:val="0"/>
              <w:divBdr>
                <w:top w:val="none" w:sz="0" w:space="0" w:color="auto"/>
                <w:left w:val="none" w:sz="0" w:space="0" w:color="auto"/>
                <w:bottom w:val="none" w:sz="0" w:space="0" w:color="auto"/>
                <w:right w:val="none" w:sz="0" w:space="0" w:color="auto"/>
              </w:divBdr>
              <w:divsChild>
                <w:div w:id="104433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049540">
      <w:bodyDiv w:val="1"/>
      <w:marLeft w:val="0"/>
      <w:marRight w:val="0"/>
      <w:marTop w:val="0"/>
      <w:marBottom w:val="0"/>
      <w:divBdr>
        <w:top w:val="none" w:sz="0" w:space="0" w:color="auto"/>
        <w:left w:val="none" w:sz="0" w:space="0" w:color="auto"/>
        <w:bottom w:val="none" w:sz="0" w:space="0" w:color="auto"/>
        <w:right w:val="none" w:sz="0" w:space="0" w:color="auto"/>
      </w:divBdr>
      <w:divsChild>
        <w:div w:id="1865973006">
          <w:marLeft w:val="0"/>
          <w:marRight w:val="0"/>
          <w:marTop w:val="0"/>
          <w:marBottom w:val="0"/>
          <w:divBdr>
            <w:top w:val="none" w:sz="0" w:space="0" w:color="auto"/>
            <w:left w:val="none" w:sz="0" w:space="0" w:color="auto"/>
            <w:bottom w:val="none" w:sz="0" w:space="0" w:color="auto"/>
            <w:right w:val="none" w:sz="0" w:space="0" w:color="auto"/>
          </w:divBdr>
          <w:divsChild>
            <w:div w:id="452137878">
              <w:marLeft w:val="0"/>
              <w:marRight w:val="0"/>
              <w:marTop w:val="0"/>
              <w:marBottom w:val="0"/>
              <w:divBdr>
                <w:top w:val="none" w:sz="0" w:space="0" w:color="auto"/>
                <w:left w:val="none" w:sz="0" w:space="0" w:color="auto"/>
                <w:bottom w:val="none" w:sz="0" w:space="0" w:color="auto"/>
                <w:right w:val="none" w:sz="0" w:space="0" w:color="auto"/>
              </w:divBdr>
              <w:divsChild>
                <w:div w:id="62200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972446">
      <w:bodyDiv w:val="1"/>
      <w:marLeft w:val="0"/>
      <w:marRight w:val="0"/>
      <w:marTop w:val="0"/>
      <w:marBottom w:val="0"/>
      <w:divBdr>
        <w:top w:val="none" w:sz="0" w:space="0" w:color="auto"/>
        <w:left w:val="none" w:sz="0" w:space="0" w:color="auto"/>
        <w:bottom w:val="none" w:sz="0" w:space="0" w:color="auto"/>
        <w:right w:val="none" w:sz="0" w:space="0" w:color="auto"/>
      </w:divBdr>
      <w:divsChild>
        <w:div w:id="366180059">
          <w:marLeft w:val="0"/>
          <w:marRight w:val="0"/>
          <w:marTop w:val="0"/>
          <w:marBottom w:val="0"/>
          <w:divBdr>
            <w:top w:val="none" w:sz="0" w:space="0" w:color="auto"/>
            <w:left w:val="none" w:sz="0" w:space="0" w:color="auto"/>
            <w:bottom w:val="none" w:sz="0" w:space="0" w:color="auto"/>
            <w:right w:val="none" w:sz="0" w:space="0" w:color="auto"/>
          </w:divBdr>
          <w:divsChild>
            <w:div w:id="29647669">
              <w:marLeft w:val="0"/>
              <w:marRight w:val="0"/>
              <w:marTop w:val="0"/>
              <w:marBottom w:val="0"/>
              <w:divBdr>
                <w:top w:val="none" w:sz="0" w:space="0" w:color="auto"/>
                <w:left w:val="none" w:sz="0" w:space="0" w:color="auto"/>
                <w:bottom w:val="none" w:sz="0" w:space="0" w:color="auto"/>
                <w:right w:val="none" w:sz="0" w:space="0" w:color="auto"/>
              </w:divBdr>
              <w:divsChild>
                <w:div w:id="54541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57566">
      <w:bodyDiv w:val="1"/>
      <w:marLeft w:val="0"/>
      <w:marRight w:val="0"/>
      <w:marTop w:val="0"/>
      <w:marBottom w:val="0"/>
      <w:divBdr>
        <w:top w:val="none" w:sz="0" w:space="0" w:color="auto"/>
        <w:left w:val="none" w:sz="0" w:space="0" w:color="auto"/>
        <w:bottom w:val="none" w:sz="0" w:space="0" w:color="auto"/>
        <w:right w:val="none" w:sz="0" w:space="0" w:color="auto"/>
      </w:divBdr>
      <w:divsChild>
        <w:div w:id="236214895">
          <w:marLeft w:val="0"/>
          <w:marRight w:val="0"/>
          <w:marTop w:val="0"/>
          <w:marBottom w:val="0"/>
          <w:divBdr>
            <w:top w:val="none" w:sz="0" w:space="0" w:color="auto"/>
            <w:left w:val="none" w:sz="0" w:space="0" w:color="auto"/>
            <w:bottom w:val="none" w:sz="0" w:space="0" w:color="auto"/>
            <w:right w:val="none" w:sz="0" w:space="0" w:color="auto"/>
          </w:divBdr>
          <w:divsChild>
            <w:div w:id="1420835534">
              <w:marLeft w:val="0"/>
              <w:marRight w:val="0"/>
              <w:marTop w:val="0"/>
              <w:marBottom w:val="0"/>
              <w:divBdr>
                <w:top w:val="none" w:sz="0" w:space="0" w:color="auto"/>
                <w:left w:val="none" w:sz="0" w:space="0" w:color="auto"/>
                <w:bottom w:val="none" w:sz="0" w:space="0" w:color="auto"/>
                <w:right w:val="none" w:sz="0" w:space="0" w:color="auto"/>
              </w:divBdr>
              <w:divsChild>
                <w:div w:id="96235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580241">
      <w:bodyDiv w:val="1"/>
      <w:marLeft w:val="0"/>
      <w:marRight w:val="0"/>
      <w:marTop w:val="0"/>
      <w:marBottom w:val="0"/>
      <w:divBdr>
        <w:top w:val="none" w:sz="0" w:space="0" w:color="auto"/>
        <w:left w:val="none" w:sz="0" w:space="0" w:color="auto"/>
        <w:bottom w:val="none" w:sz="0" w:space="0" w:color="auto"/>
        <w:right w:val="none" w:sz="0" w:space="0" w:color="auto"/>
      </w:divBdr>
      <w:divsChild>
        <w:div w:id="4602667">
          <w:marLeft w:val="0"/>
          <w:marRight w:val="0"/>
          <w:marTop w:val="0"/>
          <w:marBottom w:val="0"/>
          <w:divBdr>
            <w:top w:val="none" w:sz="0" w:space="0" w:color="auto"/>
            <w:left w:val="none" w:sz="0" w:space="0" w:color="auto"/>
            <w:bottom w:val="none" w:sz="0" w:space="0" w:color="auto"/>
            <w:right w:val="none" w:sz="0" w:space="0" w:color="auto"/>
          </w:divBdr>
          <w:divsChild>
            <w:div w:id="354380387">
              <w:marLeft w:val="0"/>
              <w:marRight w:val="0"/>
              <w:marTop w:val="0"/>
              <w:marBottom w:val="0"/>
              <w:divBdr>
                <w:top w:val="none" w:sz="0" w:space="0" w:color="auto"/>
                <w:left w:val="none" w:sz="0" w:space="0" w:color="auto"/>
                <w:bottom w:val="none" w:sz="0" w:space="0" w:color="auto"/>
                <w:right w:val="none" w:sz="0" w:space="0" w:color="auto"/>
              </w:divBdr>
              <w:divsChild>
                <w:div w:id="117283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947660">
      <w:bodyDiv w:val="1"/>
      <w:marLeft w:val="0"/>
      <w:marRight w:val="0"/>
      <w:marTop w:val="0"/>
      <w:marBottom w:val="0"/>
      <w:divBdr>
        <w:top w:val="none" w:sz="0" w:space="0" w:color="auto"/>
        <w:left w:val="none" w:sz="0" w:space="0" w:color="auto"/>
        <w:bottom w:val="none" w:sz="0" w:space="0" w:color="auto"/>
        <w:right w:val="none" w:sz="0" w:space="0" w:color="auto"/>
      </w:divBdr>
      <w:divsChild>
        <w:div w:id="1036929751">
          <w:marLeft w:val="0"/>
          <w:marRight w:val="0"/>
          <w:marTop w:val="0"/>
          <w:marBottom w:val="0"/>
          <w:divBdr>
            <w:top w:val="none" w:sz="0" w:space="0" w:color="auto"/>
            <w:left w:val="none" w:sz="0" w:space="0" w:color="auto"/>
            <w:bottom w:val="none" w:sz="0" w:space="0" w:color="auto"/>
            <w:right w:val="none" w:sz="0" w:space="0" w:color="auto"/>
          </w:divBdr>
          <w:divsChild>
            <w:div w:id="788937521">
              <w:marLeft w:val="0"/>
              <w:marRight w:val="0"/>
              <w:marTop w:val="0"/>
              <w:marBottom w:val="0"/>
              <w:divBdr>
                <w:top w:val="none" w:sz="0" w:space="0" w:color="auto"/>
                <w:left w:val="none" w:sz="0" w:space="0" w:color="auto"/>
                <w:bottom w:val="none" w:sz="0" w:space="0" w:color="auto"/>
                <w:right w:val="none" w:sz="0" w:space="0" w:color="auto"/>
              </w:divBdr>
              <w:divsChild>
                <w:div w:id="1979800430">
                  <w:marLeft w:val="0"/>
                  <w:marRight w:val="0"/>
                  <w:marTop w:val="0"/>
                  <w:marBottom w:val="0"/>
                  <w:divBdr>
                    <w:top w:val="none" w:sz="0" w:space="0" w:color="auto"/>
                    <w:left w:val="none" w:sz="0" w:space="0" w:color="auto"/>
                    <w:bottom w:val="none" w:sz="0" w:space="0" w:color="auto"/>
                    <w:right w:val="none" w:sz="0" w:space="0" w:color="auto"/>
                  </w:divBdr>
                </w:div>
              </w:divsChild>
            </w:div>
            <w:div w:id="1576238207">
              <w:marLeft w:val="0"/>
              <w:marRight w:val="0"/>
              <w:marTop w:val="0"/>
              <w:marBottom w:val="0"/>
              <w:divBdr>
                <w:top w:val="none" w:sz="0" w:space="0" w:color="auto"/>
                <w:left w:val="none" w:sz="0" w:space="0" w:color="auto"/>
                <w:bottom w:val="none" w:sz="0" w:space="0" w:color="auto"/>
                <w:right w:val="none" w:sz="0" w:space="0" w:color="auto"/>
              </w:divBdr>
              <w:divsChild>
                <w:div w:id="131264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588621">
          <w:marLeft w:val="0"/>
          <w:marRight w:val="0"/>
          <w:marTop w:val="0"/>
          <w:marBottom w:val="0"/>
          <w:divBdr>
            <w:top w:val="none" w:sz="0" w:space="0" w:color="auto"/>
            <w:left w:val="none" w:sz="0" w:space="0" w:color="auto"/>
            <w:bottom w:val="none" w:sz="0" w:space="0" w:color="auto"/>
            <w:right w:val="none" w:sz="0" w:space="0" w:color="auto"/>
          </w:divBdr>
          <w:divsChild>
            <w:div w:id="1560701549">
              <w:marLeft w:val="0"/>
              <w:marRight w:val="0"/>
              <w:marTop w:val="0"/>
              <w:marBottom w:val="0"/>
              <w:divBdr>
                <w:top w:val="none" w:sz="0" w:space="0" w:color="auto"/>
                <w:left w:val="none" w:sz="0" w:space="0" w:color="auto"/>
                <w:bottom w:val="none" w:sz="0" w:space="0" w:color="auto"/>
                <w:right w:val="none" w:sz="0" w:space="0" w:color="auto"/>
              </w:divBdr>
              <w:divsChild>
                <w:div w:id="82177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742935">
      <w:bodyDiv w:val="1"/>
      <w:marLeft w:val="0"/>
      <w:marRight w:val="0"/>
      <w:marTop w:val="0"/>
      <w:marBottom w:val="0"/>
      <w:divBdr>
        <w:top w:val="none" w:sz="0" w:space="0" w:color="auto"/>
        <w:left w:val="none" w:sz="0" w:space="0" w:color="auto"/>
        <w:bottom w:val="none" w:sz="0" w:space="0" w:color="auto"/>
        <w:right w:val="none" w:sz="0" w:space="0" w:color="auto"/>
      </w:divBdr>
      <w:divsChild>
        <w:div w:id="1869831721">
          <w:marLeft w:val="0"/>
          <w:marRight w:val="0"/>
          <w:marTop w:val="0"/>
          <w:marBottom w:val="0"/>
          <w:divBdr>
            <w:top w:val="none" w:sz="0" w:space="0" w:color="auto"/>
            <w:left w:val="none" w:sz="0" w:space="0" w:color="auto"/>
            <w:bottom w:val="none" w:sz="0" w:space="0" w:color="auto"/>
            <w:right w:val="none" w:sz="0" w:space="0" w:color="auto"/>
          </w:divBdr>
          <w:divsChild>
            <w:div w:id="1252859946">
              <w:marLeft w:val="0"/>
              <w:marRight w:val="0"/>
              <w:marTop w:val="0"/>
              <w:marBottom w:val="0"/>
              <w:divBdr>
                <w:top w:val="none" w:sz="0" w:space="0" w:color="auto"/>
                <w:left w:val="none" w:sz="0" w:space="0" w:color="auto"/>
                <w:bottom w:val="none" w:sz="0" w:space="0" w:color="auto"/>
                <w:right w:val="none" w:sz="0" w:space="0" w:color="auto"/>
              </w:divBdr>
              <w:divsChild>
                <w:div w:id="166130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055007">
      <w:bodyDiv w:val="1"/>
      <w:marLeft w:val="0"/>
      <w:marRight w:val="0"/>
      <w:marTop w:val="0"/>
      <w:marBottom w:val="0"/>
      <w:divBdr>
        <w:top w:val="none" w:sz="0" w:space="0" w:color="auto"/>
        <w:left w:val="none" w:sz="0" w:space="0" w:color="auto"/>
        <w:bottom w:val="none" w:sz="0" w:space="0" w:color="auto"/>
        <w:right w:val="none" w:sz="0" w:space="0" w:color="auto"/>
      </w:divBdr>
      <w:divsChild>
        <w:div w:id="1557934090">
          <w:marLeft w:val="0"/>
          <w:marRight w:val="0"/>
          <w:marTop w:val="0"/>
          <w:marBottom w:val="0"/>
          <w:divBdr>
            <w:top w:val="none" w:sz="0" w:space="0" w:color="auto"/>
            <w:left w:val="none" w:sz="0" w:space="0" w:color="auto"/>
            <w:bottom w:val="none" w:sz="0" w:space="0" w:color="auto"/>
            <w:right w:val="none" w:sz="0" w:space="0" w:color="auto"/>
          </w:divBdr>
          <w:divsChild>
            <w:div w:id="1611276149">
              <w:marLeft w:val="0"/>
              <w:marRight w:val="0"/>
              <w:marTop w:val="0"/>
              <w:marBottom w:val="0"/>
              <w:divBdr>
                <w:top w:val="none" w:sz="0" w:space="0" w:color="auto"/>
                <w:left w:val="none" w:sz="0" w:space="0" w:color="auto"/>
                <w:bottom w:val="none" w:sz="0" w:space="0" w:color="auto"/>
                <w:right w:val="none" w:sz="0" w:space="0" w:color="auto"/>
              </w:divBdr>
              <w:divsChild>
                <w:div w:id="1921481342">
                  <w:marLeft w:val="0"/>
                  <w:marRight w:val="0"/>
                  <w:marTop w:val="0"/>
                  <w:marBottom w:val="0"/>
                  <w:divBdr>
                    <w:top w:val="none" w:sz="0" w:space="0" w:color="auto"/>
                    <w:left w:val="none" w:sz="0" w:space="0" w:color="auto"/>
                    <w:bottom w:val="none" w:sz="0" w:space="0" w:color="auto"/>
                    <w:right w:val="none" w:sz="0" w:space="0" w:color="auto"/>
                  </w:divBdr>
                  <w:divsChild>
                    <w:div w:id="148611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6.xml"/><Relationship Id="rId12" Type="http://schemas.openxmlformats.org/officeDocument/2006/relationships/hyperlink" Target="http://www.bb.go.th/budget_book/e-Book2558/PDF/Budget-in-Brief-2015.pdf" TargetMode="External"/><Relationship Id="rId13" Type="http://schemas.openxmlformats.org/officeDocument/2006/relationships/hyperlink" Target="http://ieconomics.com/thailand-government-spending" TargetMode="External"/><Relationship Id="rId14" Type="http://schemas.openxmlformats.org/officeDocument/2006/relationships/hyperlink" Target="http://data.worldbank.org/indicator/SH.XPD.PUBL.ZS?page=2&amp;display=default" TargetMode="External"/><Relationship Id="rId15" Type="http://schemas.openxmlformats.org/officeDocument/2006/relationships/hyperlink" Target="http://www.who.int/healthinfo/paper33.pdf" TargetMode="External"/><Relationship Id="rId16" Type="http://schemas.openxmlformats.org/officeDocument/2006/relationships/hyperlink" Target="http://eng.moph.go.th" TargetMode="External"/><Relationship Id="rId17" Type="http://schemas.openxmlformats.org/officeDocument/2006/relationships/hyperlink" Target="http://data.worldbank.org/indicator/SH.XPD.PUBL.ZS?page=1&amp;display=default"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chart" Target="charts/chart3.xml"/><Relationship Id="rId9" Type="http://schemas.openxmlformats.org/officeDocument/2006/relationships/chart" Target="charts/chart4.xml"/><Relationship Id="rId10"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Sheet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2"/>
    </mc:Choice>
    <mc:Fallback>
      <c:style val="22"/>
    </mc:Fallback>
  </mc:AlternateContent>
  <c:chart>
    <c:autoTitleDeleted val="1"/>
    <c:plotArea>
      <c:layout/>
      <c:barChart>
        <c:barDir val="col"/>
        <c:grouping val="clustered"/>
        <c:varyColors val="0"/>
        <c:ser>
          <c:idx val="0"/>
          <c:order val="0"/>
          <c:tx>
            <c:strRef>
              <c:f>Sheet1!$B$1</c:f>
              <c:strCache>
                <c:ptCount val="1"/>
                <c:pt idx="0">
                  <c:v>Thailand's government expenditure (THB million)</c:v>
                </c:pt>
              </c:strCache>
            </c:strRef>
          </c:tx>
          <c:invertIfNegative val="0"/>
          <c:cat>
            <c:strRef>
              <c:f>Sheet1!$A$2:$A$17</c:f>
              <c:strCache>
                <c:ptCount val="16"/>
                <c:pt idx="0">
                  <c:v>2011 Q1</c:v>
                </c:pt>
                <c:pt idx="1">
                  <c:v>2011 Q2</c:v>
                </c:pt>
                <c:pt idx="2">
                  <c:v>2011 Q3</c:v>
                </c:pt>
                <c:pt idx="3">
                  <c:v>2011 Q4</c:v>
                </c:pt>
                <c:pt idx="4">
                  <c:v>2012 Q1</c:v>
                </c:pt>
                <c:pt idx="5">
                  <c:v>2012 Q2</c:v>
                </c:pt>
                <c:pt idx="6">
                  <c:v>2012 Q3</c:v>
                </c:pt>
                <c:pt idx="7">
                  <c:v>2012 Q4</c:v>
                </c:pt>
                <c:pt idx="8">
                  <c:v>2013 Q1</c:v>
                </c:pt>
                <c:pt idx="9">
                  <c:v>2013 Q2</c:v>
                </c:pt>
                <c:pt idx="10">
                  <c:v>2013 Q3</c:v>
                </c:pt>
                <c:pt idx="11">
                  <c:v>2013 Q4</c:v>
                </c:pt>
                <c:pt idx="12">
                  <c:v>2014 Q1</c:v>
                </c:pt>
                <c:pt idx="13">
                  <c:v>2014 Q2</c:v>
                </c:pt>
                <c:pt idx="14">
                  <c:v>2014 Q3</c:v>
                </c:pt>
                <c:pt idx="15">
                  <c:v>2014 Q4</c:v>
                </c:pt>
              </c:strCache>
            </c:strRef>
          </c:cat>
          <c:val>
            <c:numRef>
              <c:f>Sheet1!$B$2:$B$17</c:f>
              <c:numCache>
                <c:formatCode>#,##0</c:formatCode>
                <c:ptCount val="16"/>
                <c:pt idx="0">
                  <c:v>329001.0</c:v>
                </c:pt>
                <c:pt idx="1">
                  <c:v>324367.0</c:v>
                </c:pt>
                <c:pt idx="2">
                  <c:v>326265.0</c:v>
                </c:pt>
                <c:pt idx="3">
                  <c:v>320363.0</c:v>
                </c:pt>
                <c:pt idx="4">
                  <c:v>339100.0</c:v>
                </c:pt>
                <c:pt idx="5">
                  <c:v>349377.0</c:v>
                </c:pt>
                <c:pt idx="6">
                  <c:v>348501.0</c:v>
                </c:pt>
                <c:pt idx="7">
                  <c:v>360674.0</c:v>
                </c:pt>
                <c:pt idx="8">
                  <c:v>349269.0</c:v>
                </c:pt>
                <c:pt idx="9">
                  <c:v>365627.0</c:v>
                </c:pt>
                <c:pt idx="10">
                  <c:v>380458.0</c:v>
                </c:pt>
                <c:pt idx="11">
                  <c:v>365276.0</c:v>
                </c:pt>
                <c:pt idx="12">
                  <c:v>363439.0</c:v>
                </c:pt>
                <c:pt idx="13">
                  <c:v>371253.0</c:v>
                </c:pt>
                <c:pt idx="14">
                  <c:v>374461.0</c:v>
                </c:pt>
                <c:pt idx="15">
                  <c:v>378395.0</c:v>
                </c:pt>
              </c:numCache>
            </c:numRef>
          </c:val>
        </c:ser>
        <c:dLbls>
          <c:showLegendKey val="0"/>
          <c:showVal val="0"/>
          <c:showCatName val="0"/>
          <c:showSerName val="0"/>
          <c:showPercent val="0"/>
          <c:showBubbleSize val="0"/>
        </c:dLbls>
        <c:gapWidth val="150"/>
        <c:axId val="2102220904"/>
        <c:axId val="2102223912"/>
      </c:barChart>
      <c:catAx>
        <c:axId val="2102220904"/>
        <c:scaling>
          <c:orientation val="minMax"/>
        </c:scaling>
        <c:delete val="0"/>
        <c:axPos val="b"/>
        <c:majorTickMark val="out"/>
        <c:minorTickMark val="none"/>
        <c:tickLblPos val="nextTo"/>
        <c:crossAx val="2102223912"/>
        <c:crosses val="autoZero"/>
        <c:auto val="1"/>
        <c:lblAlgn val="ctr"/>
        <c:lblOffset val="100"/>
        <c:noMultiLvlLbl val="0"/>
      </c:catAx>
      <c:valAx>
        <c:axId val="2102223912"/>
        <c:scaling>
          <c:orientation val="minMax"/>
        </c:scaling>
        <c:delete val="0"/>
        <c:axPos val="l"/>
        <c:majorGridlines/>
        <c:numFmt formatCode="#,##0" sourceLinked="1"/>
        <c:majorTickMark val="out"/>
        <c:minorTickMark val="none"/>
        <c:tickLblPos val="nextTo"/>
        <c:crossAx val="2102220904"/>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layout/>
      <c:overlay val="0"/>
      <c:txPr>
        <a:bodyPr/>
        <a:lstStyle/>
        <a:p>
          <a:pPr>
            <a:defRPr>
              <a:latin typeface="Times New Roman"/>
              <a:cs typeface="Times New Roman"/>
            </a:defRPr>
          </a:pPr>
          <a:endParaRPr lang="en-US"/>
        </a:p>
      </c:txPr>
    </c:title>
    <c:autoTitleDeleted val="0"/>
    <c:plotArea>
      <c:layout/>
      <c:pieChart>
        <c:varyColors val="1"/>
        <c:ser>
          <c:idx val="0"/>
          <c:order val="0"/>
          <c:tx>
            <c:strRef>
              <c:f>Sheet1!$B$1</c:f>
              <c:strCache>
                <c:ptCount val="1"/>
                <c:pt idx="0">
                  <c:v>Government expenditure 2015</c:v>
                </c:pt>
              </c:strCache>
            </c:strRef>
          </c:tx>
          <c:dLbls>
            <c:dLbl>
              <c:idx val="0"/>
              <c:spPr/>
              <c:txPr>
                <a:bodyPr/>
                <a:lstStyle/>
                <a:p>
                  <a:pPr algn="ctr">
                    <a:defRPr sz="900">
                      <a:latin typeface="Times New Roman"/>
                      <a:cs typeface="Times New Roman"/>
                    </a:defRPr>
                  </a:pPr>
                  <a:endParaRPr lang="en-US"/>
                </a:p>
              </c:txPr>
              <c:showLegendKey val="0"/>
              <c:showVal val="0"/>
              <c:showCatName val="1"/>
              <c:showSerName val="0"/>
              <c:showPercent val="1"/>
              <c:showBubbleSize val="0"/>
            </c:dLbl>
            <c:dLbl>
              <c:idx val="1"/>
              <c:spPr/>
              <c:txPr>
                <a:bodyPr/>
                <a:lstStyle/>
                <a:p>
                  <a:pPr algn="ctr">
                    <a:defRPr sz="900">
                      <a:latin typeface="Times New Roman"/>
                      <a:cs typeface="Times New Roman"/>
                    </a:defRPr>
                  </a:pPr>
                  <a:endParaRPr lang="en-US"/>
                </a:p>
              </c:txPr>
              <c:showLegendKey val="0"/>
              <c:showVal val="0"/>
              <c:showCatName val="1"/>
              <c:showSerName val="0"/>
              <c:showPercent val="1"/>
              <c:showBubbleSize val="0"/>
            </c:dLbl>
            <c:dLbl>
              <c:idx val="2"/>
              <c:layout>
                <c:manualLayout>
                  <c:x val="0.0102376786235054"/>
                  <c:y val="0.0149608729464372"/>
                </c:manualLayout>
              </c:layout>
              <c:spPr/>
              <c:txPr>
                <a:bodyPr/>
                <a:lstStyle/>
                <a:p>
                  <a:pPr algn="ctr">
                    <a:defRPr sz="900">
                      <a:latin typeface="Times New Roman"/>
                      <a:cs typeface="Times New Roman"/>
                    </a:defRPr>
                  </a:pPr>
                  <a:endParaRPr lang="en-US"/>
                </a:p>
              </c:txPr>
              <c:showLegendKey val="0"/>
              <c:showVal val="0"/>
              <c:showCatName val="1"/>
              <c:showSerName val="0"/>
              <c:showPercent val="1"/>
              <c:showBubbleSize val="0"/>
            </c:dLbl>
            <c:dLbl>
              <c:idx val="3"/>
              <c:layout>
                <c:manualLayout>
                  <c:x val="-0.155825769174686"/>
                  <c:y val="-0.231481481481481"/>
                </c:manualLayout>
              </c:layout>
              <c:spPr/>
              <c:txPr>
                <a:bodyPr/>
                <a:lstStyle/>
                <a:p>
                  <a:pPr algn="ctr">
                    <a:defRPr sz="900">
                      <a:latin typeface="Times New Roman"/>
                      <a:cs typeface="Times New Roman"/>
                    </a:defRPr>
                  </a:pPr>
                  <a:endParaRPr lang="en-US"/>
                </a:p>
              </c:txPr>
              <c:showLegendKey val="0"/>
              <c:showVal val="0"/>
              <c:showCatName val="1"/>
              <c:showSerName val="0"/>
              <c:showPercent val="1"/>
              <c:showBubbleSize val="0"/>
            </c:dLbl>
            <c:dLbl>
              <c:idx val="4"/>
              <c:layout>
                <c:manualLayout>
                  <c:x val="0.0260748396033829"/>
                  <c:y val="0.0339666569456596"/>
                </c:manualLayout>
              </c:layout>
              <c:spPr/>
              <c:txPr>
                <a:bodyPr/>
                <a:lstStyle/>
                <a:p>
                  <a:pPr algn="ctr">
                    <a:defRPr sz="900">
                      <a:latin typeface="Times New Roman"/>
                      <a:cs typeface="Times New Roman"/>
                    </a:defRPr>
                  </a:pPr>
                  <a:endParaRPr lang="en-US"/>
                </a:p>
              </c:txPr>
              <c:showLegendKey val="0"/>
              <c:showVal val="0"/>
              <c:showCatName val="1"/>
              <c:showSerName val="0"/>
              <c:showPercent val="1"/>
              <c:showBubbleSize val="0"/>
            </c:dLbl>
            <c:dLbl>
              <c:idx val="5"/>
              <c:spPr/>
              <c:txPr>
                <a:bodyPr/>
                <a:lstStyle/>
                <a:p>
                  <a:pPr algn="ctr">
                    <a:defRPr sz="900">
                      <a:latin typeface="Times New Roman"/>
                      <a:cs typeface="Times New Roman"/>
                    </a:defRPr>
                  </a:pPr>
                  <a:endParaRPr lang="en-US"/>
                </a:p>
              </c:txPr>
              <c:showLegendKey val="0"/>
              <c:showVal val="0"/>
              <c:showCatName val="1"/>
              <c:showSerName val="0"/>
              <c:showPercent val="1"/>
              <c:showBubbleSize val="0"/>
            </c:dLbl>
            <c:dLbl>
              <c:idx val="6"/>
              <c:spPr/>
              <c:txPr>
                <a:bodyPr/>
                <a:lstStyle/>
                <a:p>
                  <a:pPr algn="ctr">
                    <a:defRPr sz="900">
                      <a:latin typeface="Times New Roman"/>
                      <a:cs typeface="Times New Roman"/>
                    </a:defRPr>
                  </a:pPr>
                  <a:endParaRPr lang="en-US"/>
                </a:p>
              </c:txPr>
              <c:showLegendKey val="0"/>
              <c:showVal val="0"/>
              <c:showCatName val="1"/>
              <c:showSerName val="0"/>
              <c:showPercent val="1"/>
              <c:showBubbleSize val="0"/>
            </c:dLbl>
            <c:dLbl>
              <c:idx val="7"/>
              <c:layout>
                <c:manualLayout>
                  <c:x val="0.214489100320793"/>
                  <c:y val="-0.0264457567804024"/>
                </c:manualLayout>
              </c:layout>
              <c:spPr/>
              <c:txPr>
                <a:bodyPr/>
                <a:lstStyle/>
                <a:p>
                  <a:pPr algn="ctr">
                    <a:defRPr sz="900">
                      <a:latin typeface="Times New Roman"/>
                      <a:cs typeface="Times New Roman"/>
                    </a:defRPr>
                  </a:pPr>
                  <a:endParaRPr lang="en-US"/>
                </a:p>
              </c:txPr>
              <c:showLegendKey val="0"/>
              <c:showVal val="0"/>
              <c:showCatName val="1"/>
              <c:showSerName val="0"/>
              <c:showPercent val="1"/>
              <c:showBubbleSize val="0"/>
            </c:dLbl>
            <c:dLbl>
              <c:idx val="8"/>
              <c:spPr/>
              <c:txPr>
                <a:bodyPr/>
                <a:lstStyle/>
                <a:p>
                  <a:pPr algn="ctr">
                    <a:defRPr sz="900">
                      <a:latin typeface="Times New Roman"/>
                      <a:cs typeface="Times New Roman"/>
                    </a:defRPr>
                  </a:pPr>
                  <a:endParaRPr lang="en-US"/>
                </a:p>
              </c:txPr>
              <c:showLegendKey val="0"/>
              <c:showVal val="0"/>
              <c:showCatName val="1"/>
              <c:showSerName val="0"/>
              <c:showPercent val="1"/>
              <c:showBubbleSize val="0"/>
            </c:dLbl>
            <c:txPr>
              <a:bodyPr/>
              <a:lstStyle/>
              <a:p>
                <a:pPr algn="ctr">
                  <a:defRPr/>
                </a:pPr>
                <a:endParaRPr lang="en-US"/>
              </a:p>
            </c:txPr>
            <c:showLegendKey val="0"/>
            <c:showVal val="0"/>
            <c:showCatName val="1"/>
            <c:showSerName val="0"/>
            <c:showPercent val="1"/>
            <c:showBubbleSize val="0"/>
            <c:showLeaderLines val="1"/>
          </c:dLbls>
          <c:cat>
            <c:strRef>
              <c:f>Sheet1!$A$2:$A$10</c:f>
              <c:strCache>
                <c:ptCount val="9"/>
                <c:pt idx="0">
                  <c:v>Restoring confidence and mobilizing the establishment of good foundation for the country</c:v>
                </c:pt>
                <c:pt idx="1">
                  <c:v>National security</c:v>
                </c:pt>
                <c:pt idx="2">
                  <c:v>Development of economic growth with stability and sustainability</c:v>
                </c:pt>
                <c:pt idx="3">
                  <c:v>Education, health, virtue, ethics and quality of life</c:v>
                </c:pt>
                <c:pt idx="4">
                  <c:v>Management of natural resources and environment</c:v>
                </c:pt>
                <c:pt idx="5">
                  <c:v>Development of science, technology and innovation</c:v>
                </c:pt>
                <c:pt idx="6">
                  <c:v>Management of foreign policy and international economic affairs</c:v>
                </c:pt>
                <c:pt idx="7">
                  <c:v>Management with efficiency and good governance</c:v>
                </c:pt>
                <c:pt idx="8">
                  <c:v>Expenditures on general administration</c:v>
                </c:pt>
              </c:strCache>
            </c:strRef>
          </c:cat>
          <c:val>
            <c:numRef>
              <c:f>Sheet1!$B$2:$B$10</c:f>
              <c:numCache>
                <c:formatCode>General</c:formatCode>
                <c:ptCount val="9"/>
                <c:pt idx="0">
                  <c:v>183806.8</c:v>
                </c:pt>
                <c:pt idx="1">
                  <c:v>222116.9</c:v>
                </c:pt>
                <c:pt idx="2">
                  <c:v>167405.6</c:v>
                </c:pt>
                <c:pt idx="3">
                  <c:v>954151.7</c:v>
                </c:pt>
                <c:pt idx="4">
                  <c:v>133093.5</c:v>
                </c:pt>
                <c:pt idx="5">
                  <c:v>24632.9</c:v>
                </c:pt>
                <c:pt idx="6">
                  <c:v>9367.79999999999</c:v>
                </c:pt>
                <c:pt idx="7">
                  <c:v>352780.8</c:v>
                </c:pt>
                <c:pt idx="8">
                  <c:v>537644.0</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6"/>
    </mc:Choice>
    <mc:Fallback>
      <c:style val="16"/>
    </mc:Fallback>
  </mc:AlternateContent>
  <c:chart>
    <c:autoTitleDeleted val="1"/>
    <c:plotArea>
      <c:layout/>
      <c:barChart>
        <c:barDir val="col"/>
        <c:grouping val="clustered"/>
        <c:varyColors val="0"/>
        <c:ser>
          <c:idx val="0"/>
          <c:order val="0"/>
          <c:tx>
            <c:strRef>
              <c:f>Sheet1!$B$1</c:f>
              <c:strCache>
                <c:ptCount val="1"/>
                <c:pt idx="0">
                  <c:v>health expenditure, public (% government expenditure)</c:v>
                </c:pt>
              </c:strCache>
            </c:strRef>
          </c:tx>
          <c:invertIfNegative val="0"/>
          <c:cat>
            <c:numRef>
              <c:f>Sheet1!$A$2:$A$12</c:f>
              <c:numCache>
                <c:formatCode>General</c:formatCode>
                <c:ptCount val="11"/>
                <c:pt idx="0">
                  <c:v>2003.0</c:v>
                </c:pt>
                <c:pt idx="1">
                  <c:v>2004.0</c:v>
                </c:pt>
                <c:pt idx="2">
                  <c:v>2005.0</c:v>
                </c:pt>
                <c:pt idx="3">
                  <c:v>2006.0</c:v>
                </c:pt>
                <c:pt idx="4">
                  <c:v>2007.0</c:v>
                </c:pt>
                <c:pt idx="5">
                  <c:v>2008.0</c:v>
                </c:pt>
                <c:pt idx="6">
                  <c:v>2009.0</c:v>
                </c:pt>
                <c:pt idx="7">
                  <c:v>2010.0</c:v>
                </c:pt>
                <c:pt idx="8">
                  <c:v>2011.0</c:v>
                </c:pt>
                <c:pt idx="9">
                  <c:v>2012.0</c:v>
                </c:pt>
                <c:pt idx="10">
                  <c:v>2013.0</c:v>
                </c:pt>
              </c:numCache>
            </c:numRef>
          </c:cat>
          <c:val>
            <c:numRef>
              <c:f>Sheet1!$B$2:$B$12</c:f>
              <c:numCache>
                <c:formatCode>General</c:formatCode>
                <c:ptCount val="11"/>
                <c:pt idx="0">
                  <c:v>13.0</c:v>
                </c:pt>
                <c:pt idx="1">
                  <c:v>12.4</c:v>
                </c:pt>
                <c:pt idx="2">
                  <c:v>12.4</c:v>
                </c:pt>
                <c:pt idx="3">
                  <c:v>13.7</c:v>
                </c:pt>
                <c:pt idx="4">
                  <c:v>14.5</c:v>
                </c:pt>
                <c:pt idx="5">
                  <c:v>15.8</c:v>
                </c:pt>
                <c:pt idx="6">
                  <c:v>14.7</c:v>
                </c:pt>
                <c:pt idx="7">
                  <c:v>13.9</c:v>
                </c:pt>
                <c:pt idx="8">
                  <c:v>15.3</c:v>
                </c:pt>
                <c:pt idx="9">
                  <c:v>16.9</c:v>
                </c:pt>
                <c:pt idx="10">
                  <c:v>17.0</c:v>
                </c:pt>
              </c:numCache>
            </c:numRef>
          </c:val>
        </c:ser>
        <c:dLbls>
          <c:showLegendKey val="0"/>
          <c:showVal val="1"/>
          <c:showCatName val="0"/>
          <c:showSerName val="0"/>
          <c:showPercent val="0"/>
          <c:showBubbleSize val="0"/>
        </c:dLbls>
        <c:gapWidth val="75"/>
        <c:axId val="2132189736"/>
        <c:axId val="2100326200"/>
      </c:barChart>
      <c:catAx>
        <c:axId val="2132189736"/>
        <c:scaling>
          <c:orientation val="minMax"/>
        </c:scaling>
        <c:delete val="0"/>
        <c:axPos val="b"/>
        <c:numFmt formatCode="General" sourceLinked="1"/>
        <c:majorTickMark val="none"/>
        <c:minorTickMark val="none"/>
        <c:tickLblPos val="nextTo"/>
        <c:crossAx val="2100326200"/>
        <c:crosses val="autoZero"/>
        <c:auto val="1"/>
        <c:lblAlgn val="ctr"/>
        <c:lblOffset val="100"/>
        <c:noMultiLvlLbl val="0"/>
      </c:catAx>
      <c:valAx>
        <c:axId val="2100326200"/>
        <c:scaling>
          <c:orientation val="minMax"/>
        </c:scaling>
        <c:delete val="0"/>
        <c:axPos val="l"/>
        <c:numFmt formatCode="General" sourceLinked="1"/>
        <c:majorTickMark val="none"/>
        <c:minorTickMark val="none"/>
        <c:tickLblPos val="nextTo"/>
        <c:crossAx val="2132189736"/>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5"/>
    </mc:Choice>
    <mc:Fallback>
      <c:style val="15"/>
    </mc:Fallback>
  </mc:AlternateContent>
  <c:chart>
    <c:autoTitleDeleted val="1"/>
    <c:plotArea>
      <c:layout/>
      <c:barChart>
        <c:barDir val="col"/>
        <c:grouping val="clustered"/>
        <c:varyColors val="0"/>
        <c:ser>
          <c:idx val="0"/>
          <c:order val="0"/>
          <c:tx>
            <c:strRef>
              <c:f>Sheet1!$B$1</c:f>
              <c:strCache>
                <c:ptCount val="1"/>
                <c:pt idx="0">
                  <c:v>Health expenditure, public (% of GDP)</c:v>
                </c:pt>
              </c:strCache>
            </c:strRef>
          </c:tx>
          <c:invertIfNegative val="0"/>
          <c:cat>
            <c:numRef>
              <c:f>Sheet1!$A$2:$A$12</c:f>
              <c:numCache>
                <c:formatCode>General</c:formatCode>
                <c:ptCount val="11"/>
                <c:pt idx="0">
                  <c:v>2003.0</c:v>
                </c:pt>
                <c:pt idx="1">
                  <c:v>2004.0</c:v>
                </c:pt>
                <c:pt idx="2">
                  <c:v>2005.0</c:v>
                </c:pt>
                <c:pt idx="3">
                  <c:v>2006.0</c:v>
                </c:pt>
                <c:pt idx="4">
                  <c:v>2007.0</c:v>
                </c:pt>
                <c:pt idx="5">
                  <c:v>2008.0</c:v>
                </c:pt>
                <c:pt idx="6">
                  <c:v>2009.0</c:v>
                </c:pt>
                <c:pt idx="7">
                  <c:v>2010.0</c:v>
                </c:pt>
                <c:pt idx="8">
                  <c:v>2011.0</c:v>
                </c:pt>
                <c:pt idx="9">
                  <c:v>2012.0</c:v>
                </c:pt>
                <c:pt idx="10">
                  <c:v>2013.0</c:v>
                </c:pt>
              </c:numCache>
            </c:numRef>
          </c:cat>
          <c:val>
            <c:numRef>
              <c:f>Sheet1!$B$2:$B$12</c:f>
              <c:numCache>
                <c:formatCode>General</c:formatCode>
                <c:ptCount val="11"/>
                <c:pt idx="0">
                  <c:v>2.3</c:v>
                </c:pt>
                <c:pt idx="1">
                  <c:v>2.3</c:v>
                </c:pt>
                <c:pt idx="2">
                  <c:v>2.3</c:v>
                </c:pt>
                <c:pt idx="3">
                  <c:v>2.5</c:v>
                </c:pt>
                <c:pt idx="4">
                  <c:v>2.7</c:v>
                </c:pt>
                <c:pt idx="5">
                  <c:v>3.0</c:v>
                </c:pt>
                <c:pt idx="6">
                  <c:v>3.1</c:v>
                </c:pt>
                <c:pt idx="7">
                  <c:v>2.8</c:v>
                </c:pt>
                <c:pt idx="8">
                  <c:v>3.2</c:v>
                </c:pt>
                <c:pt idx="9">
                  <c:v>3.6</c:v>
                </c:pt>
                <c:pt idx="10">
                  <c:v>3.7</c:v>
                </c:pt>
              </c:numCache>
            </c:numRef>
          </c:val>
        </c:ser>
        <c:dLbls>
          <c:showLegendKey val="0"/>
          <c:showVal val="1"/>
          <c:showCatName val="0"/>
          <c:showSerName val="0"/>
          <c:showPercent val="0"/>
          <c:showBubbleSize val="0"/>
        </c:dLbls>
        <c:gapWidth val="75"/>
        <c:axId val="2136829336"/>
        <c:axId val="-2146355608"/>
      </c:barChart>
      <c:catAx>
        <c:axId val="2136829336"/>
        <c:scaling>
          <c:orientation val="minMax"/>
        </c:scaling>
        <c:delete val="0"/>
        <c:axPos val="b"/>
        <c:numFmt formatCode="General" sourceLinked="1"/>
        <c:majorTickMark val="none"/>
        <c:minorTickMark val="none"/>
        <c:tickLblPos val="nextTo"/>
        <c:crossAx val="-2146355608"/>
        <c:crosses val="autoZero"/>
        <c:auto val="1"/>
        <c:lblAlgn val="ctr"/>
        <c:lblOffset val="100"/>
        <c:noMultiLvlLbl val="0"/>
      </c:catAx>
      <c:valAx>
        <c:axId val="-2146355608"/>
        <c:scaling>
          <c:orientation val="minMax"/>
        </c:scaling>
        <c:delete val="0"/>
        <c:axPos val="l"/>
        <c:numFmt formatCode="General" sourceLinked="1"/>
        <c:majorTickMark val="none"/>
        <c:minorTickMark val="none"/>
        <c:tickLblPos val="nextTo"/>
        <c:crossAx val="2136829336"/>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hart>
    <c:title>
      <c:tx>
        <c:rich>
          <a:bodyPr/>
          <a:lstStyle/>
          <a:p>
            <a:pPr>
              <a:defRPr/>
            </a:pPr>
            <a:r>
              <a:rPr lang="en-US"/>
              <a:t>Mortality rate, adult (per 1,000 live birth)</a:t>
            </a:r>
          </a:p>
        </c:rich>
      </c:tx>
      <c:layout/>
      <c:overlay val="0"/>
    </c:title>
    <c:autoTitleDeleted val="0"/>
    <c:plotArea>
      <c:layout/>
      <c:lineChart>
        <c:grouping val="standard"/>
        <c:varyColors val="0"/>
        <c:ser>
          <c:idx val="0"/>
          <c:order val="0"/>
          <c:tx>
            <c:strRef>
              <c:f>Sheet1!$B$1</c:f>
              <c:strCache>
                <c:ptCount val="1"/>
                <c:pt idx="0">
                  <c:v>male</c:v>
                </c:pt>
              </c:strCache>
            </c:strRef>
          </c:tx>
          <c:cat>
            <c:numRef>
              <c:f>Sheet1!$A$2:$A$12</c:f>
              <c:numCache>
                <c:formatCode>General</c:formatCode>
                <c:ptCount val="11"/>
                <c:pt idx="0">
                  <c:v>2003.0</c:v>
                </c:pt>
                <c:pt idx="1">
                  <c:v>2004.0</c:v>
                </c:pt>
                <c:pt idx="2">
                  <c:v>2005.0</c:v>
                </c:pt>
                <c:pt idx="3">
                  <c:v>2006.0</c:v>
                </c:pt>
                <c:pt idx="4">
                  <c:v>2007.0</c:v>
                </c:pt>
                <c:pt idx="5">
                  <c:v>2008.0</c:v>
                </c:pt>
                <c:pt idx="6">
                  <c:v>2009.0</c:v>
                </c:pt>
                <c:pt idx="7">
                  <c:v>2010.0</c:v>
                </c:pt>
                <c:pt idx="8">
                  <c:v>2011.0</c:v>
                </c:pt>
                <c:pt idx="9">
                  <c:v>2012.0</c:v>
                </c:pt>
                <c:pt idx="10">
                  <c:v>2013.0</c:v>
                </c:pt>
              </c:numCache>
            </c:numRef>
          </c:cat>
          <c:val>
            <c:numRef>
              <c:f>Sheet1!$B$2:$B$12</c:f>
              <c:numCache>
                <c:formatCode>General</c:formatCode>
                <c:ptCount val="11"/>
                <c:pt idx="0">
                  <c:v>247.0</c:v>
                </c:pt>
                <c:pt idx="1">
                  <c:v>240.0</c:v>
                </c:pt>
                <c:pt idx="2">
                  <c:v>234.0</c:v>
                </c:pt>
                <c:pt idx="3">
                  <c:v>228.0</c:v>
                </c:pt>
                <c:pt idx="4">
                  <c:v>222.0</c:v>
                </c:pt>
                <c:pt idx="5">
                  <c:v>220.0</c:v>
                </c:pt>
                <c:pt idx="6">
                  <c:v>218.0</c:v>
                </c:pt>
                <c:pt idx="7">
                  <c:v>216.0</c:v>
                </c:pt>
                <c:pt idx="8">
                  <c:v>213.0</c:v>
                </c:pt>
                <c:pt idx="9">
                  <c:v>211.0</c:v>
                </c:pt>
                <c:pt idx="10">
                  <c:v>201.0</c:v>
                </c:pt>
              </c:numCache>
            </c:numRef>
          </c:val>
          <c:smooth val="0"/>
        </c:ser>
        <c:ser>
          <c:idx val="1"/>
          <c:order val="1"/>
          <c:tx>
            <c:strRef>
              <c:f>Sheet1!$C$1</c:f>
              <c:strCache>
                <c:ptCount val="1"/>
                <c:pt idx="0">
                  <c:v>female</c:v>
                </c:pt>
              </c:strCache>
            </c:strRef>
          </c:tx>
          <c:cat>
            <c:numRef>
              <c:f>Sheet1!$A$2:$A$12</c:f>
              <c:numCache>
                <c:formatCode>General</c:formatCode>
                <c:ptCount val="11"/>
                <c:pt idx="0">
                  <c:v>2003.0</c:v>
                </c:pt>
                <c:pt idx="1">
                  <c:v>2004.0</c:v>
                </c:pt>
                <c:pt idx="2">
                  <c:v>2005.0</c:v>
                </c:pt>
                <c:pt idx="3">
                  <c:v>2006.0</c:v>
                </c:pt>
                <c:pt idx="4">
                  <c:v>2007.0</c:v>
                </c:pt>
                <c:pt idx="5">
                  <c:v>2008.0</c:v>
                </c:pt>
                <c:pt idx="6">
                  <c:v>2009.0</c:v>
                </c:pt>
                <c:pt idx="7">
                  <c:v>2010.0</c:v>
                </c:pt>
                <c:pt idx="8">
                  <c:v>2011.0</c:v>
                </c:pt>
                <c:pt idx="9">
                  <c:v>2012.0</c:v>
                </c:pt>
                <c:pt idx="10">
                  <c:v>2013.0</c:v>
                </c:pt>
              </c:numCache>
            </c:numRef>
          </c:cat>
          <c:val>
            <c:numRef>
              <c:f>Sheet1!$C$2:$C$12</c:f>
              <c:numCache>
                <c:formatCode>General</c:formatCode>
                <c:ptCount val="11"/>
                <c:pt idx="0">
                  <c:v>133.0</c:v>
                </c:pt>
                <c:pt idx="1">
                  <c:v>129.0</c:v>
                </c:pt>
                <c:pt idx="2">
                  <c:v>124.0</c:v>
                </c:pt>
                <c:pt idx="3">
                  <c:v>120.0</c:v>
                </c:pt>
                <c:pt idx="4">
                  <c:v>116.0</c:v>
                </c:pt>
                <c:pt idx="5">
                  <c:v>114.0</c:v>
                </c:pt>
                <c:pt idx="6">
                  <c:v>113.0</c:v>
                </c:pt>
                <c:pt idx="7">
                  <c:v>111.0</c:v>
                </c:pt>
                <c:pt idx="8">
                  <c:v>110.0</c:v>
                </c:pt>
                <c:pt idx="9">
                  <c:v>108.0</c:v>
                </c:pt>
                <c:pt idx="10">
                  <c:v>107.0</c:v>
                </c:pt>
              </c:numCache>
            </c:numRef>
          </c:val>
          <c:smooth val="0"/>
        </c:ser>
        <c:dLbls>
          <c:dLblPos val="ctr"/>
          <c:showLegendKey val="0"/>
          <c:showVal val="0"/>
          <c:showCatName val="0"/>
          <c:showSerName val="0"/>
          <c:showPercent val="0"/>
          <c:showBubbleSize val="0"/>
        </c:dLbls>
        <c:marker val="1"/>
        <c:smooth val="0"/>
        <c:axId val="-2143120408"/>
        <c:axId val="2137217192"/>
      </c:lineChart>
      <c:catAx>
        <c:axId val="-2143120408"/>
        <c:scaling>
          <c:orientation val="minMax"/>
        </c:scaling>
        <c:delete val="0"/>
        <c:axPos val="b"/>
        <c:numFmt formatCode="General" sourceLinked="1"/>
        <c:majorTickMark val="none"/>
        <c:minorTickMark val="none"/>
        <c:tickLblPos val="nextTo"/>
        <c:crossAx val="2137217192"/>
        <c:crosses val="autoZero"/>
        <c:auto val="1"/>
        <c:lblAlgn val="ctr"/>
        <c:lblOffset val="100"/>
        <c:noMultiLvlLbl val="0"/>
      </c:catAx>
      <c:valAx>
        <c:axId val="2137217192"/>
        <c:scaling>
          <c:orientation val="minMax"/>
        </c:scaling>
        <c:delete val="0"/>
        <c:axPos val="l"/>
        <c:majorGridlines/>
        <c:title>
          <c:layout/>
          <c:overlay val="0"/>
        </c:title>
        <c:numFmt formatCode="General" sourceLinked="1"/>
        <c:majorTickMark val="none"/>
        <c:minorTickMark val="none"/>
        <c:tickLblPos val="nextTo"/>
        <c:crossAx val="-214312040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7"/>
    </mc:Choice>
    <mc:Fallback>
      <c:style val="37"/>
    </mc:Fallback>
  </mc:AlternateContent>
  <c:chart>
    <c:autoTitleDeleted val="1"/>
    <c:plotArea>
      <c:layout/>
      <c:lineChart>
        <c:grouping val="standard"/>
        <c:varyColors val="0"/>
        <c:ser>
          <c:idx val="0"/>
          <c:order val="0"/>
          <c:tx>
            <c:strRef>
              <c:f>Sheet1!$B$1</c:f>
              <c:strCache>
                <c:ptCount val="1"/>
                <c:pt idx="0">
                  <c:v>_x000d_Mortality rate, infant (per 1,000 live birth)</c:v>
                </c:pt>
              </c:strCache>
            </c:strRef>
          </c:tx>
          <c:cat>
            <c:numRef>
              <c:f>Sheet1!$A$2:$A$12</c:f>
              <c:numCache>
                <c:formatCode>General</c:formatCode>
                <c:ptCount val="11"/>
                <c:pt idx="0">
                  <c:v>2003.0</c:v>
                </c:pt>
                <c:pt idx="1">
                  <c:v>2004.0</c:v>
                </c:pt>
                <c:pt idx="2">
                  <c:v>2005.0</c:v>
                </c:pt>
                <c:pt idx="3">
                  <c:v>2006.0</c:v>
                </c:pt>
                <c:pt idx="4">
                  <c:v>2007.0</c:v>
                </c:pt>
                <c:pt idx="5">
                  <c:v>2008.0</c:v>
                </c:pt>
                <c:pt idx="6">
                  <c:v>2009.0</c:v>
                </c:pt>
                <c:pt idx="7">
                  <c:v>2010.0</c:v>
                </c:pt>
                <c:pt idx="8">
                  <c:v>2011.0</c:v>
                </c:pt>
                <c:pt idx="9">
                  <c:v>2012.0</c:v>
                </c:pt>
                <c:pt idx="10">
                  <c:v>2013.0</c:v>
                </c:pt>
              </c:numCache>
            </c:numRef>
          </c:cat>
          <c:val>
            <c:numRef>
              <c:f>Sheet1!$B$2:$B$12</c:f>
              <c:numCache>
                <c:formatCode>General</c:formatCode>
                <c:ptCount val="11"/>
                <c:pt idx="0">
                  <c:v>17.0</c:v>
                </c:pt>
                <c:pt idx="1">
                  <c:v>16.0</c:v>
                </c:pt>
                <c:pt idx="2">
                  <c:v>15.0</c:v>
                </c:pt>
                <c:pt idx="3">
                  <c:v>15.0</c:v>
                </c:pt>
                <c:pt idx="4">
                  <c:v>14.0</c:v>
                </c:pt>
                <c:pt idx="5">
                  <c:v>13.0</c:v>
                </c:pt>
                <c:pt idx="6">
                  <c:v>13.0</c:v>
                </c:pt>
                <c:pt idx="7">
                  <c:v>13.0</c:v>
                </c:pt>
                <c:pt idx="8">
                  <c:v>12.0</c:v>
                </c:pt>
                <c:pt idx="9">
                  <c:v>12.0</c:v>
                </c:pt>
                <c:pt idx="10">
                  <c:v>11.0</c:v>
                </c:pt>
              </c:numCache>
            </c:numRef>
          </c:val>
          <c:smooth val="0"/>
        </c:ser>
        <c:dLbls>
          <c:dLblPos val="ctr"/>
          <c:showLegendKey val="0"/>
          <c:showVal val="0"/>
          <c:showCatName val="0"/>
          <c:showSerName val="0"/>
          <c:showPercent val="0"/>
          <c:showBubbleSize val="0"/>
        </c:dLbls>
        <c:marker val="1"/>
        <c:smooth val="0"/>
        <c:axId val="-2114849672"/>
        <c:axId val="-2118480168"/>
      </c:lineChart>
      <c:catAx>
        <c:axId val="-2114849672"/>
        <c:scaling>
          <c:orientation val="minMax"/>
        </c:scaling>
        <c:delete val="0"/>
        <c:axPos val="b"/>
        <c:numFmt formatCode="General" sourceLinked="1"/>
        <c:majorTickMark val="none"/>
        <c:minorTickMark val="none"/>
        <c:tickLblPos val="nextTo"/>
        <c:crossAx val="-2118480168"/>
        <c:crosses val="autoZero"/>
        <c:auto val="1"/>
        <c:lblAlgn val="ctr"/>
        <c:lblOffset val="100"/>
        <c:noMultiLvlLbl val="0"/>
      </c:catAx>
      <c:valAx>
        <c:axId val="-2118480168"/>
        <c:scaling>
          <c:orientation val="minMax"/>
        </c:scaling>
        <c:delete val="0"/>
        <c:axPos val="l"/>
        <c:numFmt formatCode="General" sourceLinked="1"/>
        <c:majorTickMark val="none"/>
        <c:minorTickMark val="none"/>
        <c:tickLblPos val="nextTo"/>
        <c:crossAx val="-2114849672"/>
        <c:crosses val="autoZero"/>
        <c:crossBetween val="between"/>
      </c:valAx>
    </c:plotArea>
    <c:legend>
      <c:legendPos val="b"/>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1911</Words>
  <Characters>10896</Characters>
  <Application>Microsoft Macintosh Word</Application>
  <DocSecurity>0</DocSecurity>
  <Lines>90</Lines>
  <Paragraphs>25</Paragraphs>
  <ScaleCrop>false</ScaleCrop>
  <Company/>
  <LinksUpToDate>false</LinksUpToDate>
  <CharactersWithSpaces>12782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Pruthaporn</dc:creator>
  <cp:keywords/>
  <dc:description/>
  <cp:lastModifiedBy>Pruthaporn</cp:lastModifiedBy>
  <cp:revision>3</cp:revision>
  <cp:lastPrinted>2016-01-04T23:34:00Z</cp:lastPrinted>
  <dcterms:created xsi:type="dcterms:W3CDTF">2016-01-05T02:27:00Z</dcterms:created>
  <dcterms:modified xsi:type="dcterms:W3CDTF">2016-01-05T02:30:00Z</dcterms:modified>
</cp:coreProperties>
</file>