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388" w:rsidRPr="002D7B7A" w:rsidRDefault="00795688" w:rsidP="002D7B7A">
      <w:pPr>
        <w:jc w:val="both"/>
        <w:rPr>
          <w:rFonts w:ascii="Times New Roman" w:hAnsi="Times New Roman" w:cs="Times New Roman"/>
          <w:b/>
        </w:rPr>
      </w:pPr>
      <w:r w:rsidRPr="002D7B7A">
        <w:rPr>
          <w:rFonts w:ascii="Times New Roman" w:hAnsi="Times New Roman" w:cs="Times New Roman"/>
          <w:b/>
        </w:rPr>
        <w:t xml:space="preserve">1.) Why do corporations sell </w:t>
      </w:r>
      <w:proofErr w:type="gramStart"/>
      <w:r w:rsidRPr="002D7B7A">
        <w:rPr>
          <w:rFonts w:ascii="Times New Roman" w:hAnsi="Times New Roman" w:cs="Times New Roman"/>
          <w:b/>
        </w:rPr>
        <w:t>bonds ?</w:t>
      </w:r>
      <w:bookmarkStart w:id="0" w:name="_GoBack"/>
      <w:proofErr w:type="gramEnd"/>
    </w:p>
    <w:bookmarkEnd w:id="0"/>
    <w:p w:rsidR="002D7B7A" w:rsidRPr="002D7B7A" w:rsidRDefault="00795688" w:rsidP="002D7B7A">
      <w:pPr>
        <w:jc w:val="both"/>
        <w:rPr>
          <w:rFonts w:ascii="Times New Roman" w:hAnsi="Times New Roman" w:cs="Times New Roman"/>
        </w:rPr>
      </w:pPr>
      <w:r w:rsidRPr="002D7B7A">
        <w:rPr>
          <w:rFonts w:ascii="Times New Roman" w:hAnsi="Times New Roman" w:cs="Times New Roman"/>
        </w:rPr>
        <w:tab/>
      </w:r>
    </w:p>
    <w:p w:rsidR="00795688" w:rsidRPr="002D7B7A" w:rsidRDefault="00795688" w:rsidP="002D7B7A">
      <w:pPr>
        <w:ind w:firstLine="720"/>
        <w:jc w:val="both"/>
        <w:rPr>
          <w:rFonts w:ascii="Times New Roman" w:hAnsi="Times New Roman" w:cs="Times New Roman"/>
        </w:rPr>
      </w:pPr>
      <w:r w:rsidRPr="002D7B7A">
        <w:rPr>
          <w:rFonts w:ascii="Times New Roman" w:hAnsi="Times New Roman" w:cs="Times New Roman"/>
        </w:rPr>
        <w:t xml:space="preserve"> When companies need to raise money, issuing bonds is one way to do it. A bond functions like a loan between an investor and a corporation. The investor agrees to give the corporation a specific amount of money for a specific period of time in exchange for periodic interest payments at designated intervals. When the loan reaches its maturity date, the investor’s loan is repaid. Issuing bonds also gives companies significantly greater fre</w:t>
      </w:r>
      <w:r w:rsidR="002D7B7A" w:rsidRPr="002D7B7A">
        <w:rPr>
          <w:rFonts w:ascii="Times New Roman" w:hAnsi="Times New Roman" w:cs="Times New Roman"/>
        </w:rPr>
        <w:t xml:space="preserve">edom to operate more than bank loan </w:t>
      </w:r>
      <w:r w:rsidRPr="002D7B7A">
        <w:rPr>
          <w:rFonts w:ascii="Times New Roman" w:hAnsi="Times New Roman" w:cs="Times New Roman"/>
        </w:rPr>
        <w:t xml:space="preserve">restrictions that </w:t>
      </w:r>
      <w:r w:rsidR="002D7B7A" w:rsidRPr="002D7B7A">
        <w:rPr>
          <w:rFonts w:ascii="Times New Roman" w:hAnsi="Times New Roman" w:cs="Times New Roman"/>
        </w:rPr>
        <w:t>are often attached</w:t>
      </w:r>
      <w:r w:rsidRPr="002D7B7A">
        <w:rPr>
          <w:rFonts w:ascii="Times New Roman" w:hAnsi="Times New Roman" w:cs="Times New Roman"/>
        </w:rPr>
        <w:t>. Consider, for example, that lenders often require companies to agree to a variety of limitations, such as not issuing more debt or not making corporate acquisitions, until their loans are repaid in full. Such restrictions can hamper a company’s ability to do business and limit its operational options. Issuing bonds enables companies to raise money with no such strings attached. With bonds, companies that need to raise money can continue to issue new bonds as long as they can find investors willing to act as lenders. The issuance of new bonds has no effect on ownership of the company or how the company is operated not like issuing stock that effect ownership of the company.</w:t>
      </w:r>
    </w:p>
    <w:p w:rsidR="00795688" w:rsidRPr="002D7B7A" w:rsidRDefault="00795688" w:rsidP="002D7B7A">
      <w:pPr>
        <w:jc w:val="both"/>
        <w:rPr>
          <w:rFonts w:ascii="Times New Roman" w:hAnsi="Times New Roman" w:cs="Times New Roman"/>
          <w:outline/>
          <w:color w:val="0E0E0E"/>
          <w14:textOutline w14:w="9525" w14:cap="flat" w14:cmpd="sng" w14:algn="ctr">
            <w14:solidFill>
              <w14:srgbClr w14:val="0E0E0E"/>
            </w14:solidFill>
            <w14:prstDash w14:val="solid"/>
            <w14:round/>
          </w14:textOutline>
          <w14:textFill>
            <w14:noFill/>
          </w14:textFill>
        </w:rPr>
      </w:pPr>
    </w:p>
    <w:p w:rsidR="00795688" w:rsidRPr="002D7B7A" w:rsidRDefault="002D7B7A" w:rsidP="002D7B7A">
      <w:pPr>
        <w:jc w:val="both"/>
        <w:rPr>
          <w:rFonts w:ascii="Times New Roman" w:hAnsi="Times New Roman" w:cs="Times New Roman"/>
          <w:b/>
          <w:outline/>
          <w:color w:val="0E0E0E"/>
          <w14:textOutline w14:w="9525" w14:cap="flat" w14:cmpd="sng" w14:algn="ctr">
            <w14:solidFill>
              <w14:srgbClr w14:val="0E0E0E"/>
            </w14:solidFill>
            <w14:prstDash w14:val="solid"/>
            <w14:round/>
          </w14:textOutline>
          <w14:textFill>
            <w14:noFill/>
          </w14:textFill>
        </w:rPr>
      </w:pPr>
      <w:r w:rsidRPr="002D7B7A">
        <w:rPr>
          <w:rFonts w:ascii="Times New Roman" w:hAnsi="Times New Roman" w:cs="Times New Roman"/>
          <w:b/>
          <w:outline/>
          <w:color w:val="0E0E0E"/>
          <w14:textOutline w14:w="9525" w14:cap="flat" w14:cmpd="sng" w14:algn="ctr">
            <w14:solidFill>
              <w14:srgbClr w14:val="0E0E0E"/>
            </w14:solidFill>
            <w14:prstDash w14:val="solid"/>
            <w14:round/>
          </w14:textOutline>
          <w14:textFill>
            <w14:noFill/>
          </w14:textFill>
        </w:rPr>
        <w:t xml:space="preserve"> </w:t>
      </w:r>
      <w:r w:rsidRPr="002D7B7A">
        <w:rPr>
          <w:rFonts w:ascii="Times New Roman" w:hAnsi="Times New Roman" w:cs="Times New Roman"/>
          <w:b/>
        </w:rPr>
        <w:t>2.)</w:t>
      </w:r>
      <w:r w:rsidRPr="002D7B7A">
        <w:rPr>
          <w:rFonts w:ascii="Times New Roman" w:hAnsi="Times New Roman" w:cs="Times New Roman"/>
          <w:b/>
        </w:rPr>
        <w:t xml:space="preserve"> </w:t>
      </w:r>
      <w:proofErr w:type="gramStart"/>
      <w:r w:rsidR="00795688" w:rsidRPr="002D7B7A">
        <w:rPr>
          <w:rFonts w:ascii="Times New Roman" w:hAnsi="Times New Roman" w:cs="Times New Roman"/>
          <w:b/>
        </w:rPr>
        <w:t>What</w:t>
      </w:r>
      <w:proofErr w:type="gramEnd"/>
      <w:r w:rsidR="00795688" w:rsidRPr="002D7B7A">
        <w:rPr>
          <w:rFonts w:ascii="Times New Roman" w:hAnsi="Times New Roman" w:cs="Times New Roman"/>
          <w:b/>
        </w:rPr>
        <w:t xml:space="preserve"> are the differences among a debenture, a mortgage bond, and a subordinated debenture?</w:t>
      </w:r>
      <w:r w:rsidRPr="002D7B7A">
        <w:rPr>
          <w:rFonts w:ascii="Times New Roman" w:hAnsi="Times New Roman" w:cs="Times New Roman"/>
          <w:b/>
        </w:rPr>
        <w:t xml:space="preserve"> </w:t>
      </w:r>
    </w:p>
    <w:p w:rsidR="002D7B7A" w:rsidRPr="002D7B7A" w:rsidRDefault="00795688" w:rsidP="002D7B7A">
      <w:pPr>
        <w:jc w:val="both"/>
        <w:rPr>
          <w:rFonts w:ascii="Times New Roman" w:hAnsi="Times New Roman" w:cs="Times New Roman"/>
        </w:rPr>
      </w:pPr>
      <w:r w:rsidRPr="002D7B7A">
        <w:rPr>
          <w:rFonts w:ascii="Times New Roman" w:hAnsi="Times New Roman" w:cs="Times New Roman"/>
        </w:rPr>
        <w:tab/>
      </w:r>
    </w:p>
    <w:p w:rsidR="00795688" w:rsidRPr="002D7B7A" w:rsidRDefault="00795688" w:rsidP="002D7B7A">
      <w:pPr>
        <w:ind w:firstLine="720"/>
        <w:jc w:val="both"/>
        <w:rPr>
          <w:rFonts w:ascii="Times New Roman" w:hAnsi="Times New Roman" w:cs="Times New Roman"/>
        </w:rPr>
      </w:pPr>
      <w:r w:rsidRPr="002D7B7A">
        <w:rPr>
          <w:rFonts w:ascii="Times New Roman" w:hAnsi="Times New Roman" w:cs="Times New Roman"/>
        </w:rPr>
        <w:t xml:space="preserve">Debentures have a more specific purpose than bonds. Both can be used to raise capital, but debentures are typically issued to raise short-term capital for upcoming expenses or to pay for expansions. Sometimes called revenue bonds because they </w:t>
      </w:r>
      <w:proofErr w:type="gramStart"/>
      <w:r w:rsidRPr="002D7B7A">
        <w:rPr>
          <w:rFonts w:ascii="Times New Roman" w:hAnsi="Times New Roman" w:cs="Times New Roman"/>
        </w:rPr>
        <w:t>may be expected to be paid</w:t>
      </w:r>
      <w:proofErr w:type="gramEnd"/>
      <w:r w:rsidRPr="002D7B7A">
        <w:rPr>
          <w:rFonts w:ascii="Times New Roman" w:hAnsi="Times New Roman" w:cs="Times New Roman"/>
        </w:rPr>
        <w:t xml:space="preserve"> for out of the proceeds of a new business project, debentures are never asset-backed (they are not secured by any collateral) and are only backed by the credit of the issuer.</w:t>
      </w:r>
    </w:p>
    <w:p w:rsidR="00795688" w:rsidRPr="002D7B7A" w:rsidRDefault="00795688" w:rsidP="002D7B7A">
      <w:pPr>
        <w:jc w:val="both"/>
        <w:rPr>
          <w:rFonts w:ascii="Times New Roman" w:hAnsi="Times New Roman" w:cs="Times New Roman"/>
        </w:rPr>
      </w:pPr>
      <w:r w:rsidRPr="002D7B7A">
        <w:rPr>
          <w:rFonts w:ascii="Times New Roman" w:hAnsi="Times New Roman" w:cs="Times New Roman"/>
        </w:rPr>
        <w:tab/>
        <w:t xml:space="preserve">A mortgage bond is a bond secured by a mortgage on one or more assets. These bonds are typically backed by real estate holdings and/or real property such as equipment. In a default situation, mortgage bondholders have a claim to the underlying property and could sell it off to compensate for the default. </w:t>
      </w:r>
    </w:p>
    <w:p w:rsidR="007B4D9A" w:rsidRPr="002D7B7A" w:rsidRDefault="00795688" w:rsidP="002D7B7A">
      <w:pPr>
        <w:jc w:val="both"/>
        <w:rPr>
          <w:rFonts w:ascii="Times New Roman" w:hAnsi="Times New Roman" w:cs="Times New Roman"/>
        </w:rPr>
      </w:pPr>
      <w:r w:rsidRPr="002D7B7A">
        <w:rPr>
          <w:rFonts w:ascii="Times New Roman" w:hAnsi="Times New Roman" w:cs="Times New Roman"/>
          <w:outline/>
          <w:color w:val="0E0E0E"/>
          <w14:textOutline w14:w="9525" w14:cap="flat" w14:cmpd="sng" w14:algn="ctr">
            <w14:solidFill>
              <w14:srgbClr w14:val="0E0E0E"/>
            </w14:solidFill>
            <w14:prstDash w14:val="solid"/>
            <w14:round/>
          </w14:textOutline>
          <w14:textFill>
            <w14:noFill/>
          </w14:textFill>
        </w:rPr>
        <w:tab/>
      </w:r>
      <w:r w:rsidR="007B4D9A" w:rsidRPr="002D7B7A">
        <w:rPr>
          <w:rFonts w:ascii="Times New Roman" w:hAnsi="Times New Roman" w:cs="Times New Roman"/>
        </w:rPr>
        <w:t xml:space="preserve">Subordinated debenture (also known as subordinated loan, subordinated bond, subordinated debt or junior debt) is </w:t>
      </w:r>
      <w:proofErr w:type="gramStart"/>
      <w:r w:rsidR="007B4D9A" w:rsidRPr="002D7B7A">
        <w:rPr>
          <w:rFonts w:ascii="Times New Roman" w:hAnsi="Times New Roman" w:cs="Times New Roman"/>
        </w:rPr>
        <w:t>debt which</w:t>
      </w:r>
      <w:proofErr w:type="gramEnd"/>
      <w:r w:rsidR="007B4D9A" w:rsidRPr="002D7B7A">
        <w:rPr>
          <w:rFonts w:ascii="Times New Roman" w:hAnsi="Times New Roman" w:cs="Times New Roman"/>
        </w:rPr>
        <w:t xml:space="preserve"> ranks after other debts should a company fall into receivership or be closed. Such debt is referred to as subordinate, because the debt providers (the lenders) have subordinate status in relationship to the normal debt.</w:t>
      </w:r>
    </w:p>
    <w:p w:rsidR="00795688" w:rsidRPr="002D7B7A" w:rsidRDefault="007B4D9A" w:rsidP="002D7B7A">
      <w:pPr>
        <w:jc w:val="both"/>
        <w:rPr>
          <w:rFonts w:ascii="Times New Roman" w:hAnsi="Times New Roman" w:cs="Times New Roman"/>
          <w:outline/>
          <w14:textOutline w14:w="9525" w14:cap="flat" w14:cmpd="sng" w14:algn="ctr">
            <w14:solidFill>
              <w14:srgbClr w14:val="000000"/>
            </w14:solidFill>
            <w14:prstDash w14:val="solid"/>
            <w14:round/>
          </w14:textOutline>
          <w14:textFill>
            <w14:noFill/>
          </w14:textFill>
        </w:rPr>
      </w:pPr>
      <w:r w:rsidRPr="002D7B7A">
        <w:rPr>
          <w:rFonts w:ascii="Times New Roman" w:hAnsi="Times New Roman" w:cs="Times New Roman"/>
        </w:rPr>
        <w:t>Subordinated debenture has a lower priority than other bonds of the issuer in case of liquidation during bankruptcy, below the liquidator, government tax authorities and senior debt holders in the hierarchy of creditors. Because subordinated debenture is repayable after other debts have been paid, they are more risky for the lender of the money.</w:t>
      </w:r>
    </w:p>
    <w:p w:rsidR="00795688" w:rsidRPr="002D7B7A" w:rsidRDefault="00795688" w:rsidP="002D7B7A">
      <w:pPr>
        <w:jc w:val="both"/>
        <w:rPr>
          <w:rFonts w:ascii="Times New Roman" w:hAnsi="Times New Roman" w:cs="Times New Roman"/>
          <w:outline/>
          <w14:textOutline w14:w="9525" w14:cap="flat" w14:cmpd="sng" w14:algn="ctr">
            <w14:solidFill>
              <w14:srgbClr w14:val="000000"/>
            </w14:solidFill>
            <w14:prstDash w14:val="solid"/>
            <w14:round/>
          </w14:textOutline>
          <w14:textFill>
            <w14:noFill/>
          </w14:textFill>
        </w:rPr>
      </w:pPr>
    </w:p>
    <w:p w:rsidR="007B4D9A" w:rsidRPr="002D7B7A" w:rsidRDefault="002D7B7A" w:rsidP="002D7B7A">
      <w:pPr>
        <w:jc w:val="both"/>
        <w:rPr>
          <w:rFonts w:ascii="Times New Roman" w:hAnsi="Times New Roman" w:cs="Times New Roman"/>
          <w:b/>
        </w:rPr>
      </w:pPr>
      <w:r w:rsidRPr="002D7B7A">
        <w:rPr>
          <w:rFonts w:ascii="Times New Roman" w:hAnsi="Times New Roman" w:cs="Times New Roman"/>
          <w:b/>
        </w:rPr>
        <w:t xml:space="preserve">3.) </w:t>
      </w:r>
      <w:proofErr w:type="gramStart"/>
      <w:r w:rsidRPr="002D7B7A">
        <w:rPr>
          <w:rFonts w:ascii="Times New Roman" w:hAnsi="Times New Roman" w:cs="Times New Roman"/>
          <w:b/>
        </w:rPr>
        <w:t>W</w:t>
      </w:r>
      <w:r w:rsidR="007B4D9A" w:rsidRPr="002D7B7A">
        <w:rPr>
          <w:rFonts w:ascii="Times New Roman" w:hAnsi="Times New Roman" w:cs="Times New Roman"/>
          <w:b/>
        </w:rPr>
        <w:t>hy</w:t>
      </w:r>
      <w:proofErr w:type="gramEnd"/>
      <w:r w:rsidR="007B4D9A" w:rsidRPr="002D7B7A">
        <w:rPr>
          <w:rFonts w:ascii="Times New Roman" w:hAnsi="Times New Roman" w:cs="Times New Roman"/>
          <w:b/>
        </w:rPr>
        <w:t xml:space="preserve"> would an investor purchase a convertible bond or a high-yield bond?</w:t>
      </w:r>
    </w:p>
    <w:p w:rsidR="002D7B7A" w:rsidRPr="002D7B7A" w:rsidRDefault="007B4D9A" w:rsidP="002D7B7A">
      <w:pPr>
        <w:jc w:val="both"/>
        <w:rPr>
          <w:rFonts w:ascii="Times New Roman" w:hAnsi="Times New Roman" w:cs="Times New Roman"/>
        </w:rPr>
      </w:pPr>
      <w:r w:rsidRPr="002D7B7A">
        <w:rPr>
          <w:rFonts w:ascii="Times New Roman" w:hAnsi="Times New Roman" w:cs="Times New Roman"/>
        </w:rPr>
        <w:tab/>
      </w:r>
    </w:p>
    <w:p w:rsidR="007B4D9A" w:rsidRPr="002D7B7A" w:rsidRDefault="007B4D9A" w:rsidP="002D7B7A">
      <w:pPr>
        <w:ind w:firstLine="720"/>
        <w:jc w:val="both"/>
        <w:rPr>
          <w:rFonts w:ascii="Times New Roman" w:hAnsi="Times New Roman" w:cs="Times New Roman"/>
        </w:rPr>
      </w:pPr>
      <w:r w:rsidRPr="002D7B7A">
        <w:rPr>
          <w:rFonts w:ascii="Times New Roman" w:hAnsi="Times New Roman" w:cs="Times New Roman"/>
        </w:rPr>
        <w:t xml:space="preserve">A convertible bondholder can trade the bond for equity and achieve potentially high dividends should the company be performing well at the time of trade. If the company is not performing as well as desired, the bondholder has the security of a bond and the option of cashing in the bond at the maturity date. The value of a convertible bond cannot fall any lower than the price at which the yield would be on par with that of a nonconvertible bond of the same period. Convertible bonds offer </w:t>
      </w:r>
      <w:r w:rsidRPr="002D7B7A">
        <w:rPr>
          <w:rFonts w:ascii="Times New Roman" w:hAnsi="Times New Roman" w:cs="Times New Roman"/>
        </w:rPr>
        <w:lastRenderedPageBreak/>
        <w:t>safety in a bear market and allow investors to convert to equity when the stock increases in value.</w:t>
      </w:r>
    </w:p>
    <w:p w:rsidR="00C356A4" w:rsidRPr="002D7B7A" w:rsidRDefault="002D7B7A" w:rsidP="002D7B7A">
      <w:pPr>
        <w:jc w:val="both"/>
        <w:rPr>
          <w:rFonts w:ascii="Times New Roman" w:hAnsi="Times New Roman" w:cs="Times New Roman"/>
        </w:rPr>
      </w:pPr>
      <w:r>
        <w:rPr>
          <w:rFonts w:ascii="Times New Roman" w:hAnsi="Times New Roman" w:cs="Times New Roman"/>
          <w14:textOutline w14:w="9525" w14:cap="flat" w14:cmpd="sng" w14:algn="ctr">
            <w14:solidFill>
              <w14:srgbClr w14:val="000000"/>
            </w14:solidFill>
            <w14:prstDash w14:val="solid"/>
            <w14:round/>
          </w14:textOutline>
        </w:rPr>
        <w:tab/>
      </w:r>
      <w:r>
        <w:rPr>
          <w:rFonts w:ascii="Times New Roman" w:hAnsi="Times New Roman" w:cs="Times New Roman"/>
        </w:rPr>
        <w:t>In</w:t>
      </w:r>
      <w:r w:rsidR="00520033" w:rsidRPr="002D7B7A">
        <w:rPr>
          <w:rFonts w:ascii="Times New Roman" w:hAnsi="Times New Roman" w:cs="Times New Roman"/>
        </w:rPr>
        <w:t xml:space="preserve"> short, high-yield bonds are riskier than lower yielding bonds, but they offer greater returns. So taking your time to investigate a junk status company may result in significantly larger returns than following traditionally “less-risky” investment opportunities. </w:t>
      </w:r>
      <w:r w:rsidR="00C356A4" w:rsidRPr="002D7B7A">
        <w:rPr>
          <w:rFonts w:ascii="Times New Roman" w:hAnsi="Times New Roman" w:cs="Times New Roman"/>
        </w:rPr>
        <w:t xml:space="preserve">When considering investing in a junk bond it's important to conduct </w:t>
      </w:r>
      <w:proofErr w:type="gramStart"/>
      <w:r w:rsidR="00C356A4" w:rsidRPr="002D7B7A">
        <w:rPr>
          <w:rFonts w:ascii="Times New Roman" w:hAnsi="Times New Roman" w:cs="Times New Roman"/>
        </w:rPr>
        <w:t>a</w:t>
      </w:r>
      <w:proofErr w:type="gramEnd"/>
      <w:r w:rsidR="00C356A4" w:rsidRPr="002D7B7A">
        <w:rPr>
          <w:rFonts w:ascii="Times New Roman" w:hAnsi="Times New Roman" w:cs="Times New Roman"/>
        </w:rPr>
        <w:t xml:space="preserve"> investigation of its risks.</w:t>
      </w:r>
    </w:p>
    <w:p w:rsidR="00C356A4" w:rsidRPr="002D7B7A" w:rsidRDefault="00C356A4" w:rsidP="002D7B7A">
      <w:pPr>
        <w:jc w:val="both"/>
        <w:rPr>
          <w:rFonts w:ascii="Times New Roman" w:hAnsi="Times New Roman" w:cs="Times New Roman"/>
          <w:outline/>
          <w:color w:val="0E0E0E"/>
          <w14:textOutline w14:w="9525" w14:cap="flat" w14:cmpd="sng" w14:algn="ctr">
            <w14:solidFill>
              <w14:srgbClr w14:val="0E0E0E"/>
            </w14:solidFill>
            <w14:prstDash w14:val="solid"/>
            <w14:round/>
          </w14:textOutline>
          <w14:textFill>
            <w14:noFill/>
          </w14:textFill>
        </w:rPr>
      </w:pPr>
    </w:p>
    <w:p w:rsidR="00C356A4" w:rsidRPr="002D7B7A" w:rsidRDefault="002D7B7A" w:rsidP="002D7B7A">
      <w:pPr>
        <w:jc w:val="both"/>
        <w:rPr>
          <w:rFonts w:ascii="Times New Roman" w:hAnsi="Times New Roman" w:cs="Times New Roman"/>
          <w:b/>
        </w:rPr>
      </w:pPr>
      <w:r>
        <w:rPr>
          <w:rFonts w:ascii="Times New Roman" w:hAnsi="Times New Roman" w:cs="Times New Roman"/>
          <w:outline/>
          <w:color w:val="0E0E0E"/>
          <w14:textOutline w14:w="9525" w14:cap="flat" w14:cmpd="sng" w14:algn="ctr">
            <w14:solidFill>
              <w14:srgbClr w14:val="0E0E0E"/>
            </w14:solidFill>
            <w14:prstDash w14:val="solid"/>
            <w14:round/>
          </w14:textOutline>
          <w14:textFill>
            <w14:noFill/>
          </w14:textFill>
        </w:rPr>
        <w:t xml:space="preserve"> </w:t>
      </w:r>
      <w:r w:rsidRPr="002D7B7A">
        <w:rPr>
          <w:rFonts w:ascii="Times New Roman" w:hAnsi="Times New Roman" w:cs="Times New Roman"/>
          <w:b/>
        </w:rPr>
        <w:t xml:space="preserve">4.) </w:t>
      </w:r>
      <w:proofErr w:type="gramStart"/>
      <w:r w:rsidRPr="002D7B7A">
        <w:rPr>
          <w:rFonts w:ascii="Times New Roman" w:hAnsi="Times New Roman" w:cs="Times New Roman"/>
          <w:b/>
        </w:rPr>
        <w:t>De</w:t>
      </w:r>
      <w:r w:rsidR="00C356A4" w:rsidRPr="002D7B7A">
        <w:rPr>
          <w:rFonts w:ascii="Times New Roman" w:hAnsi="Times New Roman" w:cs="Times New Roman"/>
          <w:b/>
        </w:rPr>
        <w:t>scribe</w:t>
      </w:r>
      <w:proofErr w:type="gramEnd"/>
      <w:r w:rsidR="00C356A4" w:rsidRPr="002D7B7A">
        <w:rPr>
          <w:rFonts w:ascii="Times New Roman" w:hAnsi="Times New Roman" w:cs="Times New Roman"/>
          <w:b/>
        </w:rPr>
        <w:t xml:space="preserve"> three reasons a corporation would sell convertible bonds.</w:t>
      </w:r>
    </w:p>
    <w:p w:rsidR="002D7B7A" w:rsidRPr="002D7B7A" w:rsidRDefault="00C356A4" w:rsidP="002D7B7A">
      <w:pPr>
        <w:jc w:val="both"/>
        <w:rPr>
          <w:rFonts w:ascii="Times New Roman" w:hAnsi="Times New Roman" w:cs="Times New Roman"/>
        </w:rPr>
      </w:pPr>
      <w:r w:rsidRPr="002D7B7A">
        <w:rPr>
          <w:rFonts w:ascii="Times New Roman" w:hAnsi="Times New Roman" w:cs="Times New Roman"/>
        </w:rPr>
        <w:tab/>
      </w:r>
    </w:p>
    <w:p w:rsidR="00C356A4" w:rsidRPr="002D7B7A" w:rsidRDefault="00C356A4" w:rsidP="002D7B7A">
      <w:pPr>
        <w:ind w:firstLine="720"/>
        <w:jc w:val="both"/>
        <w:rPr>
          <w:rFonts w:ascii="Times New Roman" w:hAnsi="Times New Roman" w:cs="Times New Roman"/>
        </w:rPr>
      </w:pPr>
      <w:r w:rsidRPr="002D7B7A">
        <w:rPr>
          <w:rFonts w:ascii="Times New Roman" w:hAnsi="Times New Roman" w:cs="Times New Roman"/>
        </w:rPr>
        <w:t>Issuing convertible bonds helps a corporation secure equity financing in a delayed manner, as it takes time for the bondholders to trade their bonds for stock. This process delays the common stock and earnings per share dilution.</w:t>
      </w:r>
    </w:p>
    <w:p w:rsidR="00C356A4" w:rsidRPr="002D7B7A" w:rsidRDefault="00C356A4" w:rsidP="002D7B7A">
      <w:pPr>
        <w:jc w:val="both"/>
        <w:rPr>
          <w:rFonts w:ascii="Times New Roman" w:hAnsi="Times New Roman" w:cs="Times New Roman"/>
        </w:rPr>
      </w:pPr>
      <w:r w:rsidRPr="002D7B7A">
        <w:rPr>
          <w:rFonts w:ascii="Times New Roman" w:hAnsi="Times New Roman" w:cs="Times New Roman"/>
        </w:rPr>
        <w:tab/>
        <w:t>Corporations can sell bonds at a lower coupon rate than a standard bond because of the stock purchase option. The more the conversion feature is worth, the lower the yield it will need to sell the bond. Because convertible bondholders only receive a relatively small, fixed income, more operating income is available to the common stockholders until the bonds convert to stocks.</w:t>
      </w:r>
    </w:p>
    <w:p w:rsidR="00C356A4" w:rsidRPr="002D7B7A" w:rsidRDefault="00C356A4" w:rsidP="002D7B7A">
      <w:pPr>
        <w:jc w:val="both"/>
        <w:rPr>
          <w:rFonts w:ascii="Times New Roman" w:hAnsi="Times New Roman" w:cs="Times New Roman"/>
        </w:rPr>
      </w:pPr>
      <w:r w:rsidRPr="002D7B7A">
        <w:rPr>
          <w:rFonts w:ascii="Times New Roman" w:hAnsi="Times New Roman" w:cs="Times New Roman"/>
        </w:rPr>
        <w:tab/>
        <w:t>Bond interest is a tax-deductible expense for the issuing company. Suppose for a corporation in the 25 percent tax bracket, the government effectively pays 25 percent of the interest charges on the debt through the deduction.</w:t>
      </w:r>
    </w:p>
    <w:p w:rsidR="002D7B7A" w:rsidRPr="002D7B7A" w:rsidRDefault="002D7B7A" w:rsidP="002D7B7A">
      <w:pPr>
        <w:jc w:val="both"/>
        <w:rPr>
          <w:rFonts w:ascii="Times New Roman" w:hAnsi="Times New Roman" w:cs="Times New Roman"/>
          <w:b/>
        </w:rPr>
      </w:pPr>
    </w:p>
    <w:p w:rsidR="00C356A4" w:rsidRPr="002D7B7A" w:rsidRDefault="00C356A4" w:rsidP="002D7B7A">
      <w:pPr>
        <w:jc w:val="both"/>
        <w:rPr>
          <w:rFonts w:ascii="Times New Roman" w:hAnsi="Times New Roman" w:cs="Times New Roman"/>
          <w:b/>
        </w:rPr>
      </w:pPr>
      <w:r w:rsidRPr="002D7B7A">
        <w:rPr>
          <w:rFonts w:ascii="Times New Roman" w:hAnsi="Times New Roman" w:cs="Times New Roman"/>
          <w:b/>
        </w:rPr>
        <w:t xml:space="preserve">5.) </w:t>
      </w:r>
      <w:proofErr w:type="gramStart"/>
      <w:r w:rsidRPr="002D7B7A">
        <w:rPr>
          <w:rFonts w:ascii="Times New Roman" w:hAnsi="Times New Roman" w:cs="Times New Roman"/>
          <w:b/>
        </w:rPr>
        <w:t>Explain</w:t>
      </w:r>
      <w:proofErr w:type="gramEnd"/>
      <w:r w:rsidRPr="002D7B7A">
        <w:rPr>
          <w:rFonts w:ascii="Times New Roman" w:hAnsi="Times New Roman" w:cs="Times New Roman"/>
          <w:b/>
        </w:rPr>
        <w:t xml:space="preserve"> the methods that corporations can use to repay a bond issue.</w:t>
      </w:r>
    </w:p>
    <w:p w:rsidR="002D7B7A" w:rsidRPr="002D7B7A" w:rsidRDefault="00D811F3" w:rsidP="002D7B7A">
      <w:pPr>
        <w:jc w:val="both"/>
        <w:rPr>
          <w:rFonts w:ascii="Times New Roman" w:hAnsi="Times New Roman" w:cs="Times New Roman"/>
        </w:rPr>
      </w:pPr>
      <w:r w:rsidRPr="002D7B7A">
        <w:rPr>
          <w:rFonts w:ascii="Times New Roman" w:hAnsi="Times New Roman" w:cs="Times New Roman"/>
        </w:rPr>
        <w:tab/>
      </w:r>
    </w:p>
    <w:p w:rsidR="00D811F3" w:rsidRPr="002D7B7A" w:rsidRDefault="00D811F3" w:rsidP="002D7B7A">
      <w:pPr>
        <w:ind w:firstLine="720"/>
        <w:jc w:val="both"/>
        <w:rPr>
          <w:rFonts w:ascii="Times New Roman" w:hAnsi="Times New Roman" w:cs="Times New Roman"/>
        </w:rPr>
      </w:pPr>
      <w:r w:rsidRPr="002D7B7A">
        <w:rPr>
          <w:rFonts w:ascii="Times New Roman" w:hAnsi="Times New Roman" w:cs="Times New Roman"/>
        </w:rPr>
        <w:t xml:space="preserve">They can repay a bond by issuing callable bond. When the market interest </w:t>
      </w:r>
      <w:proofErr w:type="gramStart"/>
      <w:r w:rsidRPr="002D7B7A">
        <w:rPr>
          <w:rFonts w:ascii="Times New Roman" w:hAnsi="Times New Roman" w:cs="Times New Roman"/>
        </w:rPr>
        <w:t>rates is</w:t>
      </w:r>
      <w:proofErr w:type="gramEnd"/>
      <w:r w:rsidRPr="002D7B7A">
        <w:rPr>
          <w:rFonts w:ascii="Times New Roman" w:hAnsi="Times New Roman" w:cs="Times New Roman"/>
        </w:rPr>
        <w:t xml:space="preserve"> fall, company can retire the old bond that have higher interest rates than the market and issue the new one with lower interest rates.</w:t>
      </w:r>
    </w:p>
    <w:p w:rsidR="00C356A4" w:rsidRPr="002D7B7A" w:rsidRDefault="00C356A4" w:rsidP="002D7B7A">
      <w:pPr>
        <w:jc w:val="both"/>
        <w:rPr>
          <w:rFonts w:ascii="Times New Roman" w:hAnsi="Times New Roman" w:cs="Times New Roman"/>
          <w:outline/>
          <w14:textOutline w14:w="9525" w14:cap="flat" w14:cmpd="sng" w14:algn="ctr">
            <w14:solidFill>
              <w14:srgbClr w14:val="000000"/>
            </w14:solidFill>
            <w14:prstDash w14:val="solid"/>
            <w14:round/>
          </w14:textOutline>
          <w14:textFill>
            <w14:noFill/>
          </w14:textFill>
        </w:rPr>
      </w:pPr>
    </w:p>
    <w:p w:rsidR="00520033" w:rsidRPr="002D7B7A" w:rsidRDefault="00520033" w:rsidP="002D7B7A">
      <w:pPr>
        <w:jc w:val="both"/>
        <w:rPr>
          <w:rFonts w:ascii="Times New Roman" w:hAnsi="Times New Roman" w:cs="Times New Roman"/>
          <w:outline/>
          <w14:textOutline w14:w="9525" w14:cap="flat" w14:cmpd="sng" w14:algn="ctr">
            <w14:solidFill>
              <w14:srgbClr w14:val="000000"/>
            </w14:solidFill>
            <w14:prstDash w14:val="solid"/>
            <w14:round/>
          </w14:textOutline>
          <w14:textFill>
            <w14:noFill/>
          </w14:textFill>
        </w:rPr>
      </w:pPr>
    </w:p>
    <w:p w:rsidR="00795688" w:rsidRPr="002D7B7A" w:rsidRDefault="00795688" w:rsidP="002D7B7A">
      <w:pPr>
        <w:jc w:val="both"/>
        <w:rPr>
          <w:rFonts w:ascii="Times New Roman" w:hAnsi="Times New Roman" w:cs="Times New Roman"/>
          <w:outline/>
          <w14:textOutline w14:w="9525" w14:cap="flat" w14:cmpd="sng" w14:algn="ctr">
            <w14:solidFill>
              <w14:srgbClr w14:val="000000"/>
            </w14:solidFill>
            <w14:prstDash w14:val="solid"/>
            <w14:round/>
          </w14:textOutline>
          <w14:textFill>
            <w14:noFill/>
          </w14:textFill>
        </w:rPr>
      </w:pPr>
    </w:p>
    <w:p w:rsidR="00795688" w:rsidRPr="002D7B7A" w:rsidRDefault="00795688" w:rsidP="002D7B7A">
      <w:pPr>
        <w:jc w:val="both"/>
        <w:rPr>
          <w:rFonts w:ascii="Times New Roman" w:hAnsi="Times New Roman" w:cs="Times New Roman"/>
          <w:outline/>
          <w14:textOutline w14:w="9525" w14:cap="flat" w14:cmpd="sng" w14:algn="ctr">
            <w14:solidFill>
              <w14:srgbClr w14:val="000000"/>
            </w14:solidFill>
            <w14:prstDash w14:val="solid"/>
            <w14:round/>
          </w14:textOutline>
          <w14:textFill>
            <w14:noFill/>
          </w14:textFill>
        </w:rPr>
      </w:pPr>
    </w:p>
    <w:p w:rsidR="00795688" w:rsidRPr="002D7B7A" w:rsidRDefault="00795688" w:rsidP="002D7B7A">
      <w:pPr>
        <w:jc w:val="both"/>
        <w:rPr>
          <w:rFonts w:ascii="Times New Roman" w:hAnsi="Times New Roman" w:cs="Times New Roman"/>
        </w:rPr>
      </w:pPr>
    </w:p>
    <w:sectPr w:rsidR="00795688" w:rsidRPr="002D7B7A" w:rsidSect="00A27388">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B7A" w:rsidRDefault="002D7B7A" w:rsidP="002D7B7A">
      <w:r>
        <w:separator/>
      </w:r>
    </w:p>
  </w:endnote>
  <w:endnote w:type="continuationSeparator" w:id="0">
    <w:p w:rsidR="002D7B7A" w:rsidRDefault="002D7B7A" w:rsidP="002D7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B7A" w:rsidRDefault="002D7B7A" w:rsidP="002D7B7A">
      <w:r>
        <w:separator/>
      </w:r>
    </w:p>
  </w:footnote>
  <w:footnote w:type="continuationSeparator" w:id="0">
    <w:p w:rsidR="002D7B7A" w:rsidRDefault="002D7B7A" w:rsidP="002D7B7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B7A" w:rsidRDefault="002D7B7A">
    <w:pPr>
      <w:pStyle w:val="Header"/>
    </w:pPr>
    <w:r>
      <w:tab/>
      <w:t>PEAMDEJ JOMBUNUD</w:t>
    </w:r>
    <w:r>
      <w:tab/>
      <w:t>5504641068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688"/>
    <w:rsid w:val="002D7B7A"/>
    <w:rsid w:val="00520033"/>
    <w:rsid w:val="00795688"/>
    <w:rsid w:val="007B4D9A"/>
    <w:rsid w:val="00A27388"/>
    <w:rsid w:val="00C356A4"/>
    <w:rsid w:val="00D811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3DEEA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688"/>
    <w:pPr>
      <w:ind w:left="720"/>
      <w:contextualSpacing/>
    </w:pPr>
  </w:style>
  <w:style w:type="paragraph" w:styleId="NoSpacing">
    <w:name w:val="No Spacing"/>
    <w:uiPriority w:val="1"/>
    <w:qFormat/>
    <w:rsid w:val="002D7B7A"/>
  </w:style>
  <w:style w:type="paragraph" w:styleId="Header">
    <w:name w:val="header"/>
    <w:basedOn w:val="Normal"/>
    <w:link w:val="HeaderChar"/>
    <w:uiPriority w:val="99"/>
    <w:unhideWhenUsed/>
    <w:rsid w:val="002D7B7A"/>
    <w:pPr>
      <w:tabs>
        <w:tab w:val="center" w:pos="4320"/>
        <w:tab w:val="right" w:pos="8640"/>
      </w:tabs>
    </w:pPr>
  </w:style>
  <w:style w:type="character" w:customStyle="1" w:styleId="HeaderChar">
    <w:name w:val="Header Char"/>
    <w:basedOn w:val="DefaultParagraphFont"/>
    <w:link w:val="Header"/>
    <w:uiPriority w:val="99"/>
    <w:rsid w:val="002D7B7A"/>
  </w:style>
  <w:style w:type="paragraph" w:styleId="Footer">
    <w:name w:val="footer"/>
    <w:basedOn w:val="Normal"/>
    <w:link w:val="FooterChar"/>
    <w:uiPriority w:val="99"/>
    <w:unhideWhenUsed/>
    <w:rsid w:val="002D7B7A"/>
    <w:pPr>
      <w:tabs>
        <w:tab w:val="center" w:pos="4320"/>
        <w:tab w:val="right" w:pos="8640"/>
      </w:tabs>
    </w:pPr>
  </w:style>
  <w:style w:type="character" w:customStyle="1" w:styleId="FooterChar">
    <w:name w:val="Footer Char"/>
    <w:basedOn w:val="DefaultParagraphFont"/>
    <w:link w:val="Footer"/>
    <w:uiPriority w:val="99"/>
    <w:rsid w:val="002D7B7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688"/>
    <w:pPr>
      <w:ind w:left="720"/>
      <w:contextualSpacing/>
    </w:pPr>
  </w:style>
  <w:style w:type="paragraph" w:styleId="NoSpacing">
    <w:name w:val="No Spacing"/>
    <w:uiPriority w:val="1"/>
    <w:qFormat/>
    <w:rsid w:val="002D7B7A"/>
  </w:style>
  <w:style w:type="paragraph" w:styleId="Header">
    <w:name w:val="header"/>
    <w:basedOn w:val="Normal"/>
    <w:link w:val="HeaderChar"/>
    <w:uiPriority w:val="99"/>
    <w:unhideWhenUsed/>
    <w:rsid w:val="002D7B7A"/>
    <w:pPr>
      <w:tabs>
        <w:tab w:val="center" w:pos="4320"/>
        <w:tab w:val="right" w:pos="8640"/>
      </w:tabs>
    </w:pPr>
  </w:style>
  <w:style w:type="character" w:customStyle="1" w:styleId="HeaderChar">
    <w:name w:val="Header Char"/>
    <w:basedOn w:val="DefaultParagraphFont"/>
    <w:link w:val="Header"/>
    <w:uiPriority w:val="99"/>
    <w:rsid w:val="002D7B7A"/>
  </w:style>
  <w:style w:type="paragraph" w:styleId="Footer">
    <w:name w:val="footer"/>
    <w:basedOn w:val="Normal"/>
    <w:link w:val="FooterChar"/>
    <w:uiPriority w:val="99"/>
    <w:unhideWhenUsed/>
    <w:rsid w:val="002D7B7A"/>
    <w:pPr>
      <w:tabs>
        <w:tab w:val="center" w:pos="4320"/>
        <w:tab w:val="right" w:pos="8640"/>
      </w:tabs>
    </w:pPr>
  </w:style>
  <w:style w:type="character" w:customStyle="1" w:styleId="FooterChar">
    <w:name w:val="Footer Char"/>
    <w:basedOn w:val="DefaultParagraphFont"/>
    <w:link w:val="Footer"/>
    <w:uiPriority w:val="99"/>
    <w:rsid w:val="002D7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750</Words>
  <Characters>4278</Characters>
  <Application>Microsoft Macintosh Word</Application>
  <DocSecurity>0</DocSecurity>
  <Lines>35</Lines>
  <Paragraphs>10</Paragraphs>
  <ScaleCrop>false</ScaleCrop>
  <Company/>
  <LinksUpToDate>false</LinksUpToDate>
  <CharactersWithSpaces>5018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1</cp:revision>
  <dcterms:created xsi:type="dcterms:W3CDTF">2016-04-23T04:01:00Z</dcterms:created>
  <dcterms:modified xsi:type="dcterms:W3CDTF">2016-04-23T05:11:00Z</dcterms:modified>
</cp:coreProperties>
</file>