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775E" w:rsidRPr="00A94ED6" w:rsidRDefault="00507B70">
      <w:pPr>
        <w:rPr>
          <w:b/>
          <w:bCs/>
          <w:sz w:val="28"/>
        </w:rPr>
      </w:pPr>
      <w:r w:rsidRPr="00A94ED6">
        <w:rPr>
          <w:b/>
          <w:bCs/>
          <w:sz w:val="28"/>
        </w:rPr>
        <w:t>Forward Rate Agreement (FRA)</w:t>
      </w:r>
    </w:p>
    <w:p w:rsidR="00507B70" w:rsidRDefault="00507B70"/>
    <w:p w:rsidR="00507B70" w:rsidRPr="00A94ED6" w:rsidRDefault="00507B70" w:rsidP="00B434F2">
      <w:pPr>
        <w:rPr>
          <w:b/>
          <w:bCs/>
        </w:rPr>
      </w:pPr>
      <w:r w:rsidRPr="005B441B">
        <w:rPr>
          <w:b/>
          <w:bCs/>
        </w:rPr>
        <w:t>FRA</w:t>
      </w:r>
      <w:r>
        <w:t xml:space="preserve"> </w:t>
      </w:r>
      <w:r w:rsidRPr="00A94ED6">
        <w:rPr>
          <w:b/>
          <w:bCs/>
        </w:rPr>
        <w:t>is a</w:t>
      </w:r>
      <w:r w:rsidR="00B434F2" w:rsidRPr="00A94ED6">
        <w:rPr>
          <w:b/>
          <w:bCs/>
        </w:rPr>
        <w:t>n interbank contract that can be used</w:t>
      </w:r>
      <w:r w:rsidRPr="00A94ED6">
        <w:rPr>
          <w:b/>
          <w:bCs/>
        </w:rPr>
        <w:t xml:space="preserve"> to hedge against </w:t>
      </w:r>
      <w:r w:rsidR="00B434F2" w:rsidRPr="00A94ED6">
        <w:rPr>
          <w:b/>
          <w:bCs/>
        </w:rPr>
        <w:t xml:space="preserve">the </w:t>
      </w:r>
      <w:r w:rsidRPr="00A94ED6">
        <w:rPr>
          <w:b/>
          <w:bCs/>
          <w:u w:val="single"/>
        </w:rPr>
        <w:t>interest rate risk</w:t>
      </w:r>
      <w:r w:rsidRPr="00A94ED6">
        <w:rPr>
          <w:b/>
          <w:bCs/>
        </w:rPr>
        <w:t xml:space="preserve"> arising from </w:t>
      </w:r>
      <w:r w:rsidRPr="00A94ED6">
        <w:rPr>
          <w:b/>
          <w:bCs/>
          <w:u w:val="single"/>
        </w:rPr>
        <w:t>maturity mismatches</w:t>
      </w:r>
      <w:r w:rsidR="00B434F2" w:rsidRPr="00A94ED6">
        <w:rPr>
          <w:b/>
          <w:bCs/>
        </w:rPr>
        <w:t xml:space="preserve"> between</w:t>
      </w:r>
      <w:r w:rsidRPr="00A94ED6">
        <w:rPr>
          <w:b/>
          <w:bCs/>
        </w:rPr>
        <w:t xml:space="preserve"> deposits</w:t>
      </w:r>
      <w:r w:rsidR="00661A70" w:rsidRPr="00A94ED6">
        <w:rPr>
          <w:b/>
          <w:bCs/>
        </w:rPr>
        <w:t xml:space="preserve"> (liabilities)</w:t>
      </w:r>
      <w:r w:rsidR="00B434F2" w:rsidRPr="00A94ED6">
        <w:rPr>
          <w:b/>
          <w:bCs/>
        </w:rPr>
        <w:t xml:space="preserve"> and</w:t>
      </w:r>
      <w:r w:rsidRPr="00A94ED6">
        <w:rPr>
          <w:b/>
          <w:bCs/>
        </w:rPr>
        <w:t xml:space="preserve"> credits</w:t>
      </w:r>
      <w:r w:rsidR="00661A70" w:rsidRPr="00A94ED6">
        <w:rPr>
          <w:b/>
          <w:bCs/>
        </w:rPr>
        <w:t xml:space="preserve"> (assets)</w:t>
      </w:r>
      <w:r w:rsidRPr="00A94ED6">
        <w:rPr>
          <w:b/>
          <w:bCs/>
        </w:rPr>
        <w:t xml:space="preserve">. </w:t>
      </w:r>
    </w:p>
    <w:p w:rsidR="00B434F2" w:rsidRDefault="00B434F2" w:rsidP="00B434F2"/>
    <w:p w:rsidR="00B434F2" w:rsidRPr="005B441B" w:rsidRDefault="00B434F2" w:rsidP="00B434F2">
      <w:pPr>
        <w:rPr>
          <w:i/>
          <w:iCs/>
        </w:rPr>
      </w:pPr>
      <w:r w:rsidRPr="005B441B">
        <w:rPr>
          <w:i/>
          <w:iCs/>
        </w:rPr>
        <w:t>Eurodeposits are usually long-term, while Eurocredits are usually short-term.</w:t>
      </w:r>
    </w:p>
    <w:p w:rsidR="00507B70" w:rsidRDefault="00507B70"/>
    <w:p w:rsidR="00661A70" w:rsidRDefault="00B434F2" w:rsidP="00661A70">
      <w:r>
        <w:t>Suppose</w:t>
      </w:r>
      <w:r w:rsidR="00661A70">
        <w:t xml:space="preserve"> both the deposits and the credits had the same maturity, then interest rate at which a bank had to pay on the deposits and the interest rate it charged on the credits would adjust about the same time in the same direction when the market interest rates changed. </w:t>
      </w:r>
      <w:r w:rsidR="001377B9">
        <w:t>Thus, there would be no interest rate risk.</w:t>
      </w:r>
    </w:p>
    <w:p w:rsidR="00507B70" w:rsidRDefault="00507B70"/>
    <w:p w:rsidR="001377B9" w:rsidRDefault="001377B9" w:rsidP="001377B9">
      <w:r>
        <w:t>But</w:t>
      </w:r>
      <w:r w:rsidR="00B434F2">
        <w:t>, generally</w:t>
      </w:r>
      <w:r>
        <w:t xml:space="preserve"> deposit maturities ar</w:t>
      </w:r>
      <w:r w:rsidR="00B434F2">
        <w:t>e longer than credit maturities. If interest rates fall,</w:t>
      </w:r>
      <w:r>
        <w:t xml:space="preserve"> the interest rates on credits will be adjusted downward while the bank is still paying a higher (fixed) rate on deposits. </w:t>
      </w:r>
      <w:r w:rsidR="00426690">
        <w:t>In this case, t</w:t>
      </w:r>
      <w:r>
        <w:t>he bank will earn lower-than-expected deposit-loan rate spread or even incur loss</w:t>
      </w:r>
      <w:r w:rsidR="00D0335A">
        <w:t xml:space="preserve"> if there is a major decline in interest rates</w:t>
      </w:r>
      <w:r>
        <w:t xml:space="preserve">. </w:t>
      </w:r>
    </w:p>
    <w:p w:rsidR="00426690" w:rsidRDefault="00426690" w:rsidP="001377B9"/>
    <w:p w:rsidR="00D16207" w:rsidRPr="00A94ED6" w:rsidRDefault="00D16207" w:rsidP="00D16207">
      <w:pPr>
        <w:rPr>
          <w:b/>
          <w:bCs/>
        </w:rPr>
      </w:pPr>
      <w:r w:rsidRPr="00A94ED6">
        <w:rPr>
          <w:b/>
          <w:bCs/>
        </w:rPr>
        <w:t>An FRA involves two parties, a buyer and a sell, and two interest rates:</w:t>
      </w:r>
    </w:p>
    <w:p w:rsidR="00D16207" w:rsidRDefault="00D16207" w:rsidP="00D16207">
      <w:r>
        <w:tab/>
        <w:t>Settlement rate (SR) = the actual interest rate on the settlement date</w:t>
      </w:r>
    </w:p>
    <w:p w:rsidR="00D16207" w:rsidRDefault="00D16207" w:rsidP="00D16207">
      <w:r>
        <w:tab/>
        <w:t xml:space="preserve">Agreement rate (AR) = can be thought of as the expected or forward interest rate </w:t>
      </w:r>
    </w:p>
    <w:p w:rsidR="00D16207" w:rsidRDefault="00D16207" w:rsidP="00D16207"/>
    <w:p w:rsidR="00D16207" w:rsidRDefault="00D16207" w:rsidP="00D16207">
      <w:pPr>
        <w:ind w:firstLine="720"/>
      </w:pPr>
      <w:r w:rsidRPr="001F465E">
        <w:t>At the end of the agreement period, the loser pays the winner an amount equal to the difference between the settlement rate and the agreement rate, sized according to the length of the agreement period and the notational amount</w:t>
      </w:r>
      <w:r>
        <w:t>:</w:t>
      </w:r>
    </w:p>
    <w:tbl>
      <w:tblPr>
        <w:tblW w:w="0" w:type="auto"/>
        <w:tblLayout w:type="fixed"/>
        <w:tblLook w:val="00BF"/>
      </w:tblPr>
      <w:tblGrid>
        <w:gridCol w:w="4428"/>
        <w:gridCol w:w="872"/>
        <w:gridCol w:w="4328"/>
      </w:tblGrid>
      <w:tr w:rsidR="00D16207" w:rsidTr="004B0569">
        <w:tc>
          <w:tcPr>
            <w:tcW w:w="5300" w:type="dxa"/>
            <w:gridSpan w:val="2"/>
          </w:tcPr>
          <w:p w:rsidR="00D16207" w:rsidRDefault="00D16207" w:rsidP="00074C10">
            <w:r w:rsidRPr="00D74095">
              <w:object w:dxaOrig="7218" w:dyaOrig="53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28pt;height:170.25pt">
                  <v:imagedata r:id="rId7" o:title=""/>
                </v:shape>
              </w:object>
            </w:r>
          </w:p>
          <w:p w:rsidR="00D16207" w:rsidRDefault="00D16207" w:rsidP="00074C10"/>
        </w:tc>
        <w:tc>
          <w:tcPr>
            <w:tcW w:w="4328" w:type="dxa"/>
          </w:tcPr>
          <w:p w:rsidR="00D16207" w:rsidRDefault="00D16207" w:rsidP="00074C10"/>
          <w:p w:rsidR="00D16207" w:rsidRDefault="00AB7126" w:rsidP="00074C10">
            <w:r>
              <w:t>The payment amount:</w:t>
            </w:r>
          </w:p>
          <w:p w:rsidR="00D16207" w:rsidRDefault="00D16207" w:rsidP="00074C10"/>
          <w:p w:rsidR="00D16207" w:rsidRDefault="00D16207" w:rsidP="00D16207">
            <w:r>
              <w:t xml:space="preserve">         </w:t>
            </w:r>
            <w:r w:rsidRPr="004B0569">
              <w:rPr>
                <w:position w:val="-54"/>
              </w:rPr>
              <w:object w:dxaOrig="2140" w:dyaOrig="1200">
                <v:shape id="_x0000_i1027" type="#_x0000_t75" style="width:107.25pt;height:60pt" o:ole="" o:bordertopcolor="this" o:borderleftcolor="this" o:borderbottomcolor="this" o:borderrightcolor="this">
                  <v:imagedata r:id="rId8" o:title=""/>
                  <w10:bordertop type="single" width="4"/>
                  <w10:borderleft type="single" width="4"/>
                  <w10:borderbottom type="single" width="4"/>
                  <w10:borderright type="single" width="4"/>
                </v:shape>
                <o:OLEObject Type="Embed" ProgID="Equation.DSMT4" ShapeID="_x0000_i1027" DrawAspect="Content" ObjectID="_1379454515" r:id="rId9"/>
              </w:object>
            </w:r>
          </w:p>
          <w:p w:rsidR="00D16207" w:rsidRDefault="00D16207" w:rsidP="00074C10"/>
          <w:p w:rsidR="00D16207" w:rsidRPr="004B0569" w:rsidRDefault="00D16207" w:rsidP="00D16207">
            <w:pPr>
              <w:rPr>
                <w:i/>
                <w:iCs/>
              </w:rPr>
            </w:pPr>
            <w:r>
              <w:t xml:space="preserve">    where </w:t>
            </w:r>
            <w:r w:rsidRPr="004B0569">
              <w:rPr>
                <w:i/>
                <w:iCs/>
              </w:rPr>
              <w:t>N</w:t>
            </w:r>
            <w:r>
              <w:t xml:space="preserve"> = Notional amount; </w:t>
            </w:r>
          </w:p>
          <w:p w:rsidR="00D16207" w:rsidRPr="001F465E" w:rsidRDefault="00D16207" w:rsidP="00074C10">
            <w:r w:rsidRPr="004B0569">
              <w:rPr>
                <w:i/>
                <w:iCs/>
              </w:rPr>
              <w:t xml:space="preserve">              days</w:t>
            </w:r>
            <w:r>
              <w:t xml:space="preserve"> = length of FRA period</w:t>
            </w:r>
          </w:p>
          <w:p w:rsidR="00D16207" w:rsidRDefault="00D16207" w:rsidP="00074C10"/>
        </w:tc>
      </w:tr>
      <w:tr w:rsidR="00D16207" w:rsidTr="004B0569">
        <w:tc>
          <w:tcPr>
            <w:tcW w:w="4428" w:type="dxa"/>
          </w:tcPr>
          <w:p w:rsidR="00D16207" w:rsidRPr="00D74095" w:rsidRDefault="00D16207" w:rsidP="00074C10">
            <w:r>
              <w:rPr>
                <w:noProof/>
              </w:rPr>
            </w:r>
            <w:r>
              <w:pict>
                <v:group id="_x0000_s1120" editas="canvas" style="width:254.25pt;height:168.7pt;mso-position-horizontal-relative:char;mso-position-vertical-relative:line" coordorigin="2308,9225" coordsize="7944,5304">
                  <o:lock v:ext="edit" aspectratio="t"/>
                  <v:shape id="_x0000_s1121" type="#_x0000_t75" style="position:absolute;left:2308;top:9225;width:7944;height:5304" o:preferrelative="f">
                    <v:fill o:detectmouseclick="t"/>
                    <v:path o:extrusionok="t" o:connecttype="none"/>
                    <o:lock v:ext="edit" text="t"/>
                  </v:shape>
                  <v:line id="_x0000_s1122" style="position:absolute" from="3046,9689" to="3046,13034"/>
                  <v:line id="_x0000_s1123" style="position:absolute" from="3046,11362" to="6462,11362">
                    <v:stroke endarrow="open" endarrowwidth="wide"/>
                  </v:line>
                  <v:line id="_x0000_s1124" style="position:absolute;flip:y" from="3046,9968" to="6369,12755" strokecolor="blue" strokeweight="2pt"/>
                  <v:line id="_x0000_s1125" style="position:absolute" from="3046,9968" to="6369,12755" strokecolor="red" strokeweight="2pt"/>
                  <v:shapetype id="_x0000_t202" coordsize="21600,21600" o:spt="202" path="m,l,21600r21600,l21600,xe">
                    <v:stroke joinstyle="miter"/>
                    <v:path gradientshapeok="t" o:connecttype="rect"/>
                  </v:shapetype>
                  <v:shape id="_x0000_s1126" type="#_x0000_t202" style="position:absolute;left:6442;top:11159;width:603;height:448;mso-wrap-style:none;v-text-anchor:top-baseline" filled="f" fillcolor="#669" stroked="f">
                    <v:textbox style="mso-next-textbox:#_x0000_s1126;mso-fit-shape-to-text:t" inset="1.57278mm,.78636mm,1.57278mm,.78636mm">
                      <w:txbxContent>
                        <w:p w:rsidR="00D16207" w:rsidRPr="00D16207" w:rsidRDefault="00D16207" w:rsidP="00D16207">
                          <w:pPr>
                            <w:autoSpaceDE w:val="0"/>
                            <w:autoSpaceDN w:val="0"/>
                            <w:adjustRightInd w:val="0"/>
                            <w:rPr>
                              <w:rFonts w:cs="Times New Roman"/>
                              <w:color w:val="000000"/>
                              <w:sz w:val="17"/>
                              <w:szCs w:val="17"/>
                              <w:cs/>
                            </w:rPr>
                          </w:pPr>
                          <w:r w:rsidRPr="00D16207">
                            <w:rPr>
                              <w:rFonts w:cs="Times New Roman"/>
                              <w:color w:val="000000"/>
                              <w:sz w:val="17"/>
                              <w:szCs w:val="17"/>
                            </w:rPr>
                            <w:t>SR</w:t>
                          </w:r>
                        </w:p>
                      </w:txbxContent>
                    </v:textbox>
                  </v:shape>
                  <v:shape id="_x0000_s1127" type="#_x0000_t202" style="position:absolute;left:4397;top:11893;width:604;height:412;mso-wrap-style:none;v-text-anchor:top-baseline" filled="f" fillcolor="#669" stroked="f">
                    <v:textbox style="mso-next-textbox:#_x0000_s1127;mso-fit-shape-to-text:t" inset="1.57278mm,.78636mm,1.57278mm,.78636mm">
                      <w:txbxContent>
                        <w:p w:rsidR="00D16207" w:rsidRPr="00D16207" w:rsidRDefault="00D16207" w:rsidP="00D16207">
                          <w:pPr>
                            <w:autoSpaceDE w:val="0"/>
                            <w:autoSpaceDN w:val="0"/>
                            <w:adjustRightInd w:val="0"/>
                            <w:rPr>
                              <w:rFonts w:cs="Times New Roman"/>
                              <w:color w:val="000000"/>
                              <w:sz w:val="15"/>
                              <w:szCs w:val="15"/>
                              <w:cs/>
                            </w:rPr>
                          </w:pPr>
                          <w:r w:rsidRPr="00D16207">
                            <w:rPr>
                              <w:rFonts w:cs="Times New Roman"/>
                              <w:color w:val="000000"/>
                              <w:sz w:val="15"/>
                              <w:szCs w:val="15"/>
                            </w:rPr>
                            <w:t>AR</w:t>
                          </w:r>
                        </w:p>
                      </w:txbxContent>
                    </v:textbox>
                  </v:shape>
                  <v:line id="_x0000_s1128" style="position:absolute" from="4708,11269" to="4708,11455"/>
                  <v:line id="_x0000_s1129" style="position:absolute;flip:x y" from="4708,11547" to="4717,11892" strokeweight=".5pt">
                    <v:stroke endarrow="classic"/>
                  </v:line>
                  <v:shape id="_x0000_s1130" type="#_x0000_t202" style="position:absolute;left:2585;top:9225;width:1348;height:448;mso-wrap-style:none;v-text-anchor:top-baseline" filled="f" fillcolor="#669" stroked="f">
                    <v:textbox style="mso-next-textbox:#_x0000_s1130;mso-fit-shape-to-text:t" inset="1.57278mm,.78636mm,1.57278mm,.78636mm">
                      <w:txbxContent>
                        <w:p w:rsidR="00D16207" w:rsidRPr="00D16207" w:rsidRDefault="00D16207" w:rsidP="00D16207">
                          <w:pPr>
                            <w:autoSpaceDE w:val="0"/>
                            <w:autoSpaceDN w:val="0"/>
                            <w:adjustRightInd w:val="0"/>
                            <w:rPr>
                              <w:rFonts w:cs="Times New Roman"/>
                              <w:color w:val="000000"/>
                              <w:sz w:val="17"/>
                              <w:szCs w:val="17"/>
                              <w:cs/>
                            </w:rPr>
                          </w:pPr>
                          <w:r w:rsidRPr="00D16207">
                            <w:rPr>
                              <w:rFonts w:cs="Times New Roman"/>
                              <w:color w:val="000000"/>
                              <w:sz w:val="17"/>
                              <w:szCs w:val="17"/>
                            </w:rPr>
                            <w:t>Profit (%)</w:t>
                          </w:r>
                        </w:p>
                      </w:txbxContent>
                    </v:textbox>
                  </v:shape>
                  <v:shape id="_x0000_s1131" type="#_x0000_t202" style="position:absolute;left:2308;top:9711;width:605;height:412;mso-wrap-style:none;v-text-anchor:top-baseline" filled="f" fillcolor="#669" stroked="f">
                    <v:textbox style="mso-next-textbox:#_x0000_s1131" inset="1.57278mm,.78636mm,1.57278mm,.78636mm">
                      <w:txbxContent>
                        <w:p w:rsidR="00D16207" w:rsidRPr="00D16207" w:rsidRDefault="00D16207" w:rsidP="00D16207">
                          <w:pPr>
                            <w:autoSpaceDE w:val="0"/>
                            <w:autoSpaceDN w:val="0"/>
                            <w:adjustRightInd w:val="0"/>
                            <w:rPr>
                              <w:rFonts w:cs="Times New Roman"/>
                              <w:color w:val="000000"/>
                              <w:sz w:val="15"/>
                              <w:szCs w:val="15"/>
                              <w:cs/>
                            </w:rPr>
                          </w:pPr>
                          <w:r w:rsidRPr="00D16207">
                            <w:rPr>
                              <w:rFonts w:cs="Times New Roman"/>
                              <w:color w:val="000000"/>
                              <w:sz w:val="15"/>
                              <w:szCs w:val="15"/>
                            </w:rPr>
                            <w:t>AR</w:t>
                          </w:r>
                        </w:p>
                      </w:txbxContent>
                    </v:textbox>
                  </v:shape>
                  <v:shape id="_x0000_s1132" type="#_x0000_t202" style="position:absolute;left:2308;top:12569;width:741;height:412;mso-wrap-style:none;v-text-anchor:top-baseline" filled="f" fillcolor="#669" stroked="f">
                    <v:textbox style="mso-next-textbox:#_x0000_s1132;mso-fit-shape-to-text:t" inset="1.57278mm,.78636mm,1.57278mm,.78636mm">
                      <w:txbxContent>
                        <w:p w:rsidR="00D16207" w:rsidRPr="00D16207" w:rsidRDefault="00D16207" w:rsidP="00D16207">
                          <w:pPr>
                            <w:autoSpaceDE w:val="0"/>
                            <w:autoSpaceDN w:val="0"/>
                            <w:adjustRightInd w:val="0"/>
                            <w:rPr>
                              <w:rFonts w:cs="Times New Roman"/>
                              <w:color w:val="000000"/>
                              <w:sz w:val="15"/>
                              <w:szCs w:val="15"/>
                              <w:cs/>
                            </w:rPr>
                          </w:pPr>
                          <w:r w:rsidRPr="00D16207">
                            <w:rPr>
                              <w:rFonts w:cs="Times New Roman"/>
                              <w:color w:val="000000"/>
                              <w:sz w:val="15"/>
                              <w:szCs w:val="15"/>
                            </w:rPr>
                            <w:t>- AR</w:t>
                          </w:r>
                        </w:p>
                      </w:txbxContent>
                    </v:textbox>
                  </v:shape>
                  <v:shape id="_x0000_s1133" type="#_x0000_t202" style="position:absolute;left:6368;top:9503;width:2448;height:448;mso-wrap-style:none;v-text-anchor:top-baseline" filled="f" fillcolor="#669" stroked="f">
                    <v:textbox style="mso-next-textbox:#_x0000_s1133;mso-fit-shape-to-text:t" inset="1.57278mm,.78636mm,1.57278mm,.78636mm">
                      <w:txbxContent>
                        <w:p w:rsidR="00D16207" w:rsidRPr="00D16207" w:rsidRDefault="00D16207" w:rsidP="00D16207">
                          <w:pPr>
                            <w:autoSpaceDE w:val="0"/>
                            <w:autoSpaceDN w:val="0"/>
                            <w:adjustRightInd w:val="0"/>
                            <w:rPr>
                              <w:rFonts w:cs="Times New Roman"/>
                              <w:color w:val="000000"/>
                              <w:sz w:val="17"/>
                              <w:szCs w:val="17"/>
                              <w:cs/>
                            </w:rPr>
                          </w:pPr>
                          <w:r w:rsidRPr="00D16207">
                            <w:rPr>
                              <w:rFonts w:cs="Times New Roman"/>
                              <w:color w:val="000000"/>
                              <w:sz w:val="17"/>
                              <w:szCs w:val="17"/>
                            </w:rPr>
                            <w:t>Long position (Buy)</w:t>
                          </w:r>
                        </w:p>
                      </w:txbxContent>
                    </v:textbox>
                  </v:shape>
                  <v:shape id="_x0000_s1134" type="#_x0000_t202" style="position:absolute;left:6370;top:12569;width:2432;height:448;mso-wrap-style:none;v-text-anchor:top-baseline" filled="f" fillcolor="#669" stroked="f">
                    <v:textbox style="mso-next-textbox:#_x0000_s1134;mso-fit-shape-to-text:t" inset="1.57278mm,.78636mm,1.57278mm,.78636mm">
                      <w:txbxContent>
                        <w:p w:rsidR="00D16207" w:rsidRPr="00D16207" w:rsidRDefault="00D16207" w:rsidP="00D16207">
                          <w:pPr>
                            <w:autoSpaceDE w:val="0"/>
                            <w:autoSpaceDN w:val="0"/>
                            <w:adjustRightInd w:val="0"/>
                            <w:rPr>
                              <w:rFonts w:cs="Times New Roman"/>
                              <w:color w:val="000000"/>
                              <w:sz w:val="17"/>
                              <w:szCs w:val="17"/>
                              <w:cs/>
                            </w:rPr>
                          </w:pPr>
                          <w:r w:rsidRPr="00D16207">
                            <w:rPr>
                              <w:rFonts w:cs="Times New Roman"/>
                              <w:color w:val="000000"/>
                              <w:sz w:val="17"/>
                              <w:szCs w:val="17"/>
                            </w:rPr>
                            <w:t>Short position (Sell)</w:t>
                          </w:r>
                        </w:p>
                      </w:txbxContent>
                    </v:textbox>
                  </v:shap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135" type="#_x0000_t87" style="position:absolute;left:3784;top:12296;width:186;height:1662;rotation:270;mso-wrap-style:none;v-text-anchor:middle" adj=",10200" fillcolor="#669">
                    <v:stroke dashstyle="1 1"/>
                  </v:shape>
                  <v:shape id="_x0000_s1136" type="#_x0000_t202" style="position:absolute;left:3231;top:13220;width:1573;height:484;mso-wrap-style:none;v-text-anchor:top-baseline" filled="f" fillcolor="#669" stroked="f">
                    <v:textbox style="mso-next-textbox:#_x0000_s1136;mso-fit-shape-to-text:t" inset="1.57278mm,.78636mm,1.57278mm,.78636mm">
                      <w:txbxContent>
                        <w:p w:rsidR="00D16207" w:rsidRPr="00D16207" w:rsidRDefault="00D16207" w:rsidP="00D16207">
                          <w:pPr>
                            <w:autoSpaceDE w:val="0"/>
                            <w:autoSpaceDN w:val="0"/>
                            <w:adjustRightInd w:val="0"/>
                            <w:rPr>
                              <w:rFonts w:cs="Times New Roman"/>
                              <w:color w:val="000000"/>
                              <w:sz w:val="19"/>
                              <w:szCs w:val="19"/>
                              <w:cs/>
                            </w:rPr>
                          </w:pPr>
                          <w:r w:rsidRPr="00D16207">
                            <w:rPr>
                              <w:rFonts w:cs="Times New Roman"/>
                              <w:color w:val="000000"/>
                              <w:sz w:val="19"/>
                              <w:szCs w:val="19"/>
                            </w:rPr>
                            <w:t>buyer pays</w:t>
                          </w:r>
                        </w:p>
                      </w:txbxContent>
                    </v:textbox>
                  </v:shape>
                  <v:shape id="_x0000_s1137" type="#_x0000_t87" style="position:absolute;left:5446;top:12296;width:186;height:1661;rotation:270;mso-wrap-style:none;v-text-anchor:middle" adj=",10200" fillcolor="#669">
                    <v:stroke dashstyle="1 1"/>
                  </v:shape>
                  <v:shape id="_x0000_s1138" type="#_x0000_t202" style="position:absolute;left:4800;top:13220;width:1540;height:484;mso-wrap-style:none;v-text-anchor:top-baseline" filled="f" fillcolor="#669" stroked="f">
                    <v:textbox style="mso-next-textbox:#_x0000_s1138;mso-fit-shape-to-text:t" inset="1.57278mm,.78636mm,1.57278mm,.78636mm">
                      <w:txbxContent>
                        <w:p w:rsidR="00D16207" w:rsidRPr="00D16207" w:rsidRDefault="00D16207" w:rsidP="00D16207">
                          <w:pPr>
                            <w:autoSpaceDE w:val="0"/>
                            <w:autoSpaceDN w:val="0"/>
                            <w:adjustRightInd w:val="0"/>
                            <w:rPr>
                              <w:rFonts w:cs="Times New Roman"/>
                              <w:color w:val="000000"/>
                              <w:sz w:val="19"/>
                              <w:szCs w:val="19"/>
                              <w:cs/>
                            </w:rPr>
                          </w:pPr>
                          <w:r w:rsidRPr="00D16207">
                            <w:rPr>
                              <w:rFonts w:cs="Times New Roman"/>
                              <w:color w:val="000000"/>
                              <w:sz w:val="19"/>
                              <w:szCs w:val="19"/>
                            </w:rPr>
                            <w:t>seller pays</w:t>
                          </w:r>
                        </w:p>
                      </w:txbxContent>
                    </v:textbox>
                  </v:shape>
                  <w10:wrap type="none"/>
                  <w10:anchorlock/>
                </v:group>
              </w:pict>
            </w:r>
          </w:p>
        </w:tc>
        <w:tc>
          <w:tcPr>
            <w:tcW w:w="5200" w:type="dxa"/>
            <w:gridSpan w:val="2"/>
          </w:tcPr>
          <w:p w:rsidR="00D16207" w:rsidRDefault="00D16207" w:rsidP="00D16207"/>
          <w:p w:rsidR="00D16207" w:rsidRDefault="00D16207" w:rsidP="00D16207"/>
          <w:p w:rsidR="00D16207" w:rsidRDefault="00D16207" w:rsidP="00D16207"/>
          <w:p w:rsidR="00D16207" w:rsidRDefault="00A94ED6" w:rsidP="00D16207">
            <w:r>
              <w:t>If SR &lt; AR,</w:t>
            </w:r>
            <w:r w:rsidR="00D16207">
              <w:t xml:space="preserve">  </w:t>
            </w:r>
          </w:p>
          <w:p w:rsidR="00D16207" w:rsidRDefault="00D16207" w:rsidP="00D16207">
            <w:r>
              <w:t xml:space="preserve">     the buyer (long position) will pay the seller.</w:t>
            </w:r>
          </w:p>
          <w:p w:rsidR="00D16207" w:rsidRDefault="00D16207" w:rsidP="00D16207"/>
          <w:p w:rsidR="00D16207" w:rsidRDefault="00A94ED6" w:rsidP="00D16207">
            <w:r>
              <w:t>If SR &gt; AR,</w:t>
            </w:r>
            <w:r w:rsidR="00D16207">
              <w:t xml:space="preserve"> </w:t>
            </w:r>
          </w:p>
          <w:p w:rsidR="00D16207" w:rsidRDefault="00D16207" w:rsidP="00D16207">
            <w:r>
              <w:t xml:space="preserve">      the seller (short position) will pay the buyer. </w:t>
            </w:r>
          </w:p>
          <w:p w:rsidR="00D16207" w:rsidRDefault="00D16207" w:rsidP="00074C10"/>
        </w:tc>
      </w:tr>
    </w:tbl>
    <w:p w:rsidR="00C05904" w:rsidRPr="00EF30B6" w:rsidRDefault="00C77339" w:rsidP="00C77339">
      <w:pPr>
        <w:rPr>
          <w:b/>
          <w:bCs/>
          <w:u w:val="single"/>
        </w:rPr>
      </w:pPr>
      <w:r>
        <w:rPr>
          <w:b/>
          <w:bCs/>
          <w:u w:val="single"/>
        </w:rPr>
        <w:lastRenderedPageBreak/>
        <w:t xml:space="preserve">Rationalization of </w:t>
      </w:r>
      <w:r w:rsidR="00787BD8" w:rsidRPr="00EF30B6">
        <w:rPr>
          <w:b/>
          <w:bCs/>
          <w:u w:val="single"/>
        </w:rPr>
        <w:t>the FRA payment amount</w:t>
      </w:r>
      <w:r w:rsidR="00787BD8" w:rsidRPr="00EF30B6">
        <w:rPr>
          <w:b/>
          <w:bCs/>
        </w:rPr>
        <w:t>:</w:t>
      </w:r>
    </w:p>
    <w:p w:rsidR="00787BD8" w:rsidRDefault="0022364D" w:rsidP="0022364D">
      <w:pPr>
        <w:ind w:firstLine="360"/>
      </w:pPr>
      <w:r>
        <w:t>Suppose bank accepts 6-month Eurodeposits and pays a fixed LIBOR rate.</w:t>
      </w:r>
    </w:p>
    <w:p w:rsidR="0022364D" w:rsidRDefault="0022364D" w:rsidP="0022364D">
      <w:pPr>
        <w:ind w:firstLine="360"/>
      </w:pPr>
      <w:r>
        <w:t>At the same time, the bank lends 3-month Eurocredits of the same amount and this loan is to be rollovered at the end of a 3-month term. Lending margin is LIBOR + X % per annum.</w:t>
      </w:r>
    </w:p>
    <w:p w:rsidR="0022364D" w:rsidRDefault="0022364D" w:rsidP="0022364D">
      <w:pPr>
        <w:ind w:firstLine="360"/>
      </w:pPr>
    </w:p>
    <w:p w:rsidR="00787BD8" w:rsidRDefault="0022364D" w:rsidP="0022364D">
      <w:pPr>
        <w:ind w:firstLine="360"/>
      </w:pPr>
      <w:r>
        <w:t>If LIBOR does not change throughout the 6-month period, then the bank will make profit of about X % (assume no other cost).</w:t>
      </w:r>
    </w:p>
    <w:p w:rsidR="0022364D" w:rsidRDefault="0022364D" w:rsidP="0022364D">
      <w:pPr>
        <w:ind w:firstLine="360"/>
      </w:pPr>
    </w:p>
    <w:p w:rsidR="0022364D" w:rsidRDefault="0022364D" w:rsidP="0022364D">
      <w:pPr>
        <w:ind w:firstLine="360"/>
      </w:pPr>
      <w:r>
        <w:t>From the term structure of interest rate, the bank expects LIBOR to change: expected 3-month LIBOR 3 months from now is equal to AR % (agreement rate).</w:t>
      </w:r>
      <w:r>
        <w:tab/>
      </w:r>
    </w:p>
    <w:p w:rsidR="00787BD8" w:rsidRDefault="0022364D" w:rsidP="0022364D">
      <w:pPr>
        <w:ind w:firstLine="360"/>
      </w:pPr>
      <w:r>
        <w:t xml:space="preserve">Thus, bank expects to charge AR + X % on the rollover loan to make X % profit. </w:t>
      </w:r>
    </w:p>
    <w:p w:rsidR="0022364D" w:rsidRDefault="0022364D" w:rsidP="0022364D">
      <w:pPr>
        <w:ind w:firstLine="360"/>
      </w:pPr>
    </w:p>
    <w:p w:rsidR="0022364D" w:rsidRDefault="0022364D" w:rsidP="0022364D">
      <w:pPr>
        <w:ind w:firstLine="360"/>
      </w:pPr>
    </w:p>
    <w:p w:rsidR="00787BD8" w:rsidRDefault="00787BD8" w:rsidP="0022364D">
      <w:pPr>
        <w:ind w:firstLine="360"/>
      </w:pPr>
    </w:p>
    <w:p w:rsidR="00787BD8" w:rsidRDefault="00787BD8" w:rsidP="0022364D">
      <w:pPr>
        <w:ind w:firstLine="360"/>
      </w:pPr>
    </w:p>
    <w:p w:rsidR="00787BD8" w:rsidRDefault="00787BD8" w:rsidP="0022364D">
      <w:pPr>
        <w:ind w:firstLine="360"/>
      </w:pPr>
    </w:p>
    <w:p w:rsidR="00787BD8" w:rsidRDefault="00787BD8" w:rsidP="0022364D">
      <w:pPr>
        <w:ind w:firstLine="360"/>
      </w:pPr>
    </w:p>
    <w:p w:rsidR="00787BD8" w:rsidRDefault="00787BD8" w:rsidP="0022364D">
      <w:pPr>
        <w:ind w:firstLine="360"/>
      </w:pPr>
    </w:p>
    <w:p w:rsidR="00DC2D19" w:rsidRDefault="00DC2D19" w:rsidP="0022364D">
      <w:pPr>
        <w:ind w:firstLine="360"/>
      </w:pPr>
    </w:p>
    <w:p w:rsidR="00DC2D19" w:rsidRDefault="00DC2D19" w:rsidP="0022364D">
      <w:pPr>
        <w:ind w:firstLine="360"/>
      </w:pPr>
    </w:p>
    <w:p w:rsidR="00DC2D19" w:rsidRDefault="00DC2D19" w:rsidP="0022364D">
      <w:pPr>
        <w:ind w:firstLine="360"/>
      </w:pPr>
    </w:p>
    <w:p w:rsidR="00C77339" w:rsidRDefault="00C77339" w:rsidP="0022364D">
      <w:pPr>
        <w:ind w:firstLine="360"/>
      </w:pPr>
    </w:p>
    <w:p w:rsidR="008B338A" w:rsidRDefault="008B338A" w:rsidP="0022364D">
      <w:pPr>
        <w:ind w:firstLine="360"/>
      </w:pPr>
    </w:p>
    <w:p w:rsidR="00C77339" w:rsidRDefault="00C77339" w:rsidP="0022364D">
      <w:pPr>
        <w:ind w:firstLine="360"/>
      </w:pPr>
    </w:p>
    <w:p w:rsidR="000638F6" w:rsidRDefault="000638F6" w:rsidP="000638F6">
      <w:pPr>
        <w:ind w:firstLine="360"/>
      </w:pPr>
      <w:r>
        <w:t xml:space="preserve">The expected interest income at T = 6m is   </w:t>
      </w:r>
      <w:r w:rsidRPr="000638F6">
        <w:rPr>
          <w:position w:val="-24"/>
        </w:rPr>
        <w:object w:dxaOrig="2200" w:dyaOrig="620">
          <v:shape id="_x0000_i1028" type="#_x0000_t75" style="width:110.25pt;height:30.75pt" o:ole="">
            <v:imagedata r:id="rId10" o:title=""/>
          </v:shape>
          <o:OLEObject Type="Embed" ProgID="Equation.3" ShapeID="_x0000_i1028" DrawAspect="Content" ObjectID="_1379454516" r:id="rId11"/>
        </w:object>
      </w:r>
    </w:p>
    <w:p w:rsidR="000638F6" w:rsidRDefault="000638F6" w:rsidP="000638F6">
      <w:pPr>
        <w:ind w:firstLine="360"/>
      </w:pPr>
      <w:r>
        <w:t xml:space="preserve">But the actual interest income the bank will receive is   </w:t>
      </w:r>
      <w:r w:rsidRPr="000638F6">
        <w:rPr>
          <w:position w:val="-24"/>
        </w:rPr>
        <w:object w:dxaOrig="2160" w:dyaOrig="620">
          <v:shape id="_x0000_i1029" type="#_x0000_t75" style="width:108pt;height:30.75pt" o:ole="">
            <v:imagedata r:id="rId12" o:title=""/>
          </v:shape>
          <o:OLEObject Type="Embed" ProgID="Equation.3" ShapeID="_x0000_i1029" DrawAspect="Content" ObjectID="_1379454517" r:id="rId13"/>
        </w:object>
      </w:r>
      <w:r>
        <w:t xml:space="preserve">  where SR (settlement rate) is the actual 3-month LIBOR at 3 months from now.</w:t>
      </w:r>
    </w:p>
    <w:p w:rsidR="00DC2D19" w:rsidRDefault="000638F6" w:rsidP="000638F6">
      <w:pPr>
        <w:ind w:firstLine="360"/>
      </w:pPr>
      <w:r>
        <w:t xml:space="preserve"> </w:t>
      </w:r>
    </w:p>
    <w:p w:rsidR="00C77339" w:rsidRDefault="000638F6" w:rsidP="000638F6">
      <w:pPr>
        <w:ind w:firstLine="360"/>
      </w:pPr>
      <w:r>
        <w:t>Thus, i</w:t>
      </w:r>
      <w:r w:rsidR="0022364D">
        <w:t>f the LIBOR</w:t>
      </w:r>
      <w:r>
        <w:t xml:space="preserve"> actually turns out</w:t>
      </w:r>
      <w:r w:rsidR="0022364D">
        <w:t xml:space="preserve"> to be less than expected (i.e. SR &lt; AR), then profit will be less than X %.</w:t>
      </w:r>
      <w:r>
        <w:t xml:space="preserve"> Then, the bank will receive  </w:t>
      </w:r>
      <w:r w:rsidRPr="000638F6">
        <w:rPr>
          <w:position w:val="-28"/>
        </w:rPr>
        <w:object w:dxaOrig="2340" w:dyaOrig="680">
          <v:shape id="_x0000_i1030" type="#_x0000_t75" style="width:117pt;height:33.75pt" o:ole="">
            <v:imagedata r:id="rId14" o:title=""/>
          </v:shape>
          <o:OLEObject Type="Embed" ProgID="Equation.3" ShapeID="_x0000_i1030" DrawAspect="Content" ObjectID="_1379454518" r:id="rId15"/>
        </w:object>
      </w:r>
      <w:r>
        <w:t xml:space="preserve"> less than expected.</w:t>
      </w:r>
    </w:p>
    <w:p w:rsidR="000638F6" w:rsidRDefault="000638F6" w:rsidP="000638F6">
      <w:pPr>
        <w:ind w:firstLine="360"/>
      </w:pPr>
      <w:r>
        <w:t xml:space="preserve">This is equivalent to the present value at T =3m : </w:t>
      </w:r>
      <w:r w:rsidRPr="000638F6">
        <w:rPr>
          <w:position w:val="-58"/>
        </w:rPr>
        <w:object w:dxaOrig="2380" w:dyaOrig="1280">
          <v:shape id="_x0000_i1031" type="#_x0000_t75" style="width:119.25pt;height:63.75pt" o:ole="">
            <v:imagedata r:id="rId16" o:title=""/>
          </v:shape>
          <o:OLEObject Type="Embed" ProgID="Equation.3" ShapeID="_x0000_i1031" DrawAspect="Content" ObjectID="_1379454519" r:id="rId17"/>
        </w:object>
      </w:r>
    </w:p>
    <w:p w:rsidR="00C77339" w:rsidRDefault="00C77339" w:rsidP="00C05904"/>
    <w:p w:rsidR="00DC2D19" w:rsidRDefault="000638F6" w:rsidP="000638F6">
      <w:pPr>
        <w:ind w:firstLine="360"/>
        <w:rPr>
          <w:b/>
          <w:bCs/>
        </w:rPr>
      </w:pPr>
      <w:r w:rsidRPr="000638F6">
        <w:rPr>
          <w:b/>
          <w:bCs/>
        </w:rPr>
        <w:t>To guarantee that the ban</w:t>
      </w:r>
      <w:r w:rsidR="00FA75D1">
        <w:rPr>
          <w:b/>
          <w:bCs/>
        </w:rPr>
        <w:t xml:space="preserve">k will get the interest proceed </w:t>
      </w:r>
      <w:r w:rsidRPr="000638F6">
        <w:rPr>
          <w:b/>
          <w:bCs/>
        </w:rPr>
        <w:t>as expected, the bank can sell (short position) FRA at T = 0 to cover the second short-term loan period.</w:t>
      </w:r>
      <w:r w:rsidR="00DC2D19" w:rsidRPr="00DC2D19">
        <w:rPr>
          <w:b/>
          <w:bCs/>
        </w:rPr>
        <w:t xml:space="preserve"> </w:t>
      </w:r>
      <w:r w:rsidR="00DC2D19" w:rsidRPr="00367F0E">
        <w:t>The payment on FRA is made at the beginning of the FRA period when the SR becomes known.</w:t>
      </w:r>
      <w:r w:rsidR="00DC2D19" w:rsidRPr="000638F6">
        <w:rPr>
          <w:b/>
          <w:bCs/>
        </w:rPr>
        <w:t xml:space="preserve"> </w:t>
      </w:r>
    </w:p>
    <w:p w:rsidR="000638F6" w:rsidRPr="000638F6" w:rsidRDefault="000638F6" w:rsidP="000638F6">
      <w:pPr>
        <w:ind w:firstLine="360"/>
        <w:rPr>
          <w:b/>
          <w:bCs/>
        </w:rPr>
      </w:pPr>
      <w:r w:rsidRPr="000638F6">
        <w:rPr>
          <w:b/>
          <w:bCs/>
        </w:rPr>
        <w:t>But in doing so, the bank will forgo the chance to b</w:t>
      </w:r>
      <w:r w:rsidR="00CD14E5">
        <w:rPr>
          <w:b/>
          <w:bCs/>
        </w:rPr>
        <w:t>enefit from increasing LIBOR (be</w:t>
      </w:r>
      <w:r w:rsidRPr="000638F6">
        <w:rPr>
          <w:b/>
          <w:bCs/>
        </w:rPr>
        <w:t>c</w:t>
      </w:r>
      <w:r w:rsidR="00CD14E5">
        <w:rPr>
          <w:b/>
          <w:bCs/>
        </w:rPr>
        <w:t>ause</w:t>
      </w:r>
      <w:r w:rsidRPr="000638F6">
        <w:rPr>
          <w:b/>
          <w:bCs/>
        </w:rPr>
        <w:t xml:space="preserve"> </w:t>
      </w:r>
      <w:r w:rsidR="003471E9">
        <w:rPr>
          <w:b/>
          <w:bCs/>
        </w:rPr>
        <w:t>if LIBOR increases, then the bank</w:t>
      </w:r>
      <w:r w:rsidRPr="000638F6">
        <w:rPr>
          <w:b/>
          <w:bCs/>
        </w:rPr>
        <w:t xml:space="preserve"> will have to pay the buyer</w:t>
      </w:r>
      <w:r w:rsidR="003471E9">
        <w:rPr>
          <w:b/>
          <w:bCs/>
        </w:rPr>
        <w:t xml:space="preserve"> of FRA</w:t>
      </w:r>
      <w:r w:rsidRPr="000638F6">
        <w:rPr>
          <w:b/>
          <w:bCs/>
        </w:rPr>
        <w:t>).</w:t>
      </w:r>
    </w:p>
    <w:p w:rsidR="005354DE" w:rsidRDefault="005354DE" w:rsidP="00C05904">
      <w:pPr>
        <w:rPr>
          <w:b/>
          <w:bCs/>
          <w:u w:val="single"/>
        </w:rPr>
      </w:pPr>
    </w:p>
    <w:p w:rsidR="00787BD8" w:rsidRPr="00C77339" w:rsidRDefault="00C77339" w:rsidP="00C05904">
      <w:pPr>
        <w:rPr>
          <w:b/>
          <w:bCs/>
          <w:u w:val="single"/>
        </w:rPr>
      </w:pPr>
      <w:r w:rsidRPr="00C77339">
        <w:rPr>
          <w:b/>
          <w:bCs/>
          <w:u w:val="single"/>
        </w:rPr>
        <w:t>FRA and speculation</w:t>
      </w:r>
    </w:p>
    <w:p w:rsidR="00C05904" w:rsidRDefault="00C05904" w:rsidP="00C05904"/>
    <w:p w:rsidR="00C05904" w:rsidRDefault="005354DE" w:rsidP="00C05904">
      <w:r>
        <w:t xml:space="preserve">If you expect SR to be </w:t>
      </w:r>
      <w:r w:rsidRPr="005354DE">
        <w:rPr>
          <w:b/>
          <w:bCs/>
        </w:rPr>
        <w:t>greater</w:t>
      </w:r>
      <w:r>
        <w:t xml:space="preserve"> than AR, then </w:t>
      </w:r>
      <w:r w:rsidRPr="005354DE">
        <w:rPr>
          <w:b/>
          <w:bCs/>
        </w:rPr>
        <w:t>buy</w:t>
      </w:r>
      <w:r>
        <w:t xml:space="preserve"> the FRA.</w:t>
      </w:r>
    </w:p>
    <w:p w:rsidR="005354DE" w:rsidRDefault="005354DE" w:rsidP="00C05904">
      <w:r>
        <w:t xml:space="preserve">If you expect SR to be </w:t>
      </w:r>
      <w:r w:rsidRPr="005354DE">
        <w:rPr>
          <w:b/>
          <w:bCs/>
        </w:rPr>
        <w:t>less</w:t>
      </w:r>
      <w:r>
        <w:t xml:space="preserve"> than AR, then </w:t>
      </w:r>
      <w:r w:rsidRPr="005354DE">
        <w:rPr>
          <w:b/>
          <w:bCs/>
        </w:rPr>
        <w:t>sell</w:t>
      </w:r>
      <w:r>
        <w:t xml:space="preserve"> the FRA.</w:t>
      </w:r>
    </w:p>
    <w:p w:rsidR="004A5E92" w:rsidRPr="004A5E92" w:rsidRDefault="004A5E92" w:rsidP="004A5E92">
      <w:pPr>
        <w:widowControl w:val="0"/>
        <w:tabs>
          <w:tab w:val="left" w:pos="-1440"/>
          <w:tab w:val="left" w:pos="-720"/>
          <w:tab w:val="left" w:pos="0"/>
          <w:tab w:val="left" w:pos="450"/>
        </w:tabs>
        <w:spacing w:line="360" w:lineRule="auto"/>
        <w:jc w:val="both"/>
        <w:rPr>
          <w:rFonts w:cs="Times New Roman"/>
          <w:szCs w:val="24"/>
        </w:rPr>
      </w:pPr>
      <w:r w:rsidRPr="004A5E92">
        <w:rPr>
          <w:rFonts w:cs="Times New Roman"/>
          <w:b/>
          <w:bCs/>
          <w:szCs w:val="24"/>
          <w:u w:val="single"/>
        </w:rPr>
        <w:lastRenderedPageBreak/>
        <w:t>Ex</w:t>
      </w:r>
      <w:r w:rsidR="00A420A1">
        <w:rPr>
          <w:rFonts w:cs="Times New Roman"/>
          <w:b/>
          <w:bCs/>
          <w:szCs w:val="24"/>
          <w:u w:val="single"/>
        </w:rPr>
        <w:t>ercise</w:t>
      </w:r>
    </w:p>
    <w:p w:rsidR="004A5E92" w:rsidRPr="004A5E92" w:rsidRDefault="004A5E92" w:rsidP="004A5E92">
      <w:pPr>
        <w:widowControl w:val="0"/>
        <w:tabs>
          <w:tab w:val="left" w:pos="-1440"/>
          <w:tab w:val="left" w:pos="-720"/>
          <w:tab w:val="left" w:pos="0"/>
          <w:tab w:val="left" w:pos="450"/>
        </w:tabs>
        <w:spacing w:line="360" w:lineRule="auto"/>
        <w:jc w:val="both"/>
        <w:rPr>
          <w:rFonts w:cs="Times New Roman"/>
          <w:szCs w:val="24"/>
        </w:rPr>
      </w:pPr>
      <w:r w:rsidRPr="004A5E92">
        <w:rPr>
          <w:rFonts w:cs="Times New Roman"/>
          <w:szCs w:val="24"/>
          <w:u w:val="single"/>
        </w:rPr>
        <w:t>Interest rates on Eurocredits</w:t>
      </w:r>
      <w:r w:rsidRPr="004A5E92">
        <w:rPr>
          <w:rFonts w:cs="Times New Roman"/>
          <w:szCs w:val="24"/>
        </w:rPr>
        <w:t>: Grecian Tile Manufacturing of Athens, Georgia, borrows $1,500,000 at LIBOR plus a lending margin of 1.25 percent per annum on a six-month rollover basis from a London bank.  If six-month LIBOR is 4 ½ percent over the first six-month interval and 5 3/8 percent over the second six-month interval, how much will Grecian Tile pay in interest over the first year of its Eurodollar loan?</w:t>
      </w:r>
    </w:p>
    <w:p w:rsidR="00C05904" w:rsidRDefault="00C05904" w:rsidP="00C05904"/>
    <w:p w:rsidR="005C74BF" w:rsidRDefault="005C74BF" w:rsidP="00C05904">
      <w:pPr>
        <w:widowControl w:val="0"/>
        <w:tabs>
          <w:tab w:val="left" w:pos="-1440"/>
          <w:tab w:val="left" w:pos="-720"/>
          <w:tab w:val="left" w:pos="0"/>
          <w:tab w:val="left" w:pos="450"/>
        </w:tabs>
        <w:spacing w:line="360" w:lineRule="auto"/>
        <w:jc w:val="both"/>
        <w:rPr>
          <w:sz w:val="22"/>
          <w:szCs w:val="22"/>
          <w:u w:val="single"/>
        </w:rPr>
      </w:pPr>
    </w:p>
    <w:p w:rsidR="005C74BF" w:rsidRDefault="005C74BF" w:rsidP="00C05904">
      <w:pPr>
        <w:widowControl w:val="0"/>
        <w:tabs>
          <w:tab w:val="left" w:pos="-1440"/>
          <w:tab w:val="left" w:pos="-720"/>
          <w:tab w:val="left" w:pos="0"/>
          <w:tab w:val="left" w:pos="450"/>
        </w:tabs>
        <w:spacing w:line="360" w:lineRule="auto"/>
        <w:jc w:val="both"/>
        <w:rPr>
          <w:sz w:val="22"/>
          <w:szCs w:val="22"/>
          <w:u w:val="single"/>
        </w:rPr>
      </w:pPr>
    </w:p>
    <w:p w:rsidR="005C74BF" w:rsidRDefault="005C74BF" w:rsidP="00C05904">
      <w:pPr>
        <w:widowControl w:val="0"/>
        <w:tabs>
          <w:tab w:val="left" w:pos="-1440"/>
          <w:tab w:val="left" w:pos="-720"/>
          <w:tab w:val="left" w:pos="0"/>
          <w:tab w:val="left" w:pos="450"/>
        </w:tabs>
        <w:spacing w:line="360" w:lineRule="auto"/>
        <w:jc w:val="both"/>
        <w:rPr>
          <w:sz w:val="22"/>
          <w:szCs w:val="22"/>
          <w:u w:val="single"/>
        </w:rPr>
      </w:pPr>
    </w:p>
    <w:p w:rsidR="005C74BF" w:rsidRDefault="005C74BF" w:rsidP="00C05904">
      <w:pPr>
        <w:widowControl w:val="0"/>
        <w:tabs>
          <w:tab w:val="left" w:pos="-1440"/>
          <w:tab w:val="left" w:pos="-720"/>
          <w:tab w:val="left" w:pos="0"/>
          <w:tab w:val="left" w:pos="450"/>
        </w:tabs>
        <w:spacing w:line="360" w:lineRule="auto"/>
        <w:jc w:val="both"/>
        <w:rPr>
          <w:sz w:val="22"/>
          <w:szCs w:val="22"/>
          <w:u w:val="single"/>
        </w:rPr>
      </w:pPr>
    </w:p>
    <w:p w:rsidR="005C74BF" w:rsidRDefault="005C74BF" w:rsidP="00C05904">
      <w:pPr>
        <w:widowControl w:val="0"/>
        <w:tabs>
          <w:tab w:val="left" w:pos="-1440"/>
          <w:tab w:val="left" w:pos="-720"/>
          <w:tab w:val="left" w:pos="0"/>
          <w:tab w:val="left" w:pos="450"/>
        </w:tabs>
        <w:spacing w:line="360" w:lineRule="auto"/>
        <w:jc w:val="both"/>
        <w:rPr>
          <w:sz w:val="22"/>
          <w:szCs w:val="22"/>
          <w:u w:val="single"/>
        </w:rPr>
      </w:pPr>
    </w:p>
    <w:p w:rsidR="00C05904" w:rsidRDefault="004A5E92" w:rsidP="00C05904">
      <w:pPr>
        <w:widowControl w:val="0"/>
        <w:tabs>
          <w:tab w:val="left" w:pos="-1440"/>
          <w:tab w:val="left" w:pos="-720"/>
          <w:tab w:val="left" w:pos="0"/>
          <w:tab w:val="left" w:pos="450"/>
        </w:tabs>
        <w:spacing w:line="360" w:lineRule="auto"/>
        <w:jc w:val="both"/>
        <w:rPr>
          <w:sz w:val="22"/>
          <w:szCs w:val="22"/>
        </w:rPr>
      </w:pPr>
      <w:r w:rsidRPr="004A5E92">
        <w:rPr>
          <w:sz w:val="22"/>
          <w:szCs w:val="22"/>
          <w:u w:val="single"/>
        </w:rPr>
        <w:t>Forward Interest Agreement</w:t>
      </w:r>
      <w:r>
        <w:rPr>
          <w:sz w:val="22"/>
          <w:szCs w:val="22"/>
        </w:rPr>
        <w:t xml:space="preserve">: </w:t>
      </w:r>
      <w:r w:rsidR="00C05904">
        <w:rPr>
          <w:sz w:val="22"/>
          <w:szCs w:val="22"/>
        </w:rPr>
        <w:t xml:space="preserve">A bank sells a “three against six” $3,000,000 FRA for a three-month period beginning three months from today and ending six months from today.  The purpose of the FRA is to cover the interest rate risk caused by the maturity mismatch from having made a three-month Eurodollar loan and having accepted </w:t>
      </w:r>
      <w:r>
        <w:rPr>
          <w:sz w:val="22"/>
          <w:szCs w:val="22"/>
        </w:rPr>
        <w:t>a six-month Eurodollar deposit.</w:t>
      </w:r>
      <w:r w:rsidR="00C05904">
        <w:rPr>
          <w:sz w:val="22"/>
          <w:szCs w:val="22"/>
        </w:rPr>
        <w:t xml:space="preserve"> The agreement rate with the buyer is 5.5 percent.  There are actually 92 days in the three-month FRA period.  Assume that three months from today the settlement rate is 4 7/8 percent.  Determine how much the FRA is worth and who pays who--the buyer pays the seller or the seller pays the buyer.</w:t>
      </w:r>
    </w:p>
    <w:p w:rsidR="00C05904" w:rsidRDefault="00C05904" w:rsidP="00C05904">
      <w:pPr>
        <w:widowControl w:val="0"/>
        <w:tabs>
          <w:tab w:val="left" w:pos="-1440"/>
          <w:tab w:val="left" w:pos="-720"/>
          <w:tab w:val="left" w:pos="0"/>
          <w:tab w:val="left" w:pos="450"/>
        </w:tabs>
        <w:spacing w:line="360" w:lineRule="auto"/>
        <w:jc w:val="both"/>
        <w:rPr>
          <w:sz w:val="22"/>
          <w:szCs w:val="22"/>
        </w:rPr>
      </w:pPr>
    </w:p>
    <w:p w:rsidR="004A5E92" w:rsidRDefault="004A5E92" w:rsidP="00C05904">
      <w:pPr>
        <w:widowControl w:val="0"/>
        <w:tabs>
          <w:tab w:val="left" w:pos="-1440"/>
          <w:tab w:val="left" w:pos="-720"/>
          <w:tab w:val="left" w:pos="0"/>
          <w:tab w:val="left" w:pos="450"/>
        </w:tabs>
        <w:spacing w:line="360" w:lineRule="auto"/>
        <w:jc w:val="both"/>
        <w:rPr>
          <w:sz w:val="22"/>
          <w:szCs w:val="22"/>
        </w:rPr>
      </w:pPr>
    </w:p>
    <w:p w:rsidR="004A5E92" w:rsidRDefault="004A5E92" w:rsidP="00C05904">
      <w:pPr>
        <w:widowControl w:val="0"/>
        <w:tabs>
          <w:tab w:val="left" w:pos="-1440"/>
          <w:tab w:val="left" w:pos="-720"/>
          <w:tab w:val="left" w:pos="0"/>
          <w:tab w:val="left" w:pos="450"/>
        </w:tabs>
        <w:spacing w:line="360" w:lineRule="auto"/>
        <w:jc w:val="both"/>
        <w:rPr>
          <w:sz w:val="22"/>
          <w:szCs w:val="22"/>
        </w:rPr>
      </w:pPr>
    </w:p>
    <w:p w:rsidR="004A5E92" w:rsidRDefault="004A5E92" w:rsidP="00C05904">
      <w:pPr>
        <w:widowControl w:val="0"/>
        <w:tabs>
          <w:tab w:val="left" w:pos="-1440"/>
          <w:tab w:val="left" w:pos="-720"/>
          <w:tab w:val="left" w:pos="0"/>
          <w:tab w:val="left" w:pos="450"/>
        </w:tabs>
        <w:spacing w:line="360" w:lineRule="auto"/>
        <w:jc w:val="both"/>
        <w:rPr>
          <w:sz w:val="22"/>
          <w:szCs w:val="22"/>
        </w:rPr>
      </w:pPr>
    </w:p>
    <w:p w:rsidR="004A5E92" w:rsidRDefault="004A5E92" w:rsidP="00C05904">
      <w:pPr>
        <w:widowControl w:val="0"/>
        <w:tabs>
          <w:tab w:val="left" w:pos="-1440"/>
          <w:tab w:val="left" w:pos="-720"/>
          <w:tab w:val="left" w:pos="0"/>
          <w:tab w:val="left" w:pos="450"/>
        </w:tabs>
        <w:spacing w:line="360" w:lineRule="auto"/>
        <w:jc w:val="both"/>
        <w:rPr>
          <w:sz w:val="22"/>
          <w:szCs w:val="22"/>
        </w:rPr>
      </w:pPr>
    </w:p>
    <w:p w:rsidR="004A5E92" w:rsidRDefault="004A5E92" w:rsidP="00C05904">
      <w:pPr>
        <w:widowControl w:val="0"/>
        <w:tabs>
          <w:tab w:val="left" w:pos="-1440"/>
          <w:tab w:val="left" w:pos="-720"/>
          <w:tab w:val="left" w:pos="0"/>
          <w:tab w:val="left" w:pos="450"/>
        </w:tabs>
        <w:spacing w:line="360" w:lineRule="auto"/>
        <w:jc w:val="both"/>
        <w:rPr>
          <w:sz w:val="22"/>
          <w:szCs w:val="22"/>
        </w:rPr>
      </w:pPr>
    </w:p>
    <w:p w:rsidR="004A5E92" w:rsidRDefault="004A5E92" w:rsidP="00C05904">
      <w:pPr>
        <w:widowControl w:val="0"/>
        <w:tabs>
          <w:tab w:val="left" w:pos="-1440"/>
          <w:tab w:val="left" w:pos="-720"/>
          <w:tab w:val="left" w:pos="0"/>
          <w:tab w:val="left" w:pos="450"/>
        </w:tabs>
        <w:spacing w:line="360" w:lineRule="auto"/>
        <w:jc w:val="both"/>
        <w:rPr>
          <w:sz w:val="22"/>
          <w:szCs w:val="22"/>
        </w:rPr>
      </w:pPr>
    </w:p>
    <w:p w:rsidR="004A5E92" w:rsidRDefault="004A5E92" w:rsidP="00C05904">
      <w:pPr>
        <w:widowControl w:val="0"/>
        <w:tabs>
          <w:tab w:val="left" w:pos="-1440"/>
          <w:tab w:val="left" w:pos="-720"/>
          <w:tab w:val="left" w:pos="0"/>
          <w:tab w:val="left" w:pos="450"/>
        </w:tabs>
        <w:spacing w:line="360" w:lineRule="auto"/>
        <w:jc w:val="both"/>
        <w:rPr>
          <w:sz w:val="22"/>
          <w:szCs w:val="22"/>
        </w:rPr>
      </w:pPr>
    </w:p>
    <w:p w:rsidR="004A5E92" w:rsidRDefault="004A5E92" w:rsidP="00C05904">
      <w:pPr>
        <w:widowControl w:val="0"/>
        <w:tabs>
          <w:tab w:val="left" w:pos="-1440"/>
          <w:tab w:val="left" w:pos="-720"/>
          <w:tab w:val="left" w:pos="0"/>
          <w:tab w:val="left" w:pos="450"/>
        </w:tabs>
        <w:spacing w:line="360" w:lineRule="auto"/>
        <w:jc w:val="both"/>
        <w:rPr>
          <w:sz w:val="22"/>
          <w:szCs w:val="22"/>
        </w:rPr>
      </w:pPr>
    </w:p>
    <w:p w:rsidR="004A5E92" w:rsidRDefault="004A5E92" w:rsidP="00C05904">
      <w:pPr>
        <w:widowControl w:val="0"/>
        <w:tabs>
          <w:tab w:val="left" w:pos="-1440"/>
          <w:tab w:val="left" w:pos="-720"/>
          <w:tab w:val="left" w:pos="0"/>
          <w:tab w:val="left" w:pos="450"/>
        </w:tabs>
        <w:spacing w:line="360" w:lineRule="auto"/>
        <w:jc w:val="both"/>
        <w:rPr>
          <w:sz w:val="22"/>
          <w:szCs w:val="22"/>
        </w:rPr>
      </w:pPr>
    </w:p>
    <w:p w:rsidR="00C05904" w:rsidRDefault="00C05904" w:rsidP="00C05904">
      <w:pPr>
        <w:widowControl w:val="0"/>
        <w:tabs>
          <w:tab w:val="left" w:pos="-1440"/>
          <w:tab w:val="left" w:pos="-720"/>
          <w:tab w:val="left" w:pos="0"/>
          <w:tab w:val="left" w:pos="450"/>
        </w:tabs>
        <w:spacing w:line="360" w:lineRule="auto"/>
        <w:jc w:val="both"/>
        <w:rPr>
          <w:vanish/>
          <w:sz w:val="22"/>
          <w:szCs w:val="22"/>
        </w:rPr>
      </w:pPr>
    </w:p>
    <w:p w:rsidR="00C05904" w:rsidRDefault="00C05904" w:rsidP="00C05904">
      <w:pPr>
        <w:widowControl w:val="0"/>
        <w:tabs>
          <w:tab w:val="left" w:pos="-1440"/>
          <w:tab w:val="left" w:pos="-720"/>
          <w:tab w:val="left" w:pos="0"/>
          <w:tab w:val="left" w:pos="450"/>
        </w:tabs>
        <w:spacing w:line="360" w:lineRule="auto"/>
        <w:jc w:val="both"/>
        <w:rPr>
          <w:sz w:val="22"/>
          <w:szCs w:val="22"/>
        </w:rPr>
      </w:pPr>
    </w:p>
    <w:p w:rsidR="00C05904" w:rsidRDefault="00C05904" w:rsidP="00C05904">
      <w:pPr>
        <w:widowControl w:val="0"/>
        <w:tabs>
          <w:tab w:val="left" w:pos="-1440"/>
          <w:tab w:val="left" w:pos="-720"/>
          <w:tab w:val="left" w:pos="0"/>
          <w:tab w:val="left" w:pos="450"/>
        </w:tabs>
        <w:spacing w:line="360" w:lineRule="auto"/>
        <w:jc w:val="both"/>
        <w:rPr>
          <w:sz w:val="22"/>
          <w:szCs w:val="22"/>
        </w:rPr>
      </w:pPr>
      <w:r>
        <w:rPr>
          <w:sz w:val="22"/>
          <w:szCs w:val="22"/>
        </w:rPr>
        <w:t>Assume the settlement rate in problem 2 is 6 1/8 percent.  What is the solution now?</w:t>
      </w:r>
    </w:p>
    <w:p w:rsidR="00C05904" w:rsidRDefault="00C05904" w:rsidP="00C05904"/>
    <w:p w:rsidR="00C05904" w:rsidRDefault="00C05904" w:rsidP="00C05904"/>
    <w:p w:rsidR="00C05904" w:rsidRDefault="00C05904" w:rsidP="00C05904"/>
    <w:sectPr w:rsidR="00C05904" w:rsidSect="00DC55EF">
      <w:footerReference w:type="even" r:id="rId18"/>
      <w:footerReference w:type="default" r:id="rId19"/>
      <w:pgSz w:w="11906" w:h="16838"/>
      <w:pgMar w:top="1440" w:right="1247" w:bottom="1440"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5232" w:rsidRDefault="00005232">
      <w:r>
        <w:separator/>
      </w:r>
    </w:p>
  </w:endnote>
  <w:endnote w:type="continuationSeparator" w:id="0">
    <w:p w:rsidR="00005232" w:rsidRDefault="0000523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ngsana New">
    <w:panose1 w:val="02020603050405020304"/>
    <w:charset w:val="00"/>
    <w:family w:val="roman"/>
    <w:pitch w:val="variable"/>
    <w:sig w:usb0="01000003" w:usb1="00000000" w:usb2="00000000" w:usb3="00000000" w:csb0="0001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5904" w:rsidRDefault="00C05904" w:rsidP="00074C1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05904" w:rsidRDefault="00C05904" w:rsidP="00C05904">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5904" w:rsidRDefault="00C05904" w:rsidP="00074C1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420A1">
      <w:rPr>
        <w:rStyle w:val="PageNumber"/>
        <w:noProof/>
      </w:rPr>
      <w:t>3</w:t>
    </w:r>
    <w:r>
      <w:rPr>
        <w:rStyle w:val="PageNumber"/>
      </w:rPr>
      <w:fldChar w:fldCharType="end"/>
    </w:r>
  </w:p>
  <w:p w:rsidR="00C05904" w:rsidRDefault="00C05904" w:rsidP="00C05904">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5232" w:rsidRDefault="00005232">
      <w:r>
        <w:separator/>
      </w:r>
    </w:p>
  </w:footnote>
  <w:footnote w:type="continuationSeparator" w:id="0">
    <w:p w:rsidR="00005232" w:rsidRDefault="0000523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40E0B57"/>
    <w:multiLevelType w:val="hybridMultilevel"/>
    <w:tmpl w:val="69102552"/>
    <w:lvl w:ilvl="0" w:tplc="CC6CE5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58851FC4"/>
    <w:multiLevelType w:val="hybridMultilevel"/>
    <w:tmpl w:val="C63EB88A"/>
    <w:lvl w:ilvl="0" w:tplc="3156268C">
      <w:start w:val="1"/>
      <w:numFmt w:val="bullet"/>
      <w:lvlText w:val=""/>
      <w:lvlJc w:val="left"/>
      <w:pPr>
        <w:tabs>
          <w:tab w:val="num" w:pos="720"/>
        </w:tabs>
        <w:ind w:left="720" w:hanging="360"/>
      </w:pPr>
      <w:rPr>
        <w:rFonts w:ascii="Wingdings" w:hAnsi="Wingdings" w:hint="default"/>
      </w:rPr>
    </w:lvl>
    <w:lvl w:ilvl="1" w:tplc="19CADF7A" w:tentative="1">
      <w:start w:val="1"/>
      <w:numFmt w:val="bullet"/>
      <w:lvlText w:val=""/>
      <w:lvlJc w:val="left"/>
      <w:pPr>
        <w:tabs>
          <w:tab w:val="num" w:pos="1440"/>
        </w:tabs>
        <w:ind w:left="1440" w:hanging="360"/>
      </w:pPr>
      <w:rPr>
        <w:rFonts w:ascii="Wingdings" w:hAnsi="Wingdings" w:hint="default"/>
      </w:rPr>
    </w:lvl>
    <w:lvl w:ilvl="2" w:tplc="FF749A4A" w:tentative="1">
      <w:start w:val="1"/>
      <w:numFmt w:val="bullet"/>
      <w:lvlText w:val=""/>
      <w:lvlJc w:val="left"/>
      <w:pPr>
        <w:tabs>
          <w:tab w:val="num" w:pos="2160"/>
        </w:tabs>
        <w:ind w:left="2160" w:hanging="360"/>
      </w:pPr>
      <w:rPr>
        <w:rFonts w:ascii="Wingdings" w:hAnsi="Wingdings" w:hint="default"/>
      </w:rPr>
    </w:lvl>
    <w:lvl w:ilvl="3" w:tplc="A6129D10" w:tentative="1">
      <w:start w:val="1"/>
      <w:numFmt w:val="bullet"/>
      <w:lvlText w:val=""/>
      <w:lvlJc w:val="left"/>
      <w:pPr>
        <w:tabs>
          <w:tab w:val="num" w:pos="2880"/>
        </w:tabs>
        <w:ind w:left="2880" w:hanging="360"/>
      </w:pPr>
      <w:rPr>
        <w:rFonts w:ascii="Wingdings" w:hAnsi="Wingdings" w:hint="default"/>
      </w:rPr>
    </w:lvl>
    <w:lvl w:ilvl="4" w:tplc="E25437C2" w:tentative="1">
      <w:start w:val="1"/>
      <w:numFmt w:val="bullet"/>
      <w:lvlText w:val=""/>
      <w:lvlJc w:val="left"/>
      <w:pPr>
        <w:tabs>
          <w:tab w:val="num" w:pos="3600"/>
        </w:tabs>
        <w:ind w:left="3600" w:hanging="360"/>
      </w:pPr>
      <w:rPr>
        <w:rFonts w:ascii="Wingdings" w:hAnsi="Wingdings" w:hint="default"/>
      </w:rPr>
    </w:lvl>
    <w:lvl w:ilvl="5" w:tplc="690A2436" w:tentative="1">
      <w:start w:val="1"/>
      <w:numFmt w:val="bullet"/>
      <w:lvlText w:val=""/>
      <w:lvlJc w:val="left"/>
      <w:pPr>
        <w:tabs>
          <w:tab w:val="num" w:pos="4320"/>
        </w:tabs>
        <w:ind w:left="4320" w:hanging="360"/>
      </w:pPr>
      <w:rPr>
        <w:rFonts w:ascii="Wingdings" w:hAnsi="Wingdings" w:hint="default"/>
      </w:rPr>
    </w:lvl>
    <w:lvl w:ilvl="6" w:tplc="79AE9B5A" w:tentative="1">
      <w:start w:val="1"/>
      <w:numFmt w:val="bullet"/>
      <w:lvlText w:val=""/>
      <w:lvlJc w:val="left"/>
      <w:pPr>
        <w:tabs>
          <w:tab w:val="num" w:pos="5040"/>
        </w:tabs>
        <w:ind w:left="5040" w:hanging="360"/>
      </w:pPr>
      <w:rPr>
        <w:rFonts w:ascii="Wingdings" w:hAnsi="Wingdings" w:hint="default"/>
      </w:rPr>
    </w:lvl>
    <w:lvl w:ilvl="7" w:tplc="596CEB4E" w:tentative="1">
      <w:start w:val="1"/>
      <w:numFmt w:val="bullet"/>
      <w:lvlText w:val=""/>
      <w:lvlJc w:val="left"/>
      <w:pPr>
        <w:tabs>
          <w:tab w:val="num" w:pos="5760"/>
        </w:tabs>
        <w:ind w:left="5760" w:hanging="360"/>
      </w:pPr>
      <w:rPr>
        <w:rFonts w:ascii="Wingdings" w:hAnsi="Wingdings" w:hint="default"/>
      </w:rPr>
    </w:lvl>
    <w:lvl w:ilvl="8" w:tplc="CB82F172"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applyBreaking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50FB8"/>
    <w:rsid w:val="00005232"/>
    <w:rsid w:val="00016C95"/>
    <w:rsid w:val="000341BF"/>
    <w:rsid w:val="000638F6"/>
    <w:rsid w:val="00074C10"/>
    <w:rsid w:val="000A7FDB"/>
    <w:rsid w:val="001377B9"/>
    <w:rsid w:val="001F465E"/>
    <w:rsid w:val="0022364D"/>
    <w:rsid w:val="00267030"/>
    <w:rsid w:val="0027197C"/>
    <w:rsid w:val="002C522A"/>
    <w:rsid w:val="003471E9"/>
    <w:rsid w:val="00367F0E"/>
    <w:rsid w:val="003E0D5D"/>
    <w:rsid w:val="003F539E"/>
    <w:rsid w:val="00411EA6"/>
    <w:rsid w:val="00426690"/>
    <w:rsid w:val="004A5E92"/>
    <w:rsid w:val="004B0569"/>
    <w:rsid w:val="00507B70"/>
    <w:rsid w:val="00512349"/>
    <w:rsid w:val="005176DD"/>
    <w:rsid w:val="005354DE"/>
    <w:rsid w:val="005B1174"/>
    <w:rsid w:val="005B441B"/>
    <w:rsid w:val="005C74BF"/>
    <w:rsid w:val="005E510B"/>
    <w:rsid w:val="00635D1B"/>
    <w:rsid w:val="00661A70"/>
    <w:rsid w:val="0067068A"/>
    <w:rsid w:val="00694495"/>
    <w:rsid w:val="006C6788"/>
    <w:rsid w:val="006F7FE1"/>
    <w:rsid w:val="007029C1"/>
    <w:rsid w:val="00704874"/>
    <w:rsid w:val="00787BD8"/>
    <w:rsid w:val="007C7497"/>
    <w:rsid w:val="008B338A"/>
    <w:rsid w:val="0091775E"/>
    <w:rsid w:val="0096554D"/>
    <w:rsid w:val="00A420A1"/>
    <w:rsid w:val="00A5410E"/>
    <w:rsid w:val="00A90A8E"/>
    <w:rsid w:val="00A94ED6"/>
    <w:rsid w:val="00AB7126"/>
    <w:rsid w:val="00B40037"/>
    <w:rsid w:val="00B434F2"/>
    <w:rsid w:val="00B66893"/>
    <w:rsid w:val="00C05904"/>
    <w:rsid w:val="00C50FB8"/>
    <w:rsid w:val="00C77339"/>
    <w:rsid w:val="00CD14E5"/>
    <w:rsid w:val="00CE5536"/>
    <w:rsid w:val="00D0335A"/>
    <w:rsid w:val="00D16207"/>
    <w:rsid w:val="00D74095"/>
    <w:rsid w:val="00DC2D19"/>
    <w:rsid w:val="00DC55EF"/>
    <w:rsid w:val="00E21C8D"/>
    <w:rsid w:val="00E94ABE"/>
    <w:rsid w:val="00EF30B6"/>
    <w:rsid w:val="00FA75D1"/>
  </w:rsids>
  <m:mathPr>
    <m:mathFont m:val="Cambria Math"/>
    <m:brkBin m:val="before"/>
    <m:brkBinSub m:val="--"/>
    <m:smallFrac m:val="off"/>
    <m:dispDef/>
    <m:lMargin m:val="0"/>
    <m:rMargin m:val="0"/>
    <m:defJc m:val="centerGroup"/>
    <m:wrapIndent m:val="1440"/>
    <m:intLim m:val="subSup"/>
    <m:naryLim m:val="undOvr"/>
  </m:mathPr>
  <w:uiCompat97To2003/>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Angsana New"/>
        <w:lang w:val="en-US" w:eastAsia="en-US" w:bidi="th-TH"/>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D740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rsid w:val="00C05904"/>
    <w:pPr>
      <w:tabs>
        <w:tab w:val="center" w:pos="4153"/>
        <w:tab w:val="right" w:pos="8306"/>
      </w:tabs>
    </w:pPr>
  </w:style>
  <w:style w:type="character" w:styleId="PageNumber">
    <w:name w:val="page number"/>
    <w:basedOn w:val="DefaultParagraphFont"/>
    <w:rsid w:val="00C05904"/>
  </w:style>
</w:styles>
</file>

<file path=word/webSettings.xml><?xml version="1.0" encoding="utf-8"?>
<w:webSettings xmlns:r="http://schemas.openxmlformats.org/officeDocument/2006/relationships" xmlns:w="http://schemas.openxmlformats.org/wordprocessingml/2006/main">
  <w:divs>
    <w:div w:id="664551933">
      <w:bodyDiv w:val="1"/>
      <w:marLeft w:val="0"/>
      <w:marRight w:val="0"/>
      <w:marTop w:val="0"/>
      <w:marBottom w:val="0"/>
      <w:divBdr>
        <w:top w:val="none" w:sz="0" w:space="0" w:color="auto"/>
        <w:left w:val="none" w:sz="0" w:space="0" w:color="auto"/>
        <w:bottom w:val="none" w:sz="0" w:space="0" w:color="auto"/>
        <w:right w:val="none" w:sz="0" w:space="0" w:color="auto"/>
      </w:divBdr>
    </w:div>
    <w:div w:id="1920016932">
      <w:bodyDiv w:val="1"/>
      <w:marLeft w:val="0"/>
      <w:marRight w:val="0"/>
      <w:marTop w:val="0"/>
      <w:marBottom w:val="0"/>
      <w:divBdr>
        <w:top w:val="none" w:sz="0" w:space="0" w:color="auto"/>
        <w:left w:val="none" w:sz="0" w:space="0" w:color="auto"/>
        <w:bottom w:val="none" w:sz="0" w:space="0" w:color="auto"/>
        <w:right w:val="none" w:sz="0" w:space="0" w:color="auto"/>
      </w:divBdr>
      <w:divsChild>
        <w:div w:id="990981256">
          <w:marLeft w:val="0"/>
          <w:marRight w:val="0"/>
          <w:marTop w:val="0"/>
          <w:marBottom w:val="0"/>
          <w:divBdr>
            <w:top w:val="none" w:sz="0" w:space="0" w:color="auto"/>
            <w:left w:val="none" w:sz="0" w:space="0" w:color="auto"/>
            <w:bottom w:val="none" w:sz="0" w:space="0" w:color="auto"/>
            <w:right w:val="none" w:sz="0" w:space="0" w:color="auto"/>
          </w:divBdr>
          <w:divsChild>
            <w:div w:id="73250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532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3.bin"/><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emf"/><Relationship Id="rId12" Type="http://schemas.openxmlformats.org/officeDocument/2006/relationships/image" Target="media/image4.wmf"/><Relationship Id="rId17" Type="http://schemas.openxmlformats.org/officeDocument/2006/relationships/oleObject" Target="embeddings/oleObject5.bin"/><Relationship Id="rId2" Type="http://schemas.openxmlformats.org/officeDocument/2006/relationships/styles" Target="styles.xml"/><Relationship Id="rId16" Type="http://schemas.openxmlformats.org/officeDocument/2006/relationships/image" Target="media/image6.wm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oleObject" Target="embeddings/oleObject4.bin"/><Relationship Id="rId10" Type="http://schemas.openxmlformats.org/officeDocument/2006/relationships/image" Target="media/image3.wmf"/><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5.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774</Words>
  <Characters>3870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Forward Rate Agreement (FRA)</vt:lpstr>
    </vt:vector>
  </TitlesOfParts>
  <Company>UC Berkeley</Company>
  <LinksUpToDate>false</LinksUpToDate>
  <CharactersWithSpaces>4635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Forward Rate Agreement (FRA)</dc:title>
  <dc:subject/>
  <dc:creator>Bo</dc:creator>
  <cp:keywords/>
  <dc:description/>
  <cp:lastModifiedBy>SDMASTER</cp:lastModifiedBy>
  <cp:revision>2</cp:revision>
  <dcterms:created xsi:type="dcterms:W3CDTF">2011-10-06T18:02:00Z</dcterms:created>
  <dcterms:modified xsi:type="dcterms:W3CDTF">2011-10-06T18:02:00Z</dcterms:modified>
</cp:coreProperties>
</file>