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0F7F" w:rsidRPr="009B1A6C" w:rsidRDefault="00F00F7F" w:rsidP="00F00F7F">
      <w:pPr>
        <w:jc w:val="right"/>
        <w:rPr>
          <w:rFonts w:ascii="Times New Roman" w:hAnsi="Times New Roman" w:cs="Times New Roman"/>
          <w:sz w:val="28"/>
        </w:rPr>
      </w:pPr>
      <w:r w:rsidRPr="009B1A6C">
        <w:rPr>
          <w:rFonts w:ascii="Times New Roman" w:hAnsi="Times New Roman" w:cs="Times New Roman"/>
          <w:sz w:val="28"/>
        </w:rPr>
        <w:t>5504640755</w:t>
      </w:r>
    </w:p>
    <w:p w:rsidR="00F00F7F" w:rsidRDefault="00F00F7F" w:rsidP="00F00F7F">
      <w:pPr>
        <w:jc w:val="right"/>
        <w:rPr>
          <w:rFonts w:ascii="Times New Roman" w:hAnsi="Times New Roman" w:cs="Times New Roman"/>
          <w:sz w:val="28"/>
        </w:rPr>
      </w:pPr>
      <w:proofErr w:type="spellStart"/>
      <w:r w:rsidRPr="009B1A6C">
        <w:rPr>
          <w:rFonts w:ascii="Times New Roman" w:hAnsi="Times New Roman" w:cs="Times New Roman"/>
          <w:sz w:val="28"/>
        </w:rPr>
        <w:t>Nattanit</w:t>
      </w:r>
      <w:proofErr w:type="spellEnd"/>
      <w:r w:rsidRPr="009B1A6C">
        <w:rPr>
          <w:rFonts w:ascii="Times New Roman" w:hAnsi="Times New Roman" w:cs="Times New Roman"/>
          <w:sz w:val="28"/>
        </w:rPr>
        <w:t xml:space="preserve"> </w:t>
      </w:r>
      <w:proofErr w:type="spellStart"/>
      <w:r w:rsidRPr="009B1A6C">
        <w:rPr>
          <w:rFonts w:ascii="Times New Roman" w:hAnsi="Times New Roman" w:cs="Times New Roman"/>
          <w:sz w:val="28"/>
        </w:rPr>
        <w:t>Nittayaporn</w:t>
      </w:r>
      <w:proofErr w:type="spellEnd"/>
    </w:p>
    <w:p w:rsidR="00F00F7F" w:rsidRDefault="002B0357" w:rsidP="002B0357">
      <w:pPr>
        <w:jc w:val="center"/>
        <w:rPr>
          <w:rFonts w:ascii="Times New Roman" w:hAnsi="Times New Roman" w:cs="Times New Roman"/>
          <w:b/>
          <w:bCs/>
          <w:sz w:val="28"/>
          <w:u w:val="single"/>
        </w:rPr>
      </w:pPr>
      <w:r>
        <w:rPr>
          <w:rFonts w:ascii="Times New Roman" w:hAnsi="Times New Roman" w:cs="Times New Roman"/>
          <w:b/>
          <w:bCs/>
          <w:sz w:val="28"/>
          <w:u w:val="single"/>
        </w:rPr>
        <w:t>Public Expenditure</w:t>
      </w:r>
    </w:p>
    <w:p w:rsidR="00C52C75" w:rsidRDefault="00D603B8" w:rsidP="00096187">
      <w:pPr>
        <w:spacing w:line="480" w:lineRule="auto"/>
        <w:ind w:firstLine="720"/>
        <w:rPr>
          <w:rFonts w:ascii="Times New Roman" w:hAnsi="Times New Roman" w:cs="Times New Roman"/>
          <w:sz w:val="24"/>
          <w:szCs w:val="24"/>
        </w:rPr>
      </w:pPr>
      <w:r w:rsidRPr="00723638">
        <w:rPr>
          <w:rFonts w:ascii="Times New Roman" w:hAnsi="Times New Roman" w:cs="Times New Roman"/>
          <w:sz w:val="24"/>
          <w:szCs w:val="24"/>
        </w:rPr>
        <w:t xml:space="preserve">Switzerland is a </w:t>
      </w:r>
      <w:r w:rsidR="005C6A07">
        <w:rPr>
          <w:rFonts w:ascii="Times New Roman" w:hAnsi="Times New Roman" w:cs="Times New Roman"/>
          <w:sz w:val="24"/>
          <w:szCs w:val="24"/>
        </w:rPr>
        <w:t xml:space="preserve">developed country </w:t>
      </w:r>
      <w:r w:rsidRPr="00723638">
        <w:rPr>
          <w:rFonts w:ascii="Times New Roman" w:hAnsi="Times New Roman" w:cs="Times New Roman"/>
          <w:sz w:val="24"/>
          <w:szCs w:val="24"/>
        </w:rPr>
        <w:t xml:space="preserve">with low unemployment and high skill labors. </w:t>
      </w:r>
      <w:r w:rsidR="002B0357" w:rsidRPr="00723638">
        <w:rPr>
          <w:rFonts w:ascii="Times New Roman" w:hAnsi="Times New Roman" w:cs="Times New Roman"/>
          <w:sz w:val="24"/>
          <w:szCs w:val="24"/>
        </w:rPr>
        <w:t>Switzerland has fluctuated economic growth for past five years. Acco</w:t>
      </w:r>
      <w:r w:rsidR="00C52C75" w:rsidRPr="00723638">
        <w:rPr>
          <w:rFonts w:ascii="Times New Roman" w:hAnsi="Times New Roman" w:cs="Times New Roman"/>
          <w:sz w:val="24"/>
          <w:szCs w:val="24"/>
        </w:rPr>
        <w:t>rding to the global economic recession in 2008</w:t>
      </w:r>
      <w:r w:rsidRPr="00723638">
        <w:rPr>
          <w:rFonts w:ascii="Times New Roman" w:hAnsi="Times New Roman" w:cs="Times New Roman"/>
          <w:sz w:val="24"/>
          <w:szCs w:val="24"/>
        </w:rPr>
        <w:t>, because of the sovereign debt crises in Euro-zone countries</w:t>
      </w:r>
      <w:r w:rsidR="00C52C75" w:rsidRPr="00723638">
        <w:rPr>
          <w:rFonts w:ascii="Times New Roman" w:hAnsi="Times New Roman" w:cs="Times New Roman"/>
          <w:sz w:val="24"/>
          <w:szCs w:val="24"/>
        </w:rPr>
        <w:t xml:space="preserve">, the growth declined extremely in the next year (Figure 1). While Switzerland government still stimulate the economy continually at the same rate. Switzerland economy began to recover </w:t>
      </w:r>
      <w:r w:rsidR="00C417A8" w:rsidRPr="00723638">
        <w:rPr>
          <w:rFonts w:ascii="Times New Roman" w:hAnsi="Times New Roman" w:cs="Times New Roman"/>
          <w:sz w:val="24"/>
          <w:szCs w:val="24"/>
        </w:rPr>
        <w:t>after 2009</w:t>
      </w:r>
      <w:r w:rsidR="00C52C75" w:rsidRPr="00723638">
        <w:rPr>
          <w:rFonts w:ascii="Times New Roman" w:hAnsi="Times New Roman" w:cs="Times New Roman"/>
          <w:sz w:val="24"/>
          <w:szCs w:val="24"/>
        </w:rPr>
        <w:t xml:space="preserve">. </w:t>
      </w:r>
      <w:r w:rsidRPr="00723638">
        <w:rPr>
          <w:rFonts w:ascii="Times New Roman" w:hAnsi="Times New Roman" w:cs="Times New Roman"/>
          <w:sz w:val="24"/>
          <w:szCs w:val="24"/>
        </w:rPr>
        <w:t xml:space="preserve">The government followed OECD regulations such as tax evasion. The government </w:t>
      </w:r>
      <w:r w:rsidR="00BE12A6" w:rsidRPr="00723638">
        <w:rPr>
          <w:rFonts w:ascii="Times New Roman" w:hAnsi="Times New Roman" w:cs="Times New Roman"/>
          <w:sz w:val="24"/>
          <w:szCs w:val="24"/>
        </w:rPr>
        <w:t xml:space="preserve">also has maintained the proportion of expenditure in each sector such as general public services, education and health. This paper will concentrate on health care sector of government expenditure. </w:t>
      </w:r>
    </w:p>
    <w:p w:rsidR="002B0357" w:rsidRPr="00723638" w:rsidRDefault="00BE12A6" w:rsidP="00096187">
      <w:pPr>
        <w:spacing w:line="480" w:lineRule="auto"/>
        <w:rPr>
          <w:rFonts w:ascii="Times New Roman" w:hAnsi="Times New Roman" w:cs="Times New Roman"/>
          <w:b/>
          <w:bCs/>
          <w:sz w:val="24"/>
          <w:szCs w:val="24"/>
        </w:rPr>
      </w:pPr>
      <w:r w:rsidRPr="00723638">
        <w:rPr>
          <w:rFonts w:ascii="Times New Roman" w:hAnsi="Times New Roman" w:cs="Times New Roman"/>
          <w:b/>
          <w:bCs/>
          <w:sz w:val="24"/>
          <w:szCs w:val="24"/>
        </w:rPr>
        <w:t>-</w:t>
      </w:r>
      <w:r w:rsidR="00E00949" w:rsidRPr="00723638">
        <w:rPr>
          <w:rFonts w:ascii="Times New Roman" w:hAnsi="Times New Roman" w:cs="Times New Roman"/>
          <w:b/>
          <w:bCs/>
          <w:sz w:val="24"/>
          <w:szCs w:val="24"/>
        </w:rPr>
        <w:t>Overview of Switzerland economy</w:t>
      </w:r>
    </w:p>
    <w:p w:rsidR="00D274FF" w:rsidRPr="00723638" w:rsidRDefault="00D274FF" w:rsidP="00E00949">
      <w:pPr>
        <w:spacing w:line="480" w:lineRule="auto"/>
        <w:rPr>
          <w:rFonts w:ascii="Times New Roman" w:hAnsi="Times New Roman" w:cs="Times New Roman"/>
          <w:sz w:val="24"/>
          <w:szCs w:val="24"/>
        </w:rPr>
      </w:pPr>
      <w:r w:rsidRPr="00723638">
        <w:rPr>
          <w:rFonts w:ascii="Times New Roman" w:hAnsi="Times New Roman" w:cs="Times New Roman"/>
          <w:b/>
          <w:bCs/>
          <w:sz w:val="24"/>
          <w:szCs w:val="24"/>
        </w:rPr>
        <w:tab/>
      </w:r>
      <w:r w:rsidRPr="00723638">
        <w:rPr>
          <w:rFonts w:ascii="Times New Roman" w:hAnsi="Times New Roman" w:cs="Times New Roman"/>
          <w:sz w:val="24"/>
          <w:szCs w:val="24"/>
        </w:rPr>
        <w:t xml:space="preserve">An economic slow-down in 2005 had </w:t>
      </w:r>
      <w:r w:rsidR="005C6A07">
        <w:rPr>
          <w:rFonts w:ascii="Times New Roman" w:hAnsi="Times New Roman" w:cs="Times New Roman"/>
          <w:sz w:val="24"/>
          <w:szCs w:val="24"/>
        </w:rPr>
        <w:t>affected strong</w:t>
      </w:r>
      <w:r w:rsidRPr="00723638">
        <w:rPr>
          <w:rFonts w:ascii="Times New Roman" w:hAnsi="Times New Roman" w:cs="Times New Roman"/>
          <w:sz w:val="24"/>
          <w:szCs w:val="24"/>
        </w:rPr>
        <w:t>ly</w:t>
      </w:r>
      <w:r w:rsidR="005C6A07">
        <w:rPr>
          <w:rFonts w:ascii="Times New Roman" w:hAnsi="Times New Roman" w:cs="Times New Roman"/>
          <w:sz w:val="24"/>
          <w:szCs w:val="24"/>
        </w:rPr>
        <w:t xml:space="preserve"> from uncertainty of the rising in</w:t>
      </w:r>
      <w:r w:rsidRPr="00723638">
        <w:rPr>
          <w:rFonts w:ascii="Times New Roman" w:hAnsi="Times New Roman" w:cs="Times New Roman"/>
          <w:sz w:val="24"/>
          <w:szCs w:val="24"/>
        </w:rPr>
        <w:t xml:space="preserve"> energy prices. </w:t>
      </w:r>
      <w:r w:rsidR="005C6A07">
        <w:rPr>
          <w:rFonts w:ascii="Times New Roman" w:hAnsi="Times New Roman" w:cs="Times New Roman"/>
          <w:sz w:val="24"/>
          <w:szCs w:val="24"/>
        </w:rPr>
        <w:t>F</w:t>
      </w:r>
      <w:r w:rsidR="005C6A07" w:rsidRPr="005C6A07">
        <w:rPr>
          <w:rFonts w:ascii="Times New Roman" w:hAnsi="Times New Roman" w:cs="Times New Roman"/>
          <w:sz w:val="24"/>
          <w:szCs w:val="24"/>
        </w:rPr>
        <w:t>or this reason</w:t>
      </w:r>
      <w:r w:rsidRPr="00723638">
        <w:rPr>
          <w:rFonts w:ascii="Times New Roman" w:hAnsi="Times New Roman" w:cs="Times New Roman"/>
          <w:sz w:val="24"/>
          <w:szCs w:val="24"/>
        </w:rPr>
        <w:t>, consumer confidence</w:t>
      </w:r>
      <w:r w:rsidR="005C6A07">
        <w:rPr>
          <w:rFonts w:ascii="Times New Roman" w:hAnsi="Times New Roman" w:cs="Times New Roman"/>
          <w:sz w:val="24"/>
          <w:szCs w:val="24"/>
        </w:rPr>
        <w:t xml:space="preserve"> and</w:t>
      </w:r>
      <w:r w:rsidRPr="00723638">
        <w:rPr>
          <w:rFonts w:ascii="Times New Roman" w:hAnsi="Times New Roman" w:cs="Times New Roman"/>
          <w:sz w:val="24"/>
          <w:szCs w:val="24"/>
        </w:rPr>
        <w:t xml:space="preserve"> </w:t>
      </w:r>
      <w:r w:rsidR="005C6A07">
        <w:rPr>
          <w:rFonts w:ascii="Times New Roman" w:hAnsi="Times New Roman" w:cs="Times New Roman"/>
          <w:sz w:val="24"/>
          <w:szCs w:val="24"/>
        </w:rPr>
        <w:t>business</w:t>
      </w:r>
      <w:r w:rsidR="005C6A07" w:rsidRPr="00723638">
        <w:rPr>
          <w:rFonts w:ascii="Times New Roman" w:hAnsi="Times New Roman" w:cs="Times New Roman"/>
          <w:sz w:val="24"/>
          <w:szCs w:val="24"/>
        </w:rPr>
        <w:t xml:space="preserve"> </w:t>
      </w:r>
      <w:r w:rsidR="005C6A07">
        <w:rPr>
          <w:rFonts w:ascii="Times New Roman" w:hAnsi="Times New Roman" w:cs="Times New Roman"/>
          <w:sz w:val="24"/>
          <w:szCs w:val="24"/>
        </w:rPr>
        <w:t>was unstable</w:t>
      </w:r>
      <w:r w:rsidRPr="00723638">
        <w:rPr>
          <w:rFonts w:ascii="Times New Roman" w:hAnsi="Times New Roman" w:cs="Times New Roman"/>
          <w:sz w:val="24"/>
          <w:szCs w:val="24"/>
        </w:rPr>
        <w:t xml:space="preserve">. </w:t>
      </w:r>
      <w:r w:rsidR="00FA4A5F" w:rsidRPr="00723638">
        <w:rPr>
          <w:rFonts w:ascii="Times New Roman" w:hAnsi="Times New Roman" w:cs="Times New Roman"/>
          <w:sz w:val="24"/>
          <w:szCs w:val="24"/>
        </w:rPr>
        <w:t>Despite the increase in oil product</w:t>
      </w:r>
      <w:r w:rsidR="005C6A07">
        <w:rPr>
          <w:rFonts w:ascii="Times New Roman" w:hAnsi="Times New Roman" w:cs="Times New Roman"/>
          <w:sz w:val="24"/>
          <w:szCs w:val="24"/>
        </w:rPr>
        <w:t>s prices, it</w:t>
      </w:r>
      <w:r w:rsidR="00FA4A5F" w:rsidRPr="00723638">
        <w:rPr>
          <w:rFonts w:ascii="Times New Roman" w:hAnsi="Times New Roman" w:cs="Times New Roman"/>
          <w:sz w:val="24"/>
          <w:szCs w:val="24"/>
        </w:rPr>
        <w:t xml:space="preserve"> was again a year of price stability. </w:t>
      </w:r>
      <w:r w:rsidR="005C6A07">
        <w:rPr>
          <w:rFonts w:ascii="Times New Roman" w:hAnsi="Times New Roman" w:cs="Times New Roman"/>
          <w:sz w:val="24"/>
          <w:szCs w:val="24"/>
        </w:rPr>
        <w:t>Certainly</w:t>
      </w:r>
      <w:r w:rsidR="00FA4A5F" w:rsidRPr="00723638">
        <w:rPr>
          <w:rFonts w:ascii="Times New Roman" w:hAnsi="Times New Roman" w:cs="Times New Roman"/>
          <w:sz w:val="24"/>
          <w:szCs w:val="24"/>
        </w:rPr>
        <w:t xml:space="preserve">, it was </w:t>
      </w:r>
      <w:r w:rsidR="005C6A07">
        <w:rPr>
          <w:rFonts w:ascii="Times New Roman" w:hAnsi="Times New Roman" w:cs="Times New Roman"/>
          <w:sz w:val="24"/>
          <w:szCs w:val="24"/>
        </w:rPr>
        <w:t>the twelfth in succession, because</w:t>
      </w:r>
      <w:r w:rsidR="00FA4A5F" w:rsidRPr="00723638">
        <w:rPr>
          <w:rFonts w:ascii="Times New Roman" w:hAnsi="Times New Roman" w:cs="Times New Roman"/>
          <w:sz w:val="24"/>
          <w:szCs w:val="24"/>
        </w:rPr>
        <w:t xml:space="preserve"> the annual rise in </w:t>
      </w:r>
      <w:r w:rsidR="005C6A07" w:rsidRPr="00723638">
        <w:rPr>
          <w:rFonts w:ascii="Times New Roman" w:hAnsi="Times New Roman" w:cs="Times New Roman"/>
          <w:sz w:val="24"/>
          <w:szCs w:val="24"/>
        </w:rPr>
        <w:t>Switzerland</w:t>
      </w:r>
      <w:r w:rsidR="005C6A07">
        <w:rPr>
          <w:rFonts w:ascii="Times New Roman" w:hAnsi="Times New Roman" w:cs="Times New Roman"/>
          <w:sz w:val="24"/>
          <w:szCs w:val="24"/>
        </w:rPr>
        <w:t>’s</w:t>
      </w:r>
      <w:r w:rsidR="005C6A07" w:rsidRPr="00723638">
        <w:rPr>
          <w:rFonts w:ascii="Times New Roman" w:hAnsi="Times New Roman" w:cs="Times New Roman"/>
          <w:sz w:val="24"/>
          <w:szCs w:val="24"/>
        </w:rPr>
        <w:t xml:space="preserve"> </w:t>
      </w:r>
      <w:r w:rsidR="005C6A07">
        <w:rPr>
          <w:rFonts w:ascii="Times New Roman" w:hAnsi="Times New Roman" w:cs="Times New Roman"/>
          <w:sz w:val="24"/>
          <w:szCs w:val="24"/>
        </w:rPr>
        <w:t>consumer prices</w:t>
      </w:r>
      <w:r w:rsidR="00FA4A5F" w:rsidRPr="00723638">
        <w:rPr>
          <w:rFonts w:ascii="Times New Roman" w:hAnsi="Times New Roman" w:cs="Times New Roman"/>
          <w:sz w:val="24"/>
          <w:szCs w:val="24"/>
        </w:rPr>
        <w:t xml:space="preserve"> </w:t>
      </w:r>
      <w:r w:rsidR="005C6A07">
        <w:rPr>
          <w:rFonts w:ascii="Times New Roman" w:hAnsi="Times New Roman" w:cs="Times New Roman"/>
          <w:sz w:val="24"/>
          <w:szCs w:val="24"/>
        </w:rPr>
        <w:t>has balanced under</w:t>
      </w:r>
      <w:r w:rsidR="00FA4A5F" w:rsidRPr="00723638">
        <w:rPr>
          <w:rFonts w:ascii="Times New Roman" w:hAnsi="Times New Roman" w:cs="Times New Roman"/>
          <w:sz w:val="24"/>
          <w:szCs w:val="24"/>
        </w:rPr>
        <w:t xml:space="preserve"> 2% since 1994</w:t>
      </w:r>
      <w:r w:rsidR="00096187" w:rsidRPr="00723638">
        <w:rPr>
          <w:rFonts w:ascii="Times New Roman" w:hAnsi="Times New Roman" w:cs="Times New Roman"/>
          <w:sz w:val="24"/>
          <w:szCs w:val="24"/>
        </w:rPr>
        <w:t>. T</w:t>
      </w:r>
      <w:r w:rsidR="000814CB" w:rsidRPr="00723638">
        <w:rPr>
          <w:rFonts w:ascii="Times New Roman" w:hAnsi="Times New Roman" w:cs="Times New Roman"/>
          <w:sz w:val="24"/>
          <w:szCs w:val="24"/>
        </w:rPr>
        <w:t>he Swiss economy in 2006-2008</w:t>
      </w:r>
      <w:r w:rsidR="00990E78">
        <w:rPr>
          <w:rFonts w:ascii="Times New Roman" w:hAnsi="Times New Roman" w:cs="Times New Roman"/>
          <w:sz w:val="24"/>
          <w:szCs w:val="24"/>
        </w:rPr>
        <w:t xml:space="preserve"> were good even though </w:t>
      </w:r>
      <w:r w:rsidR="00FA4A5F" w:rsidRPr="00723638">
        <w:rPr>
          <w:rFonts w:ascii="Times New Roman" w:hAnsi="Times New Roman" w:cs="Times New Roman"/>
          <w:sz w:val="24"/>
          <w:szCs w:val="24"/>
        </w:rPr>
        <w:t xml:space="preserve">the most recent </w:t>
      </w:r>
      <w:r w:rsidR="00096187" w:rsidRPr="00723638">
        <w:rPr>
          <w:rFonts w:ascii="Times New Roman" w:hAnsi="Times New Roman" w:cs="Times New Roman"/>
          <w:sz w:val="24"/>
          <w:szCs w:val="24"/>
        </w:rPr>
        <w:t>rose in oil prices.</w:t>
      </w:r>
      <w:r w:rsidR="000814CB" w:rsidRPr="00723638">
        <w:rPr>
          <w:rFonts w:ascii="Times New Roman" w:hAnsi="Times New Roman" w:cs="Times New Roman"/>
          <w:sz w:val="24"/>
          <w:szCs w:val="24"/>
        </w:rPr>
        <w:t xml:space="preserve"> Switzerland faced with the 2009</w:t>
      </w:r>
      <w:r w:rsidR="00096187" w:rsidRPr="00723638">
        <w:rPr>
          <w:rFonts w:ascii="Times New Roman" w:hAnsi="Times New Roman" w:cs="Times New Roman"/>
          <w:sz w:val="24"/>
          <w:szCs w:val="24"/>
        </w:rPr>
        <w:t xml:space="preserve"> </w:t>
      </w:r>
      <w:r w:rsidR="000814CB" w:rsidRPr="00723638">
        <w:rPr>
          <w:rFonts w:ascii="Times New Roman" w:hAnsi="Times New Roman" w:cs="Times New Roman"/>
          <w:sz w:val="24"/>
          <w:szCs w:val="24"/>
        </w:rPr>
        <w:t>recession again. They bounced back strongly by used low interest rates, high immigration and an exchange rate ceiling until now. All of these supported export growth. Inflation has been quite low or negative over the past four years. The unemployment rate is low. The Swiss government set to impose limits on immigration to put a premium on stronger productiv</w:t>
      </w:r>
      <w:r w:rsidR="00990E78">
        <w:rPr>
          <w:rFonts w:ascii="Times New Roman" w:hAnsi="Times New Roman" w:cs="Times New Roman"/>
          <w:sz w:val="24"/>
          <w:szCs w:val="24"/>
        </w:rPr>
        <w:t>ity growth in the years ahead. The</w:t>
      </w:r>
      <w:r w:rsidR="000814CB" w:rsidRPr="00723638">
        <w:rPr>
          <w:rFonts w:ascii="Times New Roman" w:hAnsi="Times New Roman" w:cs="Times New Roman"/>
          <w:sz w:val="24"/>
          <w:szCs w:val="24"/>
        </w:rPr>
        <w:t xml:space="preserve"> performance</w:t>
      </w:r>
      <w:r w:rsidR="00990E78">
        <w:rPr>
          <w:rFonts w:ascii="Times New Roman" w:hAnsi="Times New Roman" w:cs="Times New Roman"/>
          <w:sz w:val="24"/>
          <w:szCs w:val="24"/>
        </w:rPr>
        <w:t xml:space="preserve"> of Switzerland</w:t>
      </w:r>
      <w:r w:rsidR="000814CB" w:rsidRPr="00723638">
        <w:rPr>
          <w:rFonts w:ascii="Times New Roman" w:hAnsi="Times New Roman" w:cs="Times New Roman"/>
          <w:sz w:val="24"/>
          <w:szCs w:val="24"/>
        </w:rPr>
        <w:t xml:space="preserve"> in terms of per capita GDP growth over the past decade has been </w:t>
      </w:r>
      <w:r w:rsidR="00990E78">
        <w:rPr>
          <w:rFonts w:ascii="Times New Roman" w:hAnsi="Times New Roman" w:cs="Times New Roman"/>
          <w:sz w:val="24"/>
          <w:szCs w:val="24"/>
        </w:rPr>
        <w:lastRenderedPageBreak/>
        <w:t>near average of</w:t>
      </w:r>
      <w:r w:rsidR="000814CB" w:rsidRPr="00723638">
        <w:rPr>
          <w:rFonts w:ascii="Times New Roman" w:hAnsi="Times New Roman" w:cs="Times New Roman"/>
          <w:sz w:val="24"/>
          <w:szCs w:val="24"/>
        </w:rPr>
        <w:t xml:space="preserve"> the </w:t>
      </w:r>
      <w:r w:rsidR="00990E78">
        <w:rPr>
          <w:rFonts w:ascii="Times New Roman" w:hAnsi="Times New Roman" w:cs="Times New Roman"/>
          <w:sz w:val="24"/>
          <w:szCs w:val="24"/>
        </w:rPr>
        <w:t>OECD. A</w:t>
      </w:r>
      <w:r w:rsidR="000814CB" w:rsidRPr="00723638">
        <w:rPr>
          <w:rFonts w:ascii="Times New Roman" w:hAnsi="Times New Roman" w:cs="Times New Roman"/>
          <w:sz w:val="24"/>
          <w:szCs w:val="24"/>
        </w:rPr>
        <w:t>s</w:t>
      </w:r>
      <w:r w:rsidR="00990E78">
        <w:rPr>
          <w:rFonts w:ascii="Times New Roman" w:hAnsi="Times New Roman" w:cs="Times New Roman"/>
          <w:sz w:val="24"/>
          <w:szCs w:val="24"/>
        </w:rPr>
        <w:t xml:space="preserve"> Switzerland has the</w:t>
      </w:r>
      <w:r w:rsidR="000814CB" w:rsidRPr="00723638">
        <w:rPr>
          <w:rFonts w:ascii="Times New Roman" w:hAnsi="Times New Roman" w:cs="Times New Roman"/>
          <w:sz w:val="24"/>
          <w:szCs w:val="24"/>
        </w:rPr>
        <w:t xml:space="preserve"> labor productivity performance and hap</w:t>
      </w:r>
      <w:r w:rsidR="00990E78">
        <w:rPr>
          <w:rFonts w:ascii="Times New Roman" w:hAnsi="Times New Roman" w:cs="Times New Roman"/>
          <w:sz w:val="24"/>
          <w:szCs w:val="24"/>
        </w:rPr>
        <w:t>piness indicators that are very high. Many several major cities in Switzerland</w:t>
      </w:r>
      <w:r w:rsidR="00E00949" w:rsidRPr="00723638">
        <w:rPr>
          <w:rFonts w:ascii="Times New Roman" w:hAnsi="Times New Roman" w:cs="Times New Roman"/>
          <w:sz w:val="24"/>
          <w:szCs w:val="24"/>
        </w:rPr>
        <w:t xml:space="preserve"> </w:t>
      </w:r>
      <w:r w:rsidR="00990E78">
        <w:rPr>
          <w:rFonts w:ascii="Times New Roman" w:hAnsi="Times New Roman" w:cs="Times New Roman"/>
          <w:sz w:val="24"/>
          <w:szCs w:val="24"/>
        </w:rPr>
        <w:t>mainly ranking in the</w:t>
      </w:r>
      <w:r w:rsidR="000814CB" w:rsidRPr="00723638">
        <w:rPr>
          <w:rFonts w:ascii="Times New Roman" w:hAnsi="Times New Roman" w:cs="Times New Roman"/>
          <w:sz w:val="24"/>
          <w:szCs w:val="24"/>
        </w:rPr>
        <w:t xml:space="preserve"> best places to live</w:t>
      </w:r>
      <w:r w:rsidR="00990E78">
        <w:rPr>
          <w:rFonts w:ascii="Times New Roman" w:hAnsi="Times New Roman" w:cs="Times New Roman"/>
          <w:sz w:val="24"/>
          <w:szCs w:val="24"/>
        </w:rPr>
        <w:t xml:space="preserve"> in the world</w:t>
      </w:r>
      <w:r w:rsidR="000814CB" w:rsidRPr="00723638">
        <w:rPr>
          <w:rFonts w:ascii="Times New Roman" w:hAnsi="Times New Roman" w:cs="Times New Roman"/>
          <w:sz w:val="24"/>
          <w:szCs w:val="24"/>
        </w:rPr>
        <w:t>.</w:t>
      </w:r>
      <w:r w:rsidR="00E00949" w:rsidRPr="00723638">
        <w:rPr>
          <w:rFonts w:ascii="Times New Roman" w:hAnsi="Times New Roman" w:cs="Times New Roman"/>
          <w:sz w:val="24"/>
          <w:szCs w:val="24"/>
        </w:rPr>
        <w:t xml:space="preserve"> </w:t>
      </w:r>
      <w:r w:rsidR="00990E78" w:rsidRPr="00723638">
        <w:rPr>
          <w:rFonts w:ascii="Times New Roman" w:hAnsi="Times New Roman" w:cs="Times New Roman"/>
          <w:sz w:val="24"/>
          <w:szCs w:val="24"/>
        </w:rPr>
        <w:t>Switzerland</w:t>
      </w:r>
      <w:r w:rsidR="00990E78">
        <w:rPr>
          <w:rFonts w:ascii="Times New Roman" w:hAnsi="Times New Roman" w:cs="Times New Roman"/>
          <w:sz w:val="24"/>
          <w:szCs w:val="24"/>
        </w:rPr>
        <w:t>’s</w:t>
      </w:r>
      <w:r w:rsidR="00990E78" w:rsidRPr="00723638">
        <w:rPr>
          <w:rFonts w:ascii="Times New Roman" w:hAnsi="Times New Roman" w:cs="Times New Roman"/>
          <w:sz w:val="24"/>
          <w:szCs w:val="24"/>
        </w:rPr>
        <w:t xml:space="preserve"> </w:t>
      </w:r>
      <w:r w:rsidR="00990E78">
        <w:rPr>
          <w:rFonts w:ascii="Times New Roman" w:hAnsi="Times New Roman" w:cs="Times New Roman"/>
          <w:sz w:val="24"/>
          <w:szCs w:val="24"/>
        </w:rPr>
        <w:t>Public expenditure</w:t>
      </w:r>
      <w:r w:rsidR="00E00949" w:rsidRPr="00723638">
        <w:rPr>
          <w:rFonts w:ascii="Times New Roman" w:hAnsi="Times New Roman" w:cs="Times New Roman"/>
          <w:sz w:val="24"/>
          <w:szCs w:val="24"/>
        </w:rPr>
        <w:t xml:space="preserve"> was just 33.5% of GDP in 2014, one of the lowest in the OECD. (Figure 2) The</w:t>
      </w:r>
      <w:r w:rsidR="00765276" w:rsidRPr="00723638">
        <w:rPr>
          <w:rFonts w:ascii="Times New Roman" w:hAnsi="Times New Roman" w:cs="Times New Roman"/>
          <w:sz w:val="24"/>
          <w:szCs w:val="24"/>
        </w:rPr>
        <w:t xml:space="preserve"> Swiss government has spent the most on social protection, the second most for education, followed by economic affair. In all three areas Switzerland has spent above the OECD average, while it spends less on health due to prevalence of private health care insurance.</w:t>
      </w:r>
      <w:r w:rsidR="00E00949" w:rsidRPr="00723638">
        <w:rPr>
          <w:rFonts w:ascii="Times New Roman" w:hAnsi="Times New Roman" w:cs="Times New Roman"/>
          <w:sz w:val="24"/>
          <w:szCs w:val="24"/>
        </w:rPr>
        <w:t xml:space="preserve"> </w:t>
      </w:r>
    </w:p>
    <w:p w:rsidR="00183FD7" w:rsidRPr="00723638" w:rsidRDefault="00765276" w:rsidP="00183FD7">
      <w:pPr>
        <w:pStyle w:val="Default"/>
        <w:spacing w:line="480" w:lineRule="auto"/>
        <w:rPr>
          <w:rFonts w:ascii="Times New Roman" w:hAnsi="Times New Roman" w:cs="Times New Roman"/>
          <w:b/>
          <w:bCs/>
        </w:rPr>
      </w:pPr>
      <w:r w:rsidRPr="00723638">
        <w:rPr>
          <w:rFonts w:ascii="Times New Roman" w:hAnsi="Times New Roman" w:cs="Times New Roman"/>
          <w:b/>
          <w:bCs/>
        </w:rPr>
        <w:t>-Health</w:t>
      </w:r>
    </w:p>
    <w:p w:rsidR="00727A1B" w:rsidRPr="00723638" w:rsidRDefault="00183FD7" w:rsidP="00727A1B">
      <w:pPr>
        <w:pStyle w:val="Default"/>
        <w:spacing w:line="480" w:lineRule="auto"/>
        <w:ind w:firstLine="720"/>
        <w:rPr>
          <w:rFonts w:ascii="Times New Roman" w:hAnsi="Times New Roman" w:cs="Times New Roman"/>
        </w:rPr>
      </w:pPr>
      <w:r w:rsidRPr="00723638">
        <w:rPr>
          <w:rFonts w:ascii="Times New Roman" w:hAnsi="Times New Roman" w:cs="Times New Roman"/>
        </w:rPr>
        <w:t>Health is one part of government spending that can impact on GDP of country. If government spends more on health care sector. This can enhance the quality of health care service that affects to a higher productivity of labors. It can increase the economy growth.</w:t>
      </w:r>
    </w:p>
    <w:p w:rsidR="002A7EDD" w:rsidRPr="009A603E" w:rsidRDefault="00BB0A39" w:rsidP="00CF5AA7">
      <w:pPr>
        <w:spacing w:line="480" w:lineRule="auto"/>
        <w:jc w:val="thaiDistribute"/>
        <w:rPr>
          <w:rFonts w:ascii="Times New Roman" w:hAnsi="Times New Roman" w:cs="Times New Roman"/>
          <w:color w:val="000000"/>
          <w:sz w:val="24"/>
          <w:szCs w:val="24"/>
        </w:rPr>
      </w:pPr>
      <w:r w:rsidRPr="00723638">
        <w:rPr>
          <w:rFonts w:ascii="Times New Roman" w:hAnsi="Times New Roman" w:cs="Times New Roman"/>
          <w:sz w:val="24"/>
          <w:szCs w:val="24"/>
        </w:rPr>
        <w:t xml:space="preserve">(Figure 5) </w:t>
      </w:r>
      <w:r w:rsidR="002538A5" w:rsidRPr="00723638">
        <w:rPr>
          <w:rFonts w:ascii="Times New Roman" w:hAnsi="Times New Roman" w:cs="Times New Roman"/>
          <w:sz w:val="24"/>
          <w:szCs w:val="24"/>
        </w:rPr>
        <w:t>Government spending on health</w:t>
      </w:r>
      <w:r w:rsidR="00375554">
        <w:rPr>
          <w:rFonts w:ascii="Times New Roman" w:hAnsi="Times New Roman" w:cs="Times New Roman"/>
          <w:sz w:val="24"/>
          <w:szCs w:val="24"/>
        </w:rPr>
        <w:t xml:space="preserve"> care in Switzerland wa</w:t>
      </w:r>
      <w:r w:rsidR="00EF2ACE" w:rsidRPr="00723638">
        <w:rPr>
          <w:rFonts w:ascii="Times New Roman" w:hAnsi="Times New Roman" w:cs="Times New Roman"/>
          <w:sz w:val="24"/>
          <w:szCs w:val="24"/>
        </w:rPr>
        <w:t xml:space="preserve">s 10.1 </w:t>
      </w:r>
      <w:r w:rsidR="002538A5" w:rsidRPr="00723638">
        <w:rPr>
          <w:rFonts w:ascii="Times New Roman" w:hAnsi="Times New Roman" w:cs="Times New Roman"/>
          <w:sz w:val="24"/>
          <w:szCs w:val="24"/>
        </w:rPr>
        <w:t>percent of GDP in 2013</w:t>
      </w:r>
      <w:r w:rsidR="00990E78">
        <w:rPr>
          <w:rFonts w:ascii="Times New Roman" w:hAnsi="Times New Roman" w:cs="Times New Roman"/>
          <w:sz w:val="24"/>
          <w:szCs w:val="24"/>
        </w:rPr>
        <w:t>.</w:t>
      </w:r>
      <w:r w:rsidR="00EF2ACE" w:rsidRPr="00723638">
        <w:rPr>
          <w:rFonts w:ascii="Times New Roman" w:hAnsi="Times New Roman" w:cs="Times New Roman"/>
          <w:sz w:val="24"/>
          <w:szCs w:val="24"/>
        </w:rPr>
        <w:t xml:space="preserve"> </w:t>
      </w:r>
      <w:r w:rsidR="00990E78">
        <w:rPr>
          <w:rFonts w:ascii="Times New Roman" w:hAnsi="Times New Roman" w:cs="Times New Roman"/>
          <w:sz w:val="24"/>
          <w:szCs w:val="24"/>
        </w:rPr>
        <w:t>This was</w:t>
      </w:r>
      <w:r w:rsidR="00EF2ACE" w:rsidRPr="00723638">
        <w:rPr>
          <w:rFonts w:ascii="Times New Roman" w:hAnsi="Times New Roman" w:cs="Times New Roman"/>
          <w:sz w:val="24"/>
          <w:szCs w:val="24"/>
        </w:rPr>
        <w:t xml:space="preserve"> above the OECD </w:t>
      </w:r>
      <w:r w:rsidR="00375554">
        <w:rPr>
          <w:rFonts w:ascii="Times New Roman" w:hAnsi="Times New Roman" w:cs="Times New Roman"/>
          <w:sz w:val="24"/>
          <w:szCs w:val="24"/>
        </w:rPr>
        <w:t>average of 8.9</w:t>
      </w:r>
      <w:r w:rsidRPr="00723638">
        <w:rPr>
          <w:rFonts w:ascii="Times New Roman" w:hAnsi="Times New Roman" w:cs="Times New Roman"/>
          <w:sz w:val="24"/>
          <w:szCs w:val="24"/>
        </w:rPr>
        <w:t xml:space="preserve"> percent</w:t>
      </w:r>
      <w:r w:rsidR="00EF2ACE" w:rsidRPr="00723638">
        <w:rPr>
          <w:rFonts w:ascii="Times New Roman" w:hAnsi="Times New Roman" w:cs="Times New Roman"/>
          <w:sz w:val="24"/>
          <w:szCs w:val="24"/>
        </w:rPr>
        <w:t>.</w:t>
      </w:r>
      <w:r w:rsidRPr="00723638">
        <w:rPr>
          <w:rFonts w:ascii="Times New Roman" w:hAnsi="Times New Roman" w:cs="Times New Roman"/>
          <w:sz w:val="24"/>
          <w:szCs w:val="24"/>
        </w:rPr>
        <w:t xml:space="preserve"> It is </w:t>
      </w:r>
      <w:r w:rsidR="002A7EDD" w:rsidRPr="00723638">
        <w:rPr>
          <w:rFonts w:ascii="Times New Roman" w:hAnsi="Times New Roman" w:cs="Times New Roman"/>
          <w:sz w:val="24"/>
          <w:szCs w:val="24"/>
        </w:rPr>
        <w:t xml:space="preserve">the third highest share across OECD countries, following only United Stated and Netherlands. </w:t>
      </w:r>
      <w:r w:rsidR="00727A1B" w:rsidRPr="00723638">
        <w:rPr>
          <w:rFonts w:ascii="Times New Roman" w:hAnsi="Times New Roman" w:cs="Times New Roman"/>
          <w:sz w:val="24"/>
          <w:szCs w:val="24"/>
        </w:rPr>
        <w:t>The Swiss health expenditure can divided in two parts; public and private expendit</w:t>
      </w:r>
      <w:r w:rsidR="00EF2ACE" w:rsidRPr="00723638">
        <w:rPr>
          <w:rFonts w:ascii="Times New Roman" w:hAnsi="Times New Roman" w:cs="Times New Roman"/>
          <w:sz w:val="24"/>
          <w:szCs w:val="24"/>
        </w:rPr>
        <w:t>ure. (Figure 3) For Switzerland health expenditure, the government spends more on public health than private spending slightly.</w:t>
      </w:r>
      <w:r w:rsidR="003F63CA" w:rsidRPr="00723638">
        <w:rPr>
          <w:rFonts w:ascii="Times New Roman" w:hAnsi="Times New Roman" w:cs="Times New Roman"/>
          <w:sz w:val="24"/>
          <w:szCs w:val="24"/>
        </w:rPr>
        <w:t xml:space="preserve"> Moreover, public health expenditure has increase over past five years. Private health also plays an important role in providing health care coverage in Switzerland. (Figure 4)</w:t>
      </w:r>
      <w:r w:rsidR="00375554">
        <w:rPr>
          <w:rFonts w:ascii="Times New Roman" w:hAnsi="Times New Roman" w:cs="Times New Roman"/>
          <w:sz w:val="24"/>
          <w:szCs w:val="24"/>
        </w:rPr>
        <w:t xml:space="preserve"> It is</w:t>
      </w:r>
      <w:r w:rsidR="003F63CA" w:rsidRPr="00723638">
        <w:rPr>
          <w:rFonts w:ascii="Times New Roman" w:hAnsi="Times New Roman" w:cs="Times New Roman"/>
          <w:sz w:val="24"/>
          <w:szCs w:val="24"/>
        </w:rPr>
        <w:t xml:space="preserve"> </w:t>
      </w:r>
      <w:r w:rsidR="00375554">
        <w:rPr>
          <w:rFonts w:ascii="Times New Roman" w:hAnsi="Times New Roman" w:cs="Times New Roman"/>
          <w:sz w:val="24"/>
          <w:szCs w:val="24"/>
        </w:rPr>
        <w:t>over</w:t>
      </w:r>
      <w:r w:rsidR="003F63CA" w:rsidRPr="00723638">
        <w:rPr>
          <w:rFonts w:ascii="Times New Roman" w:hAnsi="Times New Roman" w:cs="Times New Roman"/>
          <w:sz w:val="24"/>
          <w:szCs w:val="24"/>
        </w:rPr>
        <w:t xml:space="preserve"> 70 percent of private health expenditure</w:t>
      </w:r>
      <w:r w:rsidR="00375554">
        <w:rPr>
          <w:rFonts w:ascii="Times New Roman" w:hAnsi="Times New Roman" w:cs="Times New Roman"/>
          <w:sz w:val="24"/>
          <w:szCs w:val="24"/>
        </w:rPr>
        <w:t xml:space="preserve"> that</w:t>
      </w:r>
      <w:r w:rsidR="003F63CA" w:rsidRPr="00723638">
        <w:rPr>
          <w:rFonts w:ascii="Times New Roman" w:hAnsi="Times New Roman" w:cs="Times New Roman"/>
          <w:sz w:val="24"/>
          <w:szCs w:val="24"/>
        </w:rPr>
        <w:t xml:space="preserve"> is </w:t>
      </w:r>
      <w:r w:rsidR="00375554">
        <w:rPr>
          <w:rFonts w:ascii="Times New Roman" w:hAnsi="Times New Roman" w:cs="Times New Roman"/>
          <w:sz w:val="24"/>
          <w:szCs w:val="24"/>
        </w:rPr>
        <w:t>a part of</w:t>
      </w:r>
      <w:r w:rsidR="003F63CA" w:rsidRPr="00723638">
        <w:rPr>
          <w:rFonts w:ascii="Times New Roman" w:hAnsi="Times New Roman" w:cs="Times New Roman"/>
          <w:sz w:val="24"/>
          <w:szCs w:val="24"/>
        </w:rPr>
        <w:t xml:space="preserve"> households’ out-of-pocket spending. According to Swiss citizens’ buying insurance for themselves,</w:t>
      </w:r>
      <w:r w:rsidR="00375554">
        <w:rPr>
          <w:rFonts w:ascii="Times New Roman" w:hAnsi="Times New Roman" w:cs="Times New Roman"/>
          <w:sz w:val="24"/>
          <w:szCs w:val="24"/>
        </w:rPr>
        <w:t xml:space="preserve"> it does not have employer-sponsored or government supporting in insurance programs</w:t>
      </w:r>
      <w:r w:rsidR="003F63CA" w:rsidRPr="00723638">
        <w:rPr>
          <w:rFonts w:ascii="Times New Roman" w:hAnsi="Times New Roman" w:cs="Times New Roman"/>
          <w:sz w:val="24"/>
          <w:szCs w:val="24"/>
        </w:rPr>
        <w:t>.</w:t>
      </w:r>
      <w:r w:rsidRPr="00723638">
        <w:rPr>
          <w:rFonts w:ascii="Times New Roman" w:hAnsi="Times New Roman" w:cs="Times New Roman"/>
          <w:sz w:val="24"/>
          <w:szCs w:val="24"/>
        </w:rPr>
        <w:t xml:space="preserve"> </w:t>
      </w:r>
      <w:r w:rsidR="00375554">
        <w:rPr>
          <w:rFonts w:ascii="Times New Roman" w:hAnsi="Times New Roman" w:cs="Times New Roman"/>
          <w:sz w:val="24"/>
          <w:szCs w:val="24"/>
        </w:rPr>
        <w:t xml:space="preserve">Switzerland does not have </w:t>
      </w:r>
      <w:r w:rsidR="00375554" w:rsidRPr="00723638">
        <w:rPr>
          <w:rFonts w:ascii="Times New Roman" w:hAnsi="Times New Roman" w:cs="Times New Roman"/>
          <w:sz w:val="24"/>
          <w:szCs w:val="24"/>
        </w:rPr>
        <w:t>Free</w:t>
      </w:r>
      <w:r w:rsidR="002A7EDD" w:rsidRPr="00723638">
        <w:rPr>
          <w:rFonts w:ascii="Times New Roman" w:hAnsi="Times New Roman" w:cs="Times New Roman"/>
          <w:sz w:val="24"/>
          <w:szCs w:val="24"/>
        </w:rPr>
        <w:t xml:space="preserve"> State health service in Switzerland.</w:t>
      </w:r>
      <w:r w:rsidR="00375554">
        <w:rPr>
          <w:rFonts w:ascii="Times New Roman" w:hAnsi="Times New Roman" w:cs="Times New Roman"/>
          <w:sz w:val="24"/>
          <w:szCs w:val="24"/>
        </w:rPr>
        <w:t xml:space="preserve"> The government assist</w:t>
      </w:r>
      <w:r w:rsidR="003F63CA" w:rsidRPr="00723638">
        <w:rPr>
          <w:rFonts w:ascii="Times New Roman" w:hAnsi="Times New Roman" w:cs="Times New Roman"/>
          <w:sz w:val="24"/>
          <w:szCs w:val="24"/>
        </w:rPr>
        <w:t>s</w:t>
      </w:r>
      <w:r w:rsidRPr="00723638">
        <w:rPr>
          <w:rFonts w:ascii="Times New Roman" w:hAnsi="Times New Roman" w:cs="Times New Roman"/>
          <w:sz w:val="24"/>
          <w:szCs w:val="24"/>
        </w:rPr>
        <w:t xml:space="preserve"> just the minimum benefit package. The government will subsidize </w:t>
      </w:r>
      <w:r w:rsidR="00375554" w:rsidRPr="00723638">
        <w:rPr>
          <w:rFonts w:ascii="Times New Roman" w:hAnsi="Times New Roman" w:cs="Times New Roman"/>
          <w:sz w:val="24"/>
          <w:szCs w:val="24"/>
        </w:rPr>
        <w:t xml:space="preserve">poor people for </w:t>
      </w:r>
      <w:r w:rsidRPr="00723638">
        <w:rPr>
          <w:rFonts w:ascii="Times New Roman" w:hAnsi="Times New Roman" w:cs="Times New Roman"/>
          <w:sz w:val="24"/>
          <w:szCs w:val="24"/>
        </w:rPr>
        <w:t>health care</w:t>
      </w:r>
      <w:r w:rsidR="00375554">
        <w:rPr>
          <w:rFonts w:ascii="Times New Roman" w:hAnsi="Times New Roman" w:cs="Times New Roman"/>
          <w:sz w:val="24"/>
          <w:szCs w:val="24"/>
        </w:rPr>
        <w:t>. They aim to</w:t>
      </w:r>
      <w:r w:rsidRPr="00723638">
        <w:rPr>
          <w:rFonts w:ascii="Times New Roman" w:hAnsi="Times New Roman" w:cs="Times New Roman"/>
          <w:sz w:val="24"/>
          <w:szCs w:val="24"/>
        </w:rPr>
        <w:t xml:space="preserve"> prote</w:t>
      </w:r>
      <w:r w:rsidR="00375554">
        <w:rPr>
          <w:rFonts w:ascii="Times New Roman" w:hAnsi="Times New Roman" w:cs="Times New Roman"/>
          <w:sz w:val="24"/>
          <w:szCs w:val="24"/>
        </w:rPr>
        <w:t>ct</w:t>
      </w:r>
      <w:r w:rsidRPr="00723638">
        <w:rPr>
          <w:rFonts w:ascii="Times New Roman" w:hAnsi="Times New Roman" w:cs="Times New Roman"/>
          <w:sz w:val="24"/>
          <w:szCs w:val="24"/>
        </w:rPr>
        <w:t xml:space="preserve"> individuals</w:t>
      </w:r>
      <w:r w:rsidR="009A603E">
        <w:rPr>
          <w:rFonts w:ascii="Times New Roman" w:hAnsi="Times New Roman" w:cs="Times New Roman"/>
          <w:sz w:val="24"/>
          <w:szCs w:val="24"/>
        </w:rPr>
        <w:t xml:space="preserve"> not spending over 10 percent of their income on insurance.</w:t>
      </w:r>
      <w:r w:rsidRPr="00723638">
        <w:rPr>
          <w:rFonts w:ascii="Times New Roman" w:hAnsi="Times New Roman" w:cs="Times New Roman"/>
          <w:sz w:val="24"/>
          <w:szCs w:val="24"/>
        </w:rPr>
        <w:t xml:space="preserve"> </w:t>
      </w:r>
      <w:r w:rsidR="002A7EDD" w:rsidRPr="00723638">
        <w:rPr>
          <w:rFonts w:ascii="Times New Roman" w:hAnsi="Times New Roman" w:cs="Times New Roman"/>
          <w:color w:val="000000"/>
          <w:sz w:val="24"/>
          <w:szCs w:val="24"/>
        </w:rPr>
        <w:t>T</w:t>
      </w:r>
      <w:r w:rsidR="009A603E">
        <w:rPr>
          <w:rFonts w:ascii="Times New Roman" w:hAnsi="Times New Roman" w:cs="Times New Roman"/>
          <w:color w:val="000000"/>
          <w:sz w:val="24"/>
          <w:szCs w:val="24"/>
        </w:rPr>
        <w:t>he Switzerland</w:t>
      </w:r>
      <w:r w:rsidR="002A7EDD" w:rsidRPr="00723638">
        <w:rPr>
          <w:rFonts w:ascii="Times New Roman" w:hAnsi="Times New Roman" w:cs="Times New Roman"/>
          <w:color w:val="000000"/>
          <w:sz w:val="24"/>
          <w:szCs w:val="24"/>
        </w:rPr>
        <w:t xml:space="preserve"> population is relatively old when compared with oth</w:t>
      </w:r>
      <w:r w:rsidR="009A603E">
        <w:rPr>
          <w:rFonts w:ascii="Times New Roman" w:hAnsi="Times New Roman" w:cs="Times New Roman"/>
          <w:color w:val="000000"/>
          <w:sz w:val="24"/>
          <w:szCs w:val="24"/>
        </w:rPr>
        <w:t>er OECD countries and is estimated to continue</w:t>
      </w:r>
      <w:r w:rsidR="002A7EDD" w:rsidRPr="00723638">
        <w:rPr>
          <w:rFonts w:ascii="Times New Roman" w:hAnsi="Times New Roman" w:cs="Times New Roman"/>
          <w:color w:val="000000"/>
          <w:sz w:val="24"/>
          <w:szCs w:val="24"/>
        </w:rPr>
        <w:t xml:space="preserve"> grow</w:t>
      </w:r>
      <w:r w:rsidR="009A603E">
        <w:rPr>
          <w:rFonts w:ascii="Times New Roman" w:hAnsi="Times New Roman" w:cs="Times New Roman"/>
          <w:color w:val="000000"/>
          <w:sz w:val="24"/>
          <w:szCs w:val="24"/>
        </w:rPr>
        <w:t>ing</w:t>
      </w:r>
      <w:r w:rsidR="002A7EDD" w:rsidRPr="00723638">
        <w:rPr>
          <w:rFonts w:ascii="Times New Roman" w:hAnsi="Times New Roman" w:cs="Times New Roman"/>
          <w:color w:val="000000"/>
          <w:sz w:val="24"/>
          <w:szCs w:val="24"/>
        </w:rPr>
        <w:t xml:space="preserve"> older. </w:t>
      </w:r>
      <w:r w:rsidR="00F44A6F" w:rsidRPr="00723638">
        <w:rPr>
          <w:rFonts w:ascii="Times New Roman" w:hAnsi="Times New Roman" w:cs="Times New Roman"/>
          <w:color w:val="000000"/>
          <w:sz w:val="24"/>
          <w:szCs w:val="24"/>
        </w:rPr>
        <w:lastRenderedPageBreak/>
        <w:t>(Figure 6) The life expectancies have increased over decades. With an estimated expectancy at birth of 82.75 years.</w:t>
      </w:r>
      <w:r w:rsidR="00417E67" w:rsidRPr="00723638">
        <w:rPr>
          <w:rFonts w:ascii="Times New Roman" w:hAnsi="Times New Roman" w:cs="Times New Roman"/>
          <w:color w:val="000000"/>
          <w:sz w:val="24"/>
          <w:szCs w:val="24"/>
        </w:rPr>
        <w:t xml:space="preserve"> It is in the top 20 who have the longest life expectancy. (Figure 7) The infant mortality rate has decreased over time and it is relatively low. It is 3.8 per 1,000 people in 2013. It was 30 times lower than Afghanistan</w:t>
      </w:r>
      <w:r w:rsidR="00312E06" w:rsidRPr="00723638">
        <w:rPr>
          <w:rFonts w:ascii="Times New Roman" w:hAnsi="Times New Roman" w:cs="Times New Roman"/>
          <w:color w:val="000000"/>
          <w:sz w:val="24"/>
          <w:szCs w:val="24"/>
        </w:rPr>
        <w:t xml:space="preserve"> that has</w:t>
      </w:r>
      <w:r w:rsidR="00417E67" w:rsidRPr="00723638">
        <w:rPr>
          <w:rFonts w:ascii="Times New Roman" w:hAnsi="Times New Roman" w:cs="Times New Roman"/>
          <w:color w:val="000000"/>
          <w:sz w:val="24"/>
          <w:szCs w:val="24"/>
        </w:rPr>
        <w:t xml:space="preserve"> </w:t>
      </w:r>
      <w:r w:rsidR="00312E06" w:rsidRPr="00723638">
        <w:rPr>
          <w:rFonts w:ascii="Times New Roman" w:hAnsi="Times New Roman" w:cs="Times New Roman"/>
          <w:color w:val="000000"/>
          <w:sz w:val="24"/>
          <w:szCs w:val="24"/>
        </w:rPr>
        <w:t xml:space="preserve">the highest infant mortality rate has in the world. (Figure 8) The death rate in Switzerland is in the medium neither high nor low. It is about 8 per 1,000 people. It is quite difference from Qatar that has the lowest death rate in the world which is 1.53 per 1,000. </w:t>
      </w:r>
    </w:p>
    <w:p w:rsidR="00186C0E" w:rsidRDefault="00312E06" w:rsidP="00CF5AA7">
      <w:pPr>
        <w:autoSpaceDE w:val="0"/>
        <w:autoSpaceDN w:val="0"/>
        <w:adjustRightInd w:val="0"/>
        <w:spacing w:after="0" w:line="480" w:lineRule="auto"/>
        <w:rPr>
          <w:rFonts w:ascii="Times New Roman" w:hAnsi="Times New Roman" w:cs="Times New Roman"/>
          <w:color w:val="000000"/>
          <w:sz w:val="24"/>
          <w:szCs w:val="24"/>
        </w:rPr>
      </w:pPr>
      <w:r w:rsidRPr="00723638">
        <w:rPr>
          <w:rFonts w:ascii="Times New Roman" w:hAnsi="Times New Roman" w:cs="Times New Roman"/>
          <w:color w:val="000000"/>
          <w:sz w:val="24"/>
          <w:szCs w:val="24"/>
        </w:rPr>
        <w:tab/>
        <w:t xml:space="preserve">Consequently, the health care system in Switzerland </w:t>
      </w:r>
      <w:r w:rsidR="000D728D" w:rsidRPr="00723638">
        <w:rPr>
          <w:rFonts w:ascii="Times New Roman" w:hAnsi="Times New Roman" w:cs="Times New Roman"/>
          <w:color w:val="000000"/>
          <w:sz w:val="24"/>
          <w:szCs w:val="24"/>
        </w:rPr>
        <w:t xml:space="preserve">is outstanding both public and private health care sector. It has a highly qualified </w:t>
      </w:r>
      <w:r w:rsidR="009A603E" w:rsidRPr="00723638">
        <w:rPr>
          <w:rFonts w:ascii="Times New Roman" w:hAnsi="Times New Roman" w:cs="Times New Roman"/>
          <w:color w:val="000000"/>
          <w:sz w:val="24"/>
          <w:szCs w:val="24"/>
        </w:rPr>
        <w:t xml:space="preserve">hospitals, </w:t>
      </w:r>
      <w:r w:rsidR="000D728D" w:rsidRPr="00723638">
        <w:rPr>
          <w:rFonts w:ascii="Times New Roman" w:hAnsi="Times New Roman" w:cs="Times New Roman"/>
          <w:color w:val="000000"/>
          <w:sz w:val="24"/>
          <w:szCs w:val="24"/>
        </w:rPr>
        <w:t xml:space="preserve">doctors and good medical facilities and no waiting lists. Government still maintains the composition of expenditure. This can continue a high quality of universal coverage and health packages. These lead to reduce the death rate and increase life expectancy. However, </w:t>
      </w:r>
      <w:r w:rsidR="00186C0E">
        <w:rPr>
          <w:rFonts w:ascii="Times New Roman" w:hAnsi="Times New Roman" w:cs="Times New Roman"/>
          <w:color w:val="000000"/>
          <w:sz w:val="24"/>
          <w:szCs w:val="24"/>
        </w:rPr>
        <w:t>it lacks of information to obstruct charging from hospitals</w:t>
      </w:r>
      <w:r w:rsidR="000D728D" w:rsidRPr="00723638">
        <w:rPr>
          <w:rFonts w:ascii="Times New Roman" w:hAnsi="Times New Roman" w:cs="Times New Roman"/>
          <w:color w:val="000000"/>
          <w:sz w:val="24"/>
          <w:szCs w:val="24"/>
        </w:rPr>
        <w:t xml:space="preserve">. The government should </w:t>
      </w:r>
      <w:r w:rsidR="00296C19">
        <w:rPr>
          <w:rFonts w:ascii="Times New Roman" w:hAnsi="Times New Roman" w:cs="Times New Roman"/>
          <w:color w:val="000000"/>
          <w:sz w:val="24"/>
          <w:szCs w:val="24"/>
        </w:rPr>
        <w:t xml:space="preserve">promote creating benchmark system of hospital costs. For example, the government should implement a new legislation or reformation to control using costs under benchmarks. </w:t>
      </w:r>
      <w:r w:rsidR="00296C19" w:rsidRPr="00723638">
        <w:rPr>
          <w:rFonts w:ascii="Times New Roman" w:hAnsi="Times New Roman" w:cs="Times New Roman"/>
          <w:color w:val="000000"/>
          <w:sz w:val="24"/>
          <w:szCs w:val="24"/>
        </w:rPr>
        <w:t>Besides,</w:t>
      </w:r>
      <w:r w:rsidR="00296C19">
        <w:rPr>
          <w:rFonts w:ascii="Times New Roman" w:hAnsi="Times New Roman" w:cs="Times New Roman"/>
          <w:color w:val="000000"/>
          <w:sz w:val="24"/>
          <w:szCs w:val="24"/>
        </w:rPr>
        <w:t xml:space="preserve"> aging problems will go up in the future that relates to pressure on spending. The government should revise the legal about age of retirement which is at 65. It should be relatively to life expectancy. Moreover, cutting early retirement may help to reduce incentives from stopped working or to pay more for pension premium to whom decide working longer.</w:t>
      </w:r>
    </w:p>
    <w:p w:rsidR="00DD145D" w:rsidRPr="00590F93" w:rsidRDefault="00DD145D" w:rsidP="00CF5AA7">
      <w:pPr>
        <w:autoSpaceDE w:val="0"/>
        <w:autoSpaceDN w:val="0"/>
        <w:adjustRightInd w:val="0"/>
        <w:spacing w:after="0" w:line="480" w:lineRule="auto"/>
        <w:rPr>
          <w:rFonts w:ascii="Times New Roman" w:hAnsi="Times New Roman" w:cs="Times New Roman"/>
          <w:b/>
          <w:bCs/>
          <w:color w:val="000000"/>
          <w:sz w:val="24"/>
          <w:szCs w:val="24"/>
        </w:rPr>
      </w:pPr>
      <w:r w:rsidRPr="00590F93">
        <w:rPr>
          <w:rFonts w:ascii="Times New Roman" w:hAnsi="Times New Roman" w:cs="Times New Roman"/>
          <w:b/>
          <w:bCs/>
          <w:color w:val="000000"/>
          <w:sz w:val="24"/>
          <w:szCs w:val="24"/>
        </w:rPr>
        <w:t>-Conclusion</w:t>
      </w:r>
    </w:p>
    <w:p w:rsidR="00312E06" w:rsidRDefault="00590F93" w:rsidP="0076779F">
      <w:pPr>
        <w:autoSpaceDE w:val="0"/>
        <w:autoSpaceDN w:val="0"/>
        <w:adjustRightInd w:val="0"/>
        <w:spacing w:after="0" w:line="480" w:lineRule="auto"/>
        <w:ind w:firstLine="720"/>
        <w:rPr>
          <w:rFonts w:ascii="Times New Roman" w:hAnsi="Times New Roman" w:cs="Times New Roman"/>
          <w:color w:val="000000"/>
          <w:sz w:val="24"/>
          <w:szCs w:val="24"/>
        </w:rPr>
      </w:pPr>
      <w:r>
        <w:rPr>
          <w:rFonts w:ascii="Times New Roman" w:hAnsi="Times New Roman" w:cs="Times New Roman"/>
          <w:color w:val="000000"/>
          <w:sz w:val="24"/>
          <w:szCs w:val="24"/>
        </w:rPr>
        <w:t xml:space="preserve">Nowadays, </w:t>
      </w:r>
      <w:r w:rsidR="0076779F">
        <w:rPr>
          <w:rFonts w:ascii="Times New Roman" w:hAnsi="Times New Roman" w:cs="Times New Roman"/>
          <w:color w:val="000000"/>
          <w:sz w:val="24"/>
          <w:szCs w:val="24"/>
        </w:rPr>
        <w:t xml:space="preserve">Switzerland </w:t>
      </w:r>
      <w:r>
        <w:rPr>
          <w:rFonts w:ascii="Times New Roman" w:hAnsi="Times New Roman" w:cs="Times New Roman"/>
          <w:color w:val="000000"/>
          <w:sz w:val="24"/>
          <w:szCs w:val="24"/>
        </w:rPr>
        <w:t>is facing economic downturn</w:t>
      </w:r>
      <w:r w:rsidR="0076779F">
        <w:rPr>
          <w:rFonts w:ascii="Times New Roman" w:hAnsi="Times New Roman" w:cs="Times New Roman"/>
          <w:color w:val="000000"/>
          <w:sz w:val="24"/>
          <w:szCs w:val="24"/>
        </w:rPr>
        <w:t xml:space="preserve">. However it is a developed country, it can restore the economic growth faster than developing country. The Swiss government can control current economic situation within domestic pretty well. They should sustain these and look forward to forecasting the global economic in the future. For health policies in Switzerland, they have had high standard of health system already. </w:t>
      </w:r>
      <w:r w:rsidR="00BC1D0C">
        <w:rPr>
          <w:rFonts w:ascii="Times New Roman" w:hAnsi="Times New Roman" w:cs="Times New Roman"/>
          <w:color w:val="000000"/>
          <w:sz w:val="24"/>
          <w:szCs w:val="24"/>
        </w:rPr>
        <w:t xml:space="preserve">They just </w:t>
      </w:r>
      <w:r w:rsidR="00BC1D0C">
        <w:rPr>
          <w:rFonts w:ascii="Times New Roman" w:hAnsi="Times New Roman" w:cs="Times New Roman"/>
          <w:color w:val="000000"/>
          <w:sz w:val="24"/>
          <w:szCs w:val="24"/>
        </w:rPr>
        <w:lastRenderedPageBreak/>
        <w:t xml:space="preserve">maintain this quality and catch up for advance technology. It is one way to encourage the economic growth as well. </w:t>
      </w:r>
      <w:r w:rsidR="0076779F">
        <w:rPr>
          <w:rFonts w:ascii="Times New Roman" w:hAnsi="Times New Roman" w:cs="Times New Roman"/>
          <w:color w:val="000000"/>
          <w:sz w:val="24"/>
          <w:szCs w:val="24"/>
        </w:rPr>
        <w:t xml:space="preserve">   </w:t>
      </w:r>
    </w:p>
    <w:p w:rsidR="002A7EDD" w:rsidRDefault="002A7EDD" w:rsidP="002A7EDD">
      <w:pPr>
        <w:spacing w:line="480" w:lineRule="auto"/>
        <w:jc w:val="thaiDistribute"/>
        <w:rPr>
          <w:rFonts w:ascii="Times New Roman" w:hAnsi="Times New Roman" w:cs="Times New Roman"/>
          <w:color w:val="000000"/>
          <w:sz w:val="24"/>
          <w:szCs w:val="24"/>
        </w:rPr>
      </w:pPr>
    </w:p>
    <w:p w:rsidR="007D18B1" w:rsidRDefault="007D18B1" w:rsidP="00723638">
      <w:pPr>
        <w:rPr>
          <w:rFonts w:ascii="Times New Roman" w:hAnsi="Times New Roman" w:cs="Times New Roman"/>
          <w:color w:val="000000"/>
          <w:sz w:val="24"/>
          <w:szCs w:val="24"/>
        </w:rPr>
      </w:pPr>
    </w:p>
    <w:p w:rsidR="00723638" w:rsidRDefault="00723638" w:rsidP="00723638">
      <w:pPr>
        <w:rPr>
          <w:rFonts w:ascii="Times New Roman" w:hAnsi="Times New Roman" w:cs="Times New Roman"/>
          <w:b/>
          <w:bCs/>
          <w:sz w:val="24"/>
          <w:szCs w:val="24"/>
        </w:rPr>
      </w:pPr>
    </w:p>
    <w:p w:rsidR="007D18B1" w:rsidRDefault="007D18B1" w:rsidP="00624A9E">
      <w:pPr>
        <w:jc w:val="center"/>
        <w:rPr>
          <w:rFonts w:ascii="Times New Roman" w:hAnsi="Times New Roman" w:cs="Times New Roman"/>
          <w:b/>
          <w:bCs/>
          <w:sz w:val="24"/>
          <w:szCs w:val="24"/>
        </w:rPr>
      </w:pPr>
    </w:p>
    <w:p w:rsidR="00BC1D0C" w:rsidRDefault="00BC1D0C" w:rsidP="00624A9E">
      <w:pPr>
        <w:jc w:val="center"/>
        <w:rPr>
          <w:rFonts w:ascii="Times New Roman" w:hAnsi="Times New Roman" w:cs="Times New Roman"/>
          <w:b/>
          <w:bCs/>
          <w:sz w:val="24"/>
          <w:szCs w:val="24"/>
        </w:rPr>
      </w:pPr>
    </w:p>
    <w:p w:rsidR="00BC1D0C" w:rsidRDefault="00BC1D0C" w:rsidP="00624A9E">
      <w:pPr>
        <w:jc w:val="center"/>
        <w:rPr>
          <w:rFonts w:ascii="Times New Roman" w:hAnsi="Times New Roman" w:cs="Times New Roman"/>
          <w:b/>
          <w:bCs/>
          <w:sz w:val="24"/>
          <w:szCs w:val="24"/>
        </w:rPr>
      </w:pPr>
    </w:p>
    <w:p w:rsidR="00BC1D0C" w:rsidRDefault="00BC1D0C" w:rsidP="00624A9E">
      <w:pPr>
        <w:jc w:val="center"/>
        <w:rPr>
          <w:rFonts w:ascii="Times New Roman" w:hAnsi="Times New Roman" w:cs="Times New Roman"/>
          <w:b/>
          <w:bCs/>
          <w:sz w:val="24"/>
          <w:szCs w:val="24"/>
        </w:rPr>
      </w:pPr>
    </w:p>
    <w:p w:rsidR="00BC1D0C" w:rsidRDefault="00BC1D0C" w:rsidP="00624A9E">
      <w:pPr>
        <w:jc w:val="center"/>
        <w:rPr>
          <w:rFonts w:ascii="Times New Roman" w:hAnsi="Times New Roman" w:cs="Times New Roman"/>
          <w:b/>
          <w:bCs/>
          <w:sz w:val="24"/>
          <w:szCs w:val="24"/>
        </w:rPr>
      </w:pPr>
    </w:p>
    <w:p w:rsidR="00BC1D0C" w:rsidRDefault="00BC1D0C" w:rsidP="00624A9E">
      <w:pPr>
        <w:jc w:val="center"/>
        <w:rPr>
          <w:rFonts w:ascii="Times New Roman" w:hAnsi="Times New Roman" w:cs="Times New Roman"/>
          <w:b/>
          <w:bCs/>
          <w:sz w:val="24"/>
          <w:szCs w:val="24"/>
        </w:rPr>
      </w:pPr>
    </w:p>
    <w:p w:rsidR="00BC1D0C" w:rsidRDefault="00BC1D0C" w:rsidP="00624A9E">
      <w:pPr>
        <w:jc w:val="center"/>
        <w:rPr>
          <w:rFonts w:ascii="Times New Roman" w:hAnsi="Times New Roman" w:cs="Times New Roman"/>
          <w:b/>
          <w:bCs/>
          <w:sz w:val="24"/>
          <w:szCs w:val="24"/>
        </w:rPr>
      </w:pPr>
    </w:p>
    <w:p w:rsidR="00BC1D0C" w:rsidRDefault="00BC1D0C" w:rsidP="00624A9E">
      <w:pPr>
        <w:jc w:val="center"/>
        <w:rPr>
          <w:rFonts w:ascii="Times New Roman" w:hAnsi="Times New Roman" w:cs="Times New Roman"/>
          <w:b/>
          <w:bCs/>
          <w:sz w:val="24"/>
          <w:szCs w:val="24"/>
        </w:rPr>
      </w:pPr>
    </w:p>
    <w:p w:rsidR="00BC1D0C" w:rsidRDefault="00BC1D0C" w:rsidP="00624A9E">
      <w:pPr>
        <w:jc w:val="center"/>
        <w:rPr>
          <w:rFonts w:ascii="Times New Roman" w:hAnsi="Times New Roman" w:cs="Times New Roman"/>
          <w:b/>
          <w:bCs/>
          <w:sz w:val="24"/>
          <w:szCs w:val="24"/>
        </w:rPr>
      </w:pPr>
    </w:p>
    <w:p w:rsidR="00BC1D0C" w:rsidRDefault="00BC1D0C" w:rsidP="00624A9E">
      <w:pPr>
        <w:jc w:val="center"/>
        <w:rPr>
          <w:rFonts w:ascii="Times New Roman" w:hAnsi="Times New Roman" w:cs="Times New Roman"/>
          <w:b/>
          <w:bCs/>
          <w:sz w:val="24"/>
          <w:szCs w:val="24"/>
        </w:rPr>
      </w:pPr>
    </w:p>
    <w:p w:rsidR="00BC1D0C" w:rsidRDefault="00BC1D0C" w:rsidP="00624A9E">
      <w:pPr>
        <w:jc w:val="center"/>
        <w:rPr>
          <w:rFonts w:ascii="Times New Roman" w:hAnsi="Times New Roman" w:cs="Times New Roman"/>
          <w:b/>
          <w:bCs/>
          <w:sz w:val="24"/>
          <w:szCs w:val="24"/>
        </w:rPr>
      </w:pPr>
    </w:p>
    <w:p w:rsidR="00BC1D0C" w:rsidRDefault="00BC1D0C" w:rsidP="00624A9E">
      <w:pPr>
        <w:jc w:val="center"/>
        <w:rPr>
          <w:rFonts w:ascii="Times New Roman" w:hAnsi="Times New Roman" w:cs="Times New Roman"/>
          <w:b/>
          <w:bCs/>
          <w:sz w:val="24"/>
          <w:szCs w:val="24"/>
        </w:rPr>
      </w:pPr>
    </w:p>
    <w:p w:rsidR="00BC1D0C" w:rsidRDefault="00BC1D0C" w:rsidP="00624A9E">
      <w:pPr>
        <w:jc w:val="center"/>
        <w:rPr>
          <w:rFonts w:ascii="Times New Roman" w:hAnsi="Times New Roman" w:cs="Times New Roman"/>
          <w:b/>
          <w:bCs/>
          <w:sz w:val="24"/>
          <w:szCs w:val="24"/>
        </w:rPr>
      </w:pPr>
    </w:p>
    <w:p w:rsidR="00BC1D0C" w:rsidRDefault="00BC1D0C" w:rsidP="00624A9E">
      <w:pPr>
        <w:jc w:val="center"/>
        <w:rPr>
          <w:rFonts w:ascii="Times New Roman" w:hAnsi="Times New Roman" w:cs="Times New Roman"/>
          <w:b/>
          <w:bCs/>
          <w:sz w:val="24"/>
          <w:szCs w:val="24"/>
        </w:rPr>
      </w:pPr>
    </w:p>
    <w:p w:rsidR="00BC1D0C" w:rsidRDefault="00BC1D0C" w:rsidP="00624A9E">
      <w:pPr>
        <w:jc w:val="center"/>
        <w:rPr>
          <w:rFonts w:ascii="Times New Roman" w:hAnsi="Times New Roman" w:cs="Times New Roman"/>
          <w:b/>
          <w:bCs/>
          <w:sz w:val="24"/>
          <w:szCs w:val="24"/>
        </w:rPr>
      </w:pPr>
    </w:p>
    <w:p w:rsidR="00BC1D0C" w:rsidRDefault="00BC1D0C" w:rsidP="00624A9E">
      <w:pPr>
        <w:jc w:val="center"/>
        <w:rPr>
          <w:rFonts w:ascii="Times New Roman" w:hAnsi="Times New Roman" w:cs="Times New Roman"/>
          <w:b/>
          <w:bCs/>
          <w:sz w:val="24"/>
          <w:szCs w:val="24"/>
        </w:rPr>
      </w:pPr>
    </w:p>
    <w:p w:rsidR="00BC1D0C" w:rsidRDefault="00BC1D0C" w:rsidP="00624A9E">
      <w:pPr>
        <w:jc w:val="center"/>
        <w:rPr>
          <w:rFonts w:ascii="Times New Roman" w:hAnsi="Times New Roman" w:cs="Times New Roman"/>
          <w:b/>
          <w:bCs/>
          <w:sz w:val="24"/>
          <w:szCs w:val="24"/>
        </w:rPr>
      </w:pPr>
    </w:p>
    <w:p w:rsidR="00BC1D0C" w:rsidRDefault="00BC1D0C" w:rsidP="00624A9E">
      <w:pPr>
        <w:jc w:val="center"/>
        <w:rPr>
          <w:rFonts w:ascii="Times New Roman" w:hAnsi="Times New Roman" w:cs="Times New Roman"/>
          <w:b/>
          <w:bCs/>
          <w:sz w:val="24"/>
          <w:szCs w:val="24"/>
        </w:rPr>
      </w:pPr>
    </w:p>
    <w:p w:rsidR="00BC1D0C" w:rsidRDefault="00BC1D0C" w:rsidP="00624A9E">
      <w:pPr>
        <w:jc w:val="center"/>
        <w:rPr>
          <w:rFonts w:ascii="Times New Roman" w:hAnsi="Times New Roman" w:cs="Times New Roman"/>
          <w:b/>
          <w:bCs/>
          <w:sz w:val="24"/>
          <w:szCs w:val="24"/>
        </w:rPr>
      </w:pPr>
    </w:p>
    <w:p w:rsidR="00BC1D0C" w:rsidRDefault="00BC1D0C" w:rsidP="00624A9E">
      <w:pPr>
        <w:jc w:val="center"/>
        <w:rPr>
          <w:rFonts w:ascii="Times New Roman" w:hAnsi="Times New Roman" w:cs="Times New Roman"/>
          <w:b/>
          <w:bCs/>
          <w:sz w:val="24"/>
          <w:szCs w:val="24"/>
        </w:rPr>
      </w:pPr>
    </w:p>
    <w:p w:rsidR="00BC1D0C" w:rsidRDefault="00BC1D0C" w:rsidP="00624A9E">
      <w:pPr>
        <w:jc w:val="center"/>
        <w:rPr>
          <w:rFonts w:ascii="Times New Roman" w:hAnsi="Times New Roman" w:cs="Times New Roman"/>
          <w:b/>
          <w:bCs/>
          <w:sz w:val="24"/>
          <w:szCs w:val="24"/>
        </w:rPr>
      </w:pPr>
    </w:p>
    <w:p w:rsidR="00624A9E" w:rsidRPr="00624A9E" w:rsidRDefault="00624A9E" w:rsidP="00624A9E">
      <w:pPr>
        <w:jc w:val="center"/>
        <w:rPr>
          <w:rFonts w:ascii="Times New Roman" w:hAnsi="Times New Roman" w:cs="Times New Roman"/>
          <w:b/>
          <w:bCs/>
          <w:sz w:val="24"/>
          <w:szCs w:val="24"/>
        </w:rPr>
      </w:pPr>
      <w:r w:rsidRPr="00624A9E">
        <w:rPr>
          <w:rFonts w:ascii="Times New Roman" w:hAnsi="Times New Roman" w:cs="Times New Roman"/>
          <w:b/>
          <w:bCs/>
          <w:sz w:val="24"/>
          <w:szCs w:val="24"/>
        </w:rPr>
        <w:lastRenderedPageBreak/>
        <w:t>Appendix</w:t>
      </w:r>
    </w:p>
    <w:p w:rsidR="00F551BA" w:rsidRDefault="00F551BA" w:rsidP="00F00F7F">
      <w:pPr>
        <w:jc w:val="center"/>
        <w:rPr>
          <w:rFonts w:ascii="Times New Roman" w:hAnsi="Times New Roman" w:cs="Times New Roman"/>
          <w:sz w:val="24"/>
          <w:szCs w:val="24"/>
        </w:rPr>
      </w:pPr>
      <w:r>
        <w:rPr>
          <w:rFonts w:ascii="Times New Roman" w:hAnsi="Times New Roman" w:cs="Times New Roman"/>
          <w:sz w:val="24"/>
          <w:szCs w:val="24"/>
        </w:rPr>
        <w:t>Figure</w:t>
      </w:r>
      <w:r w:rsidR="003B78E9">
        <w:rPr>
          <w:rFonts w:ascii="Times New Roman" w:hAnsi="Times New Roman" w:cs="Times New Roman"/>
          <w:sz w:val="24"/>
          <w:szCs w:val="24"/>
        </w:rPr>
        <w:t xml:space="preserve"> 1</w:t>
      </w:r>
      <w:r>
        <w:rPr>
          <w:rFonts w:ascii="Times New Roman" w:hAnsi="Times New Roman" w:cs="Times New Roman"/>
          <w:sz w:val="24"/>
          <w:szCs w:val="24"/>
        </w:rPr>
        <w:t>:</w:t>
      </w:r>
      <w:r w:rsidR="00D0106C" w:rsidRPr="003B78E9">
        <w:rPr>
          <w:rFonts w:ascii="Times New Roman" w:hAnsi="Times New Roman" w:cs="Times New Roman"/>
          <w:sz w:val="24"/>
          <w:szCs w:val="24"/>
        </w:rPr>
        <w:t xml:space="preserve"> </w:t>
      </w:r>
      <w:r w:rsidR="008A4143">
        <w:rPr>
          <w:rFonts w:ascii="Times New Roman" w:hAnsi="Times New Roman" w:cs="Times New Roman"/>
          <w:sz w:val="24"/>
          <w:szCs w:val="24"/>
        </w:rPr>
        <w:t>Economic growth and government spending</w:t>
      </w:r>
    </w:p>
    <w:p w:rsidR="008A4143" w:rsidRDefault="008A4143" w:rsidP="00F00F7F">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4C5E5D" w:rsidRDefault="00D0106C" w:rsidP="00EF6539">
      <w:pPr>
        <w:jc w:val="center"/>
        <w:rPr>
          <w:rFonts w:ascii="Times New Roman" w:hAnsi="Times New Roman" w:cs="Times New Roman"/>
          <w:sz w:val="24"/>
          <w:szCs w:val="24"/>
        </w:rPr>
      </w:pPr>
      <w:r w:rsidRPr="003B78E9">
        <w:rPr>
          <w:rFonts w:ascii="Times New Roman" w:hAnsi="Times New Roman" w:cs="Times New Roman"/>
          <w:sz w:val="24"/>
          <w:szCs w:val="24"/>
        </w:rPr>
        <w:t xml:space="preserve">Source: </w:t>
      </w:r>
      <w:r w:rsidR="00EF6539">
        <w:rPr>
          <w:rFonts w:ascii="Times New Roman" w:hAnsi="Times New Roman" w:cs="Times New Roman"/>
          <w:sz w:val="24"/>
          <w:szCs w:val="24"/>
        </w:rPr>
        <w:t>World Bank</w:t>
      </w:r>
    </w:p>
    <w:p w:rsidR="004C5E5D" w:rsidRDefault="002A45DB" w:rsidP="00EF6539">
      <w:pPr>
        <w:jc w:val="center"/>
        <w:rPr>
          <w:rFonts w:ascii="Times New Roman" w:hAnsi="Times New Roman" w:cs="Times New Roman"/>
          <w:sz w:val="24"/>
          <w:szCs w:val="24"/>
        </w:rPr>
      </w:pPr>
      <w:r>
        <w:rPr>
          <w:rFonts w:ascii="Times New Roman" w:hAnsi="Times New Roman" w:cs="Times New Roman"/>
          <w:sz w:val="24"/>
          <w:szCs w:val="24"/>
        </w:rPr>
        <w:t xml:space="preserve">Figure 2: </w:t>
      </w:r>
      <w:r w:rsidR="00BC2928" w:rsidRPr="00BC2928">
        <w:rPr>
          <w:rFonts w:ascii="Times New Roman" w:hAnsi="Times New Roman" w:cs="Times New Roman"/>
          <w:sz w:val="24"/>
          <w:szCs w:val="24"/>
        </w:rPr>
        <w:t>Government Expenditure Composition</w:t>
      </w:r>
      <w:r w:rsidR="00BC2928">
        <w:rPr>
          <w:rFonts w:ascii="Times New Roman" w:hAnsi="Times New Roman" w:cs="Times New Roman"/>
          <w:sz w:val="24"/>
          <w:szCs w:val="24"/>
        </w:rPr>
        <w:t xml:space="preserve"> (% of GDP)</w:t>
      </w:r>
    </w:p>
    <w:p w:rsidR="002A45DB" w:rsidRDefault="002A45DB" w:rsidP="00EF6539">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6019800" cy="36957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BC2928" w:rsidRDefault="002A45DB" w:rsidP="00EF6539">
      <w:pPr>
        <w:jc w:val="center"/>
        <w:rPr>
          <w:rFonts w:ascii="Times New Roman" w:hAnsi="Times New Roman" w:cs="Times New Roman"/>
          <w:sz w:val="24"/>
          <w:szCs w:val="24"/>
        </w:rPr>
      </w:pPr>
      <w:r>
        <w:rPr>
          <w:rFonts w:ascii="Times New Roman" w:hAnsi="Times New Roman" w:cs="Times New Roman"/>
          <w:sz w:val="24"/>
          <w:szCs w:val="24"/>
        </w:rPr>
        <w:t xml:space="preserve">Source: </w:t>
      </w:r>
      <w:r w:rsidR="00BC2928">
        <w:rPr>
          <w:rFonts w:ascii="Times New Roman" w:hAnsi="Times New Roman" w:cs="Times New Roman"/>
          <w:sz w:val="24"/>
          <w:szCs w:val="24"/>
        </w:rPr>
        <w:t>OECD</w:t>
      </w:r>
    </w:p>
    <w:p w:rsidR="00184C27" w:rsidRDefault="00184C27" w:rsidP="00EF6539">
      <w:pPr>
        <w:jc w:val="center"/>
        <w:rPr>
          <w:rFonts w:ascii="Times New Roman" w:hAnsi="Times New Roman" w:cs="Times New Roman"/>
          <w:sz w:val="24"/>
          <w:szCs w:val="24"/>
        </w:rPr>
      </w:pPr>
      <w:r>
        <w:rPr>
          <w:rFonts w:ascii="Times New Roman" w:hAnsi="Times New Roman" w:cs="Times New Roman"/>
          <w:sz w:val="24"/>
          <w:szCs w:val="24"/>
        </w:rPr>
        <w:lastRenderedPageBreak/>
        <w:t xml:space="preserve">Figure 3: Health expenditure </w:t>
      </w:r>
      <w:r w:rsidR="00205303">
        <w:rPr>
          <w:rFonts w:ascii="Times New Roman" w:hAnsi="Times New Roman" w:cs="Times New Roman"/>
          <w:sz w:val="24"/>
          <w:szCs w:val="24"/>
        </w:rPr>
        <w:t>(%</w:t>
      </w:r>
      <w:r>
        <w:rPr>
          <w:rFonts w:ascii="Times New Roman" w:hAnsi="Times New Roman" w:cs="Times New Roman"/>
          <w:sz w:val="24"/>
          <w:szCs w:val="24"/>
        </w:rPr>
        <w:t xml:space="preserve"> of GDP)</w:t>
      </w:r>
    </w:p>
    <w:p w:rsidR="00184C27" w:rsidRDefault="00184C27" w:rsidP="00EF6539">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48640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205303" w:rsidRDefault="00205303" w:rsidP="00EF6539">
      <w:pPr>
        <w:jc w:val="center"/>
        <w:rPr>
          <w:rFonts w:ascii="Times New Roman" w:hAnsi="Times New Roman" w:cs="Times New Roman"/>
          <w:sz w:val="24"/>
          <w:szCs w:val="24"/>
        </w:rPr>
      </w:pPr>
      <w:r w:rsidRPr="00205303">
        <w:rPr>
          <w:rFonts w:ascii="Times New Roman" w:hAnsi="Times New Roman" w:cs="Times New Roman"/>
          <w:sz w:val="24"/>
          <w:szCs w:val="24"/>
        </w:rPr>
        <w:t>Source: OECD</w:t>
      </w:r>
    </w:p>
    <w:p w:rsidR="00624A9E" w:rsidRDefault="00624A9E" w:rsidP="00EF6539">
      <w:pPr>
        <w:jc w:val="center"/>
        <w:rPr>
          <w:rFonts w:ascii="Times New Roman" w:hAnsi="Times New Roman" w:cs="Times New Roman"/>
          <w:sz w:val="24"/>
          <w:szCs w:val="24"/>
        </w:rPr>
      </w:pPr>
      <w:r>
        <w:rPr>
          <w:rFonts w:ascii="Times New Roman" w:hAnsi="Times New Roman" w:cs="Times New Roman"/>
          <w:sz w:val="24"/>
          <w:szCs w:val="24"/>
        </w:rPr>
        <w:t xml:space="preserve">Figure 4: </w:t>
      </w:r>
      <w:r w:rsidRPr="00624A9E">
        <w:rPr>
          <w:rFonts w:ascii="Times New Roman" w:hAnsi="Times New Roman" w:cs="Times New Roman"/>
          <w:sz w:val="24"/>
          <w:szCs w:val="24"/>
        </w:rPr>
        <w:t>Out-of-pocket health expenditure (% of private expenditure on health)</w:t>
      </w:r>
    </w:p>
    <w:p w:rsidR="00205303" w:rsidRDefault="00624A9E" w:rsidP="00EF6539">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734050" cy="333375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24A9E" w:rsidRPr="00624A9E" w:rsidRDefault="00624A9E" w:rsidP="00624A9E">
      <w:pPr>
        <w:jc w:val="center"/>
        <w:rPr>
          <w:rFonts w:ascii="Times New Roman" w:hAnsi="Times New Roman" w:cs="Times New Roman"/>
          <w:sz w:val="24"/>
          <w:szCs w:val="24"/>
        </w:rPr>
      </w:pPr>
      <w:r>
        <w:rPr>
          <w:rFonts w:ascii="Times New Roman" w:hAnsi="Times New Roman" w:cs="Times New Roman"/>
          <w:sz w:val="24"/>
          <w:szCs w:val="24"/>
        </w:rPr>
        <w:t>Source: World Bank</w:t>
      </w:r>
    </w:p>
    <w:p w:rsidR="00205303" w:rsidRDefault="00624A9E" w:rsidP="00EF6539">
      <w:pPr>
        <w:jc w:val="center"/>
        <w:rPr>
          <w:rFonts w:ascii="Times New Roman" w:hAnsi="Times New Roman" w:cs="Times New Roman"/>
          <w:sz w:val="24"/>
          <w:szCs w:val="24"/>
        </w:rPr>
      </w:pPr>
      <w:r>
        <w:rPr>
          <w:rFonts w:ascii="Times New Roman" w:hAnsi="Times New Roman" w:cs="Times New Roman"/>
          <w:sz w:val="24"/>
          <w:szCs w:val="24"/>
        </w:rPr>
        <w:t>Figure 5</w:t>
      </w:r>
      <w:r w:rsidR="00205303">
        <w:rPr>
          <w:rFonts w:ascii="Times New Roman" w:hAnsi="Times New Roman" w:cs="Times New Roman"/>
          <w:sz w:val="24"/>
          <w:szCs w:val="24"/>
        </w:rPr>
        <w:t>: Health spending as a share of GDP</w:t>
      </w:r>
      <w:r w:rsidR="004D490E">
        <w:rPr>
          <w:rFonts w:ascii="Times New Roman" w:hAnsi="Times New Roman" w:cs="Times New Roman"/>
          <w:sz w:val="24"/>
          <w:szCs w:val="24"/>
        </w:rPr>
        <w:t xml:space="preserve"> (%)</w:t>
      </w:r>
      <w:r w:rsidR="00205303">
        <w:rPr>
          <w:rFonts w:ascii="Times New Roman" w:hAnsi="Times New Roman" w:cs="Times New Roman"/>
          <w:sz w:val="24"/>
          <w:szCs w:val="24"/>
        </w:rPr>
        <w:t>, 2013</w:t>
      </w:r>
    </w:p>
    <w:p w:rsidR="003B78E9" w:rsidRDefault="00205303" w:rsidP="00EF6539">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848350" cy="356235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hyperlink r:id="rId11" w:history="1"/>
    </w:p>
    <w:p w:rsidR="004D490E" w:rsidRDefault="004D490E" w:rsidP="004D490E">
      <w:pPr>
        <w:jc w:val="center"/>
        <w:rPr>
          <w:rFonts w:ascii="Times New Roman" w:hAnsi="Times New Roman" w:cs="Times New Roman"/>
          <w:sz w:val="24"/>
          <w:szCs w:val="24"/>
        </w:rPr>
      </w:pPr>
      <w:r w:rsidRPr="00205303">
        <w:rPr>
          <w:rFonts w:ascii="Times New Roman" w:hAnsi="Times New Roman" w:cs="Times New Roman"/>
          <w:sz w:val="24"/>
          <w:szCs w:val="24"/>
        </w:rPr>
        <w:t>Source: OECD</w:t>
      </w:r>
    </w:p>
    <w:p w:rsidR="00624A9E" w:rsidRDefault="00624A9E" w:rsidP="004D490E">
      <w:pPr>
        <w:jc w:val="center"/>
        <w:rPr>
          <w:rFonts w:ascii="Times New Roman" w:hAnsi="Times New Roman" w:cs="Times New Roman"/>
          <w:sz w:val="24"/>
          <w:szCs w:val="24"/>
        </w:rPr>
      </w:pPr>
    </w:p>
    <w:p w:rsidR="004D490E" w:rsidRDefault="00624A9E" w:rsidP="004D490E">
      <w:pPr>
        <w:jc w:val="center"/>
        <w:rPr>
          <w:rFonts w:ascii="Times New Roman" w:hAnsi="Times New Roman" w:cs="Times New Roman"/>
          <w:sz w:val="24"/>
          <w:szCs w:val="24"/>
        </w:rPr>
      </w:pPr>
      <w:r>
        <w:rPr>
          <w:rFonts w:ascii="Times New Roman" w:hAnsi="Times New Roman" w:cs="Times New Roman"/>
          <w:sz w:val="24"/>
          <w:szCs w:val="24"/>
        </w:rPr>
        <w:t>Figure 6</w:t>
      </w:r>
      <w:r w:rsidR="00C81911">
        <w:rPr>
          <w:rFonts w:ascii="Times New Roman" w:hAnsi="Times New Roman" w:cs="Times New Roman"/>
          <w:sz w:val="24"/>
          <w:szCs w:val="24"/>
        </w:rPr>
        <w:t xml:space="preserve">: </w:t>
      </w:r>
      <w:r w:rsidR="00C81911" w:rsidRPr="00C81911">
        <w:rPr>
          <w:rFonts w:ascii="Times New Roman" w:hAnsi="Times New Roman" w:cs="Times New Roman"/>
          <w:sz w:val="24"/>
          <w:szCs w:val="24"/>
        </w:rPr>
        <w:t>Life expectancy, in years</w:t>
      </w:r>
    </w:p>
    <w:p w:rsidR="00C81911" w:rsidRDefault="002D0943" w:rsidP="004D490E">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486400" cy="32004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70443" w:rsidRDefault="002D0943" w:rsidP="002D0943">
      <w:pPr>
        <w:ind w:firstLine="720"/>
        <w:jc w:val="center"/>
        <w:rPr>
          <w:rFonts w:ascii="Times New Roman" w:hAnsi="Times New Roman" w:cs="Times New Roman"/>
          <w:sz w:val="24"/>
          <w:szCs w:val="24"/>
        </w:rPr>
      </w:pPr>
      <w:r>
        <w:rPr>
          <w:rFonts w:ascii="Times New Roman" w:hAnsi="Times New Roman" w:cs="Times New Roman"/>
          <w:sz w:val="24"/>
          <w:szCs w:val="24"/>
        </w:rPr>
        <w:t xml:space="preserve">Source: </w:t>
      </w:r>
      <w:r w:rsidR="00624A9E">
        <w:rPr>
          <w:rFonts w:ascii="Times New Roman" w:hAnsi="Times New Roman" w:cs="Times New Roman"/>
          <w:sz w:val="24"/>
          <w:szCs w:val="24"/>
        </w:rPr>
        <w:t>World Bank</w:t>
      </w:r>
    </w:p>
    <w:p w:rsidR="00F70443" w:rsidRDefault="00F70443" w:rsidP="00F70443">
      <w:pPr>
        <w:ind w:firstLine="720"/>
        <w:rPr>
          <w:rFonts w:ascii="Times New Roman" w:hAnsi="Times New Roman" w:cs="Times New Roman"/>
          <w:sz w:val="24"/>
          <w:szCs w:val="24"/>
        </w:rPr>
      </w:pPr>
    </w:p>
    <w:p w:rsidR="002D0943" w:rsidRPr="003B78E9" w:rsidRDefault="00624A9E" w:rsidP="00624A9E">
      <w:pPr>
        <w:ind w:firstLine="720"/>
        <w:jc w:val="center"/>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58240" behindDoc="1" locked="0" layoutInCell="1" allowOverlap="1" wp14:anchorId="526174DB" wp14:editId="7FCCDF47">
            <wp:simplePos x="0" y="0"/>
            <wp:positionH relativeFrom="margin">
              <wp:align>right</wp:align>
            </wp:positionH>
            <wp:positionV relativeFrom="paragraph">
              <wp:posOffset>390525</wp:posOffset>
            </wp:positionV>
            <wp:extent cx="5486400" cy="3200400"/>
            <wp:effectExtent l="0" t="0" r="0" b="0"/>
            <wp:wrapTight wrapText="bothSides">
              <wp:wrapPolygon edited="0">
                <wp:start x="0" y="0"/>
                <wp:lineTo x="0" y="21471"/>
                <wp:lineTo x="21525" y="21471"/>
                <wp:lineTo x="21525" y="0"/>
                <wp:lineTo x="0" y="0"/>
              </wp:wrapPolygon>
            </wp:wrapTight>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sidR="002D0943">
        <w:rPr>
          <w:rFonts w:ascii="Times New Roman" w:hAnsi="Times New Roman" w:cs="Times New Roman"/>
          <w:sz w:val="24"/>
          <w:szCs w:val="24"/>
        </w:rPr>
        <w:t xml:space="preserve">Figure </w:t>
      </w:r>
      <w:r>
        <w:rPr>
          <w:rFonts w:ascii="Times New Roman" w:hAnsi="Times New Roman" w:cs="Times New Roman"/>
          <w:sz w:val="24"/>
          <w:szCs w:val="24"/>
        </w:rPr>
        <w:t>7</w:t>
      </w:r>
      <w:r w:rsidR="002D0943">
        <w:rPr>
          <w:rFonts w:ascii="Times New Roman" w:hAnsi="Times New Roman" w:cs="Times New Roman"/>
          <w:sz w:val="24"/>
          <w:szCs w:val="24"/>
        </w:rPr>
        <w:t xml:space="preserve">: </w:t>
      </w:r>
      <w:r w:rsidR="00F44A6F" w:rsidRPr="00F44A6F">
        <w:rPr>
          <w:rFonts w:ascii="Times New Roman" w:hAnsi="Times New Roman" w:cs="Times New Roman"/>
          <w:sz w:val="24"/>
          <w:szCs w:val="24"/>
        </w:rPr>
        <w:t>Infant mortality rate</w:t>
      </w:r>
      <w:r w:rsidR="00F44A6F">
        <w:rPr>
          <w:rFonts w:ascii="Times New Roman" w:hAnsi="Times New Roman" w:cs="Times New Roman"/>
          <w:sz w:val="24"/>
          <w:szCs w:val="24"/>
        </w:rPr>
        <w:t xml:space="preserve"> </w:t>
      </w:r>
      <w:r w:rsidR="00417E67">
        <w:rPr>
          <w:rFonts w:ascii="Times New Roman" w:hAnsi="Times New Roman" w:cs="Times New Roman"/>
          <w:sz w:val="24"/>
          <w:szCs w:val="24"/>
        </w:rPr>
        <w:t>(per 1000 people),</w:t>
      </w:r>
      <w:r w:rsidR="002D0943" w:rsidRPr="002D0943">
        <w:rPr>
          <w:rFonts w:ascii="Times New Roman" w:hAnsi="Times New Roman" w:cs="Times New Roman"/>
          <w:sz w:val="24"/>
          <w:szCs w:val="24"/>
        </w:rPr>
        <w:t xml:space="preserve"> per year</w:t>
      </w:r>
    </w:p>
    <w:p w:rsidR="00690BD8" w:rsidRDefault="00690BD8" w:rsidP="00690BD8">
      <w:pPr>
        <w:ind w:firstLine="720"/>
        <w:jc w:val="center"/>
        <w:rPr>
          <w:rFonts w:ascii="Times New Roman" w:hAnsi="Times New Roman" w:cs="Times New Roman"/>
          <w:sz w:val="24"/>
          <w:szCs w:val="24"/>
        </w:rPr>
      </w:pPr>
      <w:r>
        <w:rPr>
          <w:rFonts w:ascii="Times New Roman" w:hAnsi="Times New Roman" w:cs="Times New Roman"/>
          <w:sz w:val="24"/>
          <w:szCs w:val="24"/>
        </w:rPr>
        <w:t>Source: World Bank</w:t>
      </w:r>
    </w:p>
    <w:p w:rsidR="00E20B2C" w:rsidRPr="00690BD8" w:rsidRDefault="00624A9E" w:rsidP="00385765">
      <w:pPr>
        <w:jc w:val="center"/>
        <w:rPr>
          <w:rFonts w:ascii="Times New Roman" w:hAnsi="Times New Roman" w:cs="Times New Roman"/>
          <w:sz w:val="24"/>
          <w:szCs w:val="32"/>
        </w:rPr>
      </w:pPr>
      <w:r>
        <w:rPr>
          <w:rFonts w:ascii="Times New Roman" w:hAnsi="Times New Roman" w:cs="Times New Roman"/>
          <w:noProof/>
          <w:sz w:val="24"/>
          <w:szCs w:val="32"/>
        </w:rPr>
        <w:drawing>
          <wp:anchor distT="0" distB="0" distL="114300" distR="114300" simplePos="0" relativeHeight="251659264" behindDoc="1" locked="0" layoutInCell="1" allowOverlap="1" wp14:anchorId="3BDCBA1C" wp14:editId="1DDC8F41">
            <wp:simplePos x="0" y="0"/>
            <wp:positionH relativeFrom="margin">
              <wp:align>right</wp:align>
            </wp:positionH>
            <wp:positionV relativeFrom="paragraph">
              <wp:posOffset>323850</wp:posOffset>
            </wp:positionV>
            <wp:extent cx="5486400" cy="3200400"/>
            <wp:effectExtent l="0" t="0" r="0" b="0"/>
            <wp:wrapTight wrapText="bothSides">
              <wp:wrapPolygon edited="0">
                <wp:start x="0" y="0"/>
                <wp:lineTo x="0" y="21471"/>
                <wp:lineTo x="21525" y="21471"/>
                <wp:lineTo x="21525" y="0"/>
                <wp:lineTo x="0" y="0"/>
              </wp:wrapPolygon>
            </wp:wrapTight>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Pr>
          <w:rFonts w:ascii="Times New Roman" w:hAnsi="Times New Roman" w:cs="Times New Roman"/>
          <w:sz w:val="24"/>
          <w:szCs w:val="32"/>
        </w:rPr>
        <w:t>Figure 8</w:t>
      </w:r>
      <w:r w:rsidR="00690BD8" w:rsidRPr="00690BD8">
        <w:rPr>
          <w:rFonts w:ascii="Times New Roman" w:hAnsi="Times New Roman" w:cs="Times New Roman"/>
          <w:sz w:val="24"/>
          <w:szCs w:val="32"/>
        </w:rPr>
        <w:t>: Death rate, crude (per 1,000 people)</w:t>
      </w:r>
      <w:r w:rsidR="00417E67">
        <w:rPr>
          <w:rFonts w:ascii="Times New Roman" w:hAnsi="Times New Roman" w:cs="Times New Roman"/>
          <w:sz w:val="24"/>
          <w:szCs w:val="32"/>
        </w:rPr>
        <w:t>, per year</w:t>
      </w:r>
    </w:p>
    <w:p w:rsidR="00690BD8" w:rsidRDefault="00690BD8" w:rsidP="00690BD8">
      <w:pPr>
        <w:ind w:firstLine="720"/>
        <w:jc w:val="center"/>
        <w:rPr>
          <w:rFonts w:ascii="Times New Roman" w:hAnsi="Times New Roman" w:cs="Times New Roman"/>
          <w:sz w:val="24"/>
          <w:szCs w:val="24"/>
        </w:rPr>
      </w:pPr>
      <w:r>
        <w:rPr>
          <w:rFonts w:ascii="Times New Roman" w:hAnsi="Times New Roman" w:cs="Times New Roman"/>
          <w:sz w:val="24"/>
          <w:szCs w:val="24"/>
        </w:rPr>
        <w:t>Source: World Bank</w:t>
      </w:r>
    </w:p>
    <w:p w:rsidR="007B3111" w:rsidRDefault="007B3111" w:rsidP="007B3111">
      <w:pPr>
        <w:jc w:val="center"/>
        <w:rPr>
          <w:rFonts w:ascii="Times New Roman" w:hAnsi="Times New Roman" w:cs="Times New Roman"/>
        </w:rPr>
      </w:pPr>
    </w:p>
    <w:p w:rsidR="007B3111" w:rsidRDefault="007B3111" w:rsidP="007B3111">
      <w:pPr>
        <w:jc w:val="center"/>
        <w:rPr>
          <w:rFonts w:ascii="Times New Roman" w:hAnsi="Times New Roman" w:cs="Times New Roman"/>
        </w:rPr>
      </w:pPr>
    </w:p>
    <w:p w:rsidR="00BC1D0C" w:rsidRDefault="00BC1D0C" w:rsidP="007B3111">
      <w:pPr>
        <w:jc w:val="center"/>
        <w:rPr>
          <w:rFonts w:ascii="Times New Roman" w:hAnsi="Times New Roman" w:cs="Times New Roman"/>
        </w:rPr>
      </w:pPr>
    </w:p>
    <w:p w:rsidR="00BC1D0C" w:rsidRDefault="00BC1D0C" w:rsidP="0060592F">
      <w:pPr>
        <w:spacing w:line="480" w:lineRule="auto"/>
        <w:jc w:val="center"/>
        <w:rPr>
          <w:rFonts w:ascii="Times New Roman" w:hAnsi="Times New Roman" w:cs="Times New Roman"/>
          <w:b/>
          <w:bCs/>
          <w:sz w:val="26"/>
          <w:szCs w:val="26"/>
        </w:rPr>
      </w:pPr>
      <w:r w:rsidRPr="0074718C">
        <w:rPr>
          <w:rFonts w:ascii="Times New Roman" w:hAnsi="Times New Roman" w:cs="Times New Roman"/>
          <w:b/>
          <w:bCs/>
          <w:sz w:val="26"/>
          <w:szCs w:val="26"/>
        </w:rPr>
        <w:lastRenderedPageBreak/>
        <w:t>References</w:t>
      </w:r>
    </w:p>
    <w:p w:rsidR="00B6311D" w:rsidRDefault="0060592F" w:rsidP="00B6311D">
      <w:pPr>
        <w:spacing w:line="480" w:lineRule="auto"/>
        <w:rPr>
          <w:rFonts w:ascii="Times New Roman" w:hAnsi="Times New Roman" w:cs="Times New Roman"/>
          <w:sz w:val="24"/>
          <w:szCs w:val="24"/>
        </w:rPr>
      </w:pPr>
      <w:r w:rsidRPr="0060592F">
        <w:rPr>
          <w:rFonts w:ascii="Times New Roman" w:hAnsi="Times New Roman" w:cs="Times New Roman"/>
          <w:sz w:val="24"/>
          <w:szCs w:val="24"/>
        </w:rPr>
        <w:t xml:space="preserve">Health care systems in transition, Switzerland. (2000). </w:t>
      </w:r>
      <w:proofErr w:type="spellStart"/>
      <w:r w:rsidRPr="0060592F">
        <w:rPr>
          <w:rFonts w:ascii="Times New Roman" w:hAnsi="Times New Roman" w:cs="Times New Roman"/>
          <w:sz w:val="24"/>
          <w:szCs w:val="24"/>
        </w:rPr>
        <w:t>S.l</w:t>
      </w:r>
      <w:proofErr w:type="spellEnd"/>
      <w:r w:rsidRPr="0060592F">
        <w:rPr>
          <w:rFonts w:ascii="Times New Roman" w:hAnsi="Times New Roman" w:cs="Times New Roman"/>
          <w:sz w:val="24"/>
          <w:szCs w:val="24"/>
        </w:rPr>
        <w:t xml:space="preserve">.: European Observatory on health </w:t>
      </w:r>
    </w:p>
    <w:p w:rsidR="00BC1D0C" w:rsidRDefault="0060592F" w:rsidP="00B6311D">
      <w:pPr>
        <w:spacing w:line="480" w:lineRule="auto"/>
        <w:ind w:firstLine="720"/>
        <w:rPr>
          <w:rFonts w:ascii="Times New Roman" w:hAnsi="Times New Roman" w:cs="Times New Roman"/>
          <w:sz w:val="24"/>
          <w:szCs w:val="24"/>
        </w:rPr>
      </w:pPr>
      <w:r w:rsidRPr="0060592F">
        <w:rPr>
          <w:rFonts w:ascii="Times New Roman" w:hAnsi="Times New Roman" w:cs="Times New Roman"/>
          <w:sz w:val="24"/>
          <w:szCs w:val="24"/>
        </w:rPr>
        <w:t>Care Systems.</w:t>
      </w:r>
    </w:p>
    <w:p w:rsidR="00B6311D" w:rsidRDefault="0060592F" w:rsidP="00B6311D">
      <w:pPr>
        <w:spacing w:line="480" w:lineRule="auto"/>
        <w:rPr>
          <w:rFonts w:ascii="Times New Roman" w:hAnsi="Times New Roman" w:cs="Times New Roman"/>
          <w:sz w:val="24"/>
          <w:szCs w:val="24"/>
        </w:rPr>
      </w:pPr>
      <w:proofErr w:type="spellStart"/>
      <w:r w:rsidRPr="0060592F">
        <w:rPr>
          <w:rFonts w:ascii="Times New Roman" w:hAnsi="Times New Roman" w:cs="Times New Roman"/>
          <w:sz w:val="24"/>
          <w:szCs w:val="24"/>
        </w:rPr>
        <w:t>Joumard</w:t>
      </w:r>
      <w:proofErr w:type="spellEnd"/>
      <w:r w:rsidRPr="0060592F">
        <w:rPr>
          <w:rFonts w:ascii="Times New Roman" w:hAnsi="Times New Roman" w:cs="Times New Roman"/>
          <w:sz w:val="24"/>
          <w:szCs w:val="24"/>
        </w:rPr>
        <w:t xml:space="preserve">, I., &amp; </w:t>
      </w:r>
      <w:proofErr w:type="spellStart"/>
      <w:r w:rsidRPr="0060592F">
        <w:rPr>
          <w:rFonts w:ascii="Times New Roman" w:hAnsi="Times New Roman" w:cs="Times New Roman"/>
          <w:sz w:val="24"/>
          <w:szCs w:val="24"/>
        </w:rPr>
        <w:t>Giorno</w:t>
      </w:r>
      <w:proofErr w:type="spellEnd"/>
      <w:r w:rsidRPr="0060592F">
        <w:rPr>
          <w:rFonts w:ascii="Times New Roman" w:hAnsi="Times New Roman" w:cs="Times New Roman"/>
          <w:sz w:val="24"/>
          <w:szCs w:val="24"/>
        </w:rPr>
        <w:t xml:space="preserve">, C. (2002). Enhancing the effectiveness of public spending in </w:t>
      </w:r>
      <w:r w:rsidR="00B6311D">
        <w:rPr>
          <w:rFonts w:ascii="Times New Roman" w:hAnsi="Times New Roman" w:cs="Times New Roman"/>
          <w:sz w:val="24"/>
          <w:szCs w:val="24"/>
        </w:rPr>
        <w:t xml:space="preserve">   </w:t>
      </w:r>
    </w:p>
    <w:p w:rsidR="00BC1D0C" w:rsidRDefault="0060592F" w:rsidP="00B6311D">
      <w:pPr>
        <w:spacing w:line="480" w:lineRule="auto"/>
        <w:ind w:firstLine="720"/>
        <w:rPr>
          <w:rFonts w:ascii="Times New Roman" w:hAnsi="Times New Roman" w:cs="Times New Roman"/>
          <w:sz w:val="24"/>
          <w:szCs w:val="24"/>
        </w:rPr>
      </w:pPr>
      <w:r w:rsidRPr="0060592F">
        <w:rPr>
          <w:rFonts w:ascii="Times New Roman" w:hAnsi="Times New Roman" w:cs="Times New Roman"/>
          <w:sz w:val="24"/>
          <w:szCs w:val="24"/>
        </w:rPr>
        <w:t xml:space="preserve">Switzerland. Paris: </w:t>
      </w:r>
      <w:proofErr w:type="spellStart"/>
      <w:r w:rsidRPr="0060592F">
        <w:rPr>
          <w:rFonts w:ascii="Times New Roman" w:hAnsi="Times New Roman" w:cs="Times New Roman"/>
          <w:sz w:val="24"/>
          <w:szCs w:val="24"/>
        </w:rPr>
        <w:t>Organisation</w:t>
      </w:r>
      <w:proofErr w:type="spellEnd"/>
      <w:r w:rsidRPr="0060592F">
        <w:rPr>
          <w:rFonts w:ascii="Times New Roman" w:hAnsi="Times New Roman" w:cs="Times New Roman"/>
          <w:sz w:val="24"/>
          <w:szCs w:val="24"/>
        </w:rPr>
        <w:t xml:space="preserve"> for Economic Co-operation and Development.</w:t>
      </w:r>
    </w:p>
    <w:p w:rsidR="00B6311D" w:rsidRDefault="0060592F" w:rsidP="00B6311D">
      <w:pPr>
        <w:spacing w:line="480" w:lineRule="auto"/>
        <w:rPr>
          <w:rFonts w:ascii="Times New Roman" w:hAnsi="Times New Roman" w:cs="Times New Roman"/>
          <w:sz w:val="24"/>
          <w:szCs w:val="24"/>
        </w:rPr>
      </w:pPr>
      <w:r w:rsidRPr="0060592F">
        <w:rPr>
          <w:rFonts w:ascii="Times New Roman" w:hAnsi="Times New Roman" w:cs="Times New Roman"/>
          <w:sz w:val="24"/>
          <w:szCs w:val="24"/>
        </w:rPr>
        <w:t>Government at a g</w:t>
      </w:r>
      <w:r w:rsidRPr="0060592F">
        <w:t xml:space="preserve"> </w:t>
      </w:r>
      <w:proofErr w:type="spellStart"/>
      <w:r w:rsidRPr="0060592F">
        <w:rPr>
          <w:rFonts w:ascii="Times New Roman" w:hAnsi="Times New Roman" w:cs="Times New Roman"/>
          <w:sz w:val="24"/>
          <w:szCs w:val="24"/>
        </w:rPr>
        <w:t>Walshe</w:t>
      </w:r>
      <w:proofErr w:type="spellEnd"/>
      <w:r w:rsidRPr="0060592F">
        <w:rPr>
          <w:rFonts w:ascii="Times New Roman" w:hAnsi="Times New Roman" w:cs="Times New Roman"/>
          <w:sz w:val="24"/>
          <w:szCs w:val="24"/>
        </w:rPr>
        <w:t xml:space="preserve">, K. (2011). Healthcare management (2nd </w:t>
      </w:r>
      <w:proofErr w:type="gramStart"/>
      <w:r w:rsidRPr="0060592F">
        <w:rPr>
          <w:rFonts w:ascii="Times New Roman" w:hAnsi="Times New Roman" w:cs="Times New Roman"/>
          <w:sz w:val="24"/>
          <w:szCs w:val="24"/>
        </w:rPr>
        <w:t>ed</w:t>
      </w:r>
      <w:proofErr w:type="gramEnd"/>
      <w:r w:rsidRPr="0060592F">
        <w:rPr>
          <w:rFonts w:ascii="Times New Roman" w:hAnsi="Times New Roman" w:cs="Times New Roman"/>
          <w:sz w:val="24"/>
          <w:szCs w:val="24"/>
        </w:rPr>
        <w:t xml:space="preserve">.). Maidenhead, </w:t>
      </w:r>
      <w:r w:rsidR="00B6311D">
        <w:rPr>
          <w:rFonts w:ascii="Times New Roman" w:hAnsi="Times New Roman" w:cs="Times New Roman"/>
          <w:sz w:val="24"/>
          <w:szCs w:val="24"/>
        </w:rPr>
        <w:t xml:space="preserve"> </w:t>
      </w:r>
    </w:p>
    <w:p w:rsidR="00B6311D" w:rsidRDefault="0060592F" w:rsidP="00B6311D">
      <w:pPr>
        <w:spacing w:line="480" w:lineRule="auto"/>
        <w:ind w:firstLine="720"/>
        <w:rPr>
          <w:rFonts w:ascii="Times New Roman" w:hAnsi="Times New Roman" w:cs="Times New Roman"/>
          <w:sz w:val="24"/>
          <w:szCs w:val="24"/>
        </w:rPr>
      </w:pPr>
      <w:r w:rsidRPr="0060592F">
        <w:rPr>
          <w:rFonts w:ascii="Times New Roman" w:hAnsi="Times New Roman" w:cs="Times New Roman"/>
          <w:sz w:val="24"/>
          <w:szCs w:val="24"/>
        </w:rPr>
        <w:t xml:space="preserve">Berkshire, England: McGraw Hill/Open University </w:t>
      </w:r>
      <w:proofErr w:type="spellStart"/>
      <w:r w:rsidRPr="0060592F">
        <w:rPr>
          <w:rFonts w:ascii="Times New Roman" w:hAnsi="Times New Roman" w:cs="Times New Roman"/>
          <w:sz w:val="24"/>
          <w:szCs w:val="24"/>
        </w:rPr>
        <w:t>Press.lance</w:t>
      </w:r>
      <w:proofErr w:type="spellEnd"/>
      <w:r w:rsidRPr="0060592F">
        <w:rPr>
          <w:rFonts w:ascii="Times New Roman" w:hAnsi="Times New Roman" w:cs="Times New Roman"/>
          <w:sz w:val="24"/>
          <w:szCs w:val="24"/>
        </w:rPr>
        <w:t xml:space="preserve"> 2015. (2015). Place of </w:t>
      </w:r>
    </w:p>
    <w:p w:rsidR="0060592F" w:rsidRDefault="0060592F" w:rsidP="00B6311D">
      <w:pPr>
        <w:spacing w:line="480" w:lineRule="auto"/>
        <w:ind w:firstLine="720"/>
        <w:rPr>
          <w:rFonts w:ascii="Times New Roman" w:hAnsi="Times New Roman" w:cs="Times New Roman"/>
          <w:sz w:val="24"/>
          <w:szCs w:val="24"/>
        </w:rPr>
      </w:pPr>
      <w:proofErr w:type="gramStart"/>
      <w:r>
        <w:rPr>
          <w:rFonts w:ascii="Times New Roman" w:hAnsi="Times New Roman" w:cs="Times New Roman"/>
          <w:sz w:val="24"/>
          <w:szCs w:val="24"/>
        </w:rPr>
        <w:t>publication</w:t>
      </w:r>
      <w:proofErr w:type="gramEnd"/>
      <w:r>
        <w:rPr>
          <w:rFonts w:ascii="Times New Roman" w:hAnsi="Times New Roman" w:cs="Times New Roman"/>
          <w:sz w:val="24"/>
          <w:szCs w:val="24"/>
        </w:rPr>
        <w:t xml:space="preserve"> not identified: OECD</w:t>
      </w:r>
      <w:r w:rsidRPr="0060592F">
        <w:rPr>
          <w:rFonts w:ascii="Times New Roman" w:hAnsi="Times New Roman" w:cs="Times New Roman"/>
          <w:sz w:val="24"/>
          <w:szCs w:val="24"/>
        </w:rPr>
        <w:t>.</w:t>
      </w:r>
    </w:p>
    <w:p w:rsidR="00B6311D" w:rsidRDefault="00B6311D" w:rsidP="00B6311D">
      <w:pPr>
        <w:spacing w:line="480" w:lineRule="auto"/>
        <w:rPr>
          <w:rFonts w:ascii="Times New Roman" w:hAnsi="Times New Roman" w:cs="Times New Roman"/>
          <w:sz w:val="24"/>
          <w:szCs w:val="24"/>
        </w:rPr>
      </w:pPr>
      <w:r w:rsidRPr="0060592F">
        <w:rPr>
          <w:rFonts w:ascii="Times New Roman" w:hAnsi="Times New Roman" w:cs="Times New Roman"/>
          <w:sz w:val="24"/>
          <w:szCs w:val="24"/>
        </w:rPr>
        <w:t xml:space="preserve">OECD Economic Surveys Switzerland 2015. (2015). </w:t>
      </w:r>
    </w:p>
    <w:p w:rsidR="00B6311D" w:rsidRDefault="00B6311D" w:rsidP="00B6311D">
      <w:pPr>
        <w:rPr>
          <w:rFonts w:ascii="Times New Roman" w:hAnsi="Times New Roman" w:cs="Times New Roman"/>
          <w:sz w:val="24"/>
          <w:szCs w:val="24"/>
        </w:rPr>
      </w:pPr>
      <w:r w:rsidRPr="00480533">
        <w:rPr>
          <w:rFonts w:ascii="Times New Roman" w:eastAsia="Times New Roman" w:hAnsi="Times New Roman" w:cs="Times New Roman"/>
          <w:color w:val="000000"/>
          <w:sz w:val="24"/>
          <w:szCs w:val="24"/>
        </w:rPr>
        <w:t>World Bank. (</w:t>
      </w:r>
      <w:proofErr w:type="spellStart"/>
      <w:r w:rsidRPr="00480533">
        <w:rPr>
          <w:rFonts w:ascii="Times New Roman" w:eastAsia="Times New Roman" w:hAnsi="Times New Roman" w:cs="Times New Roman"/>
          <w:color w:val="000000"/>
          <w:sz w:val="24"/>
          <w:szCs w:val="24"/>
        </w:rPr>
        <w:t>n.</w:t>
      </w:r>
      <w:r>
        <w:rPr>
          <w:rFonts w:ascii="Times New Roman" w:eastAsia="Times New Roman" w:hAnsi="Times New Roman" w:cs="Times New Roman"/>
          <w:color w:val="000000"/>
          <w:sz w:val="24"/>
          <w:szCs w:val="24"/>
        </w:rPr>
        <w:t>d.</w:t>
      </w:r>
      <w:proofErr w:type="spellEnd"/>
      <w:r>
        <w:rPr>
          <w:rFonts w:ascii="Times New Roman" w:eastAsia="Times New Roman" w:hAnsi="Times New Roman" w:cs="Times New Roman"/>
          <w:color w:val="000000"/>
          <w:sz w:val="24"/>
          <w:szCs w:val="24"/>
        </w:rPr>
        <w:t>). The World Bank in Switzerland</w:t>
      </w:r>
      <w:r w:rsidRPr="00480533">
        <w:rPr>
          <w:rFonts w:ascii="Times New Roman" w:eastAsia="Times New Roman" w:hAnsi="Times New Roman" w:cs="Times New Roman"/>
          <w:color w:val="000000"/>
          <w:sz w:val="24"/>
          <w:szCs w:val="24"/>
        </w:rPr>
        <w:t>: Health.</w:t>
      </w:r>
    </w:p>
    <w:p w:rsidR="00B6311D" w:rsidRPr="0060592F" w:rsidRDefault="00B6311D" w:rsidP="00B6311D">
      <w:pPr>
        <w:spacing w:line="480" w:lineRule="auto"/>
        <w:ind w:firstLine="720"/>
        <w:rPr>
          <w:rFonts w:ascii="Times New Roman" w:hAnsi="Times New Roman" w:cs="Times New Roman"/>
          <w:sz w:val="24"/>
          <w:szCs w:val="24"/>
        </w:rPr>
      </w:pPr>
      <w:bookmarkStart w:id="0" w:name="_GoBack"/>
      <w:bookmarkEnd w:id="0"/>
    </w:p>
    <w:p w:rsidR="0060592F" w:rsidRPr="0060592F" w:rsidRDefault="0060592F" w:rsidP="0060592F">
      <w:pPr>
        <w:spacing w:line="480" w:lineRule="auto"/>
        <w:ind w:firstLine="720"/>
        <w:rPr>
          <w:rFonts w:ascii="Times New Roman" w:hAnsi="Times New Roman" w:cs="Times New Roman"/>
          <w:sz w:val="24"/>
          <w:szCs w:val="24"/>
        </w:rPr>
      </w:pPr>
    </w:p>
    <w:sectPr w:rsidR="0060592F" w:rsidRPr="006059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224BE"/>
    <w:multiLevelType w:val="hybridMultilevel"/>
    <w:tmpl w:val="9A08B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F7F"/>
    <w:rsid w:val="000814CB"/>
    <w:rsid w:val="00096187"/>
    <w:rsid w:val="000D728D"/>
    <w:rsid w:val="00183FD7"/>
    <w:rsid w:val="00184C27"/>
    <w:rsid w:val="00186C0E"/>
    <w:rsid w:val="001F5B0A"/>
    <w:rsid w:val="00205303"/>
    <w:rsid w:val="002538A5"/>
    <w:rsid w:val="00296C19"/>
    <w:rsid w:val="002A45DB"/>
    <w:rsid w:val="002A7EDD"/>
    <w:rsid w:val="002B0357"/>
    <w:rsid w:val="002D0943"/>
    <w:rsid w:val="00312E06"/>
    <w:rsid w:val="00375554"/>
    <w:rsid w:val="00385765"/>
    <w:rsid w:val="003B78E9"/>
    <w:rsid w:val="003F63CA"/>
    <w:rsid w:val="00417E67"/>
    <w:rsid w:val="004C5E5D"/>
    <w:rsid w:val="004D490E"/>
    <w:rsid w:val="00590F93"/>
    <w:rsid w:val="005C6A07"/>
    <w:rsid w:val="0060592F"/>
    <w:rsid w:val="00624A9E"/>
    <w:rsid w:val="00690BD8"/>
    <w:rsid w:val="00723638"/>
    <w:rsid w:val="00727A1B"/>
    <w:rsid w:val="00744003"/>
    <w:rsid w:val="00765276"/>
    <w:rsid w:val="0076779F"/>
    <w:rsid w:val="007B3111"/>
    <w:rsid w:val="007D18B1"/>
    <w:rsid w:val="008A4143"/>
    <w:rsid w:val="0093237A"/>
    <w:rsid w:val="009849A7"/>
    <w:rsid w:val="00990E78"/>
    <w:rsid w:val="009A603E"/>
    <w:rsid w:val="00AE79F5"/>
    <w:rsid w:val="00B54D77"/>
    <w:rsid w:val="00B6311D"/>
    <w:rsid w:val="00BB0A39"/>
    <w:rsid w:val="00BC1D0C"/>
    <w:rsid w:val="00BC2928"/>
    <w:rsid w:val="00BE12A6"/>
    <w:rsid w:val="00C417A8"/>
    <w:rsid w:val="00C52C75"/>
    <w:rsid w:val="00C81911"/>
    <w:rsid w:val="00CA6D50"/>
    <w:rsid w:val="00CF5AA7"/>
    <w:rsid w:val="00D0106C"/>
    <w:rsid w:val="00D1031B"/>
    <w:rsid w:val="00D274FF"/>
    <w:rsid w:val="00D603B8"/>
    <w:rsid w:val="00DC71BE"/>
    <w:rsid w:val="00DD145D"/>
    <w:rsid w:val="00E00949"/>
    <w:rsid w:val="00E20B2C"/>
    <w:rsid w:val="00E606C3"/>
    <w:rsid w:val="00EE35EC"/>
    <w:rsid w:val="00EF2ACE"/>
    <w:rsid w:val="00EF6539"/>
    <w:rsid w:val="00F00F7F"/>
    <w:rsid w:val="00F44A6F"/>
    <w:rsid w:val="00F551BA"/>
    <w:rsid w:val="00F70443"/>
    <w:rsid w:val="00FA4A5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1BA824-5C22-4835-B4D2-2B7CF9B2A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0F7F"/>
    <w:pPr>
      <w:spacing w:after="200" w:line="276" w:lineRule="auto"/>
    </w:pPr>
  </w:style>
  <w:style w:type="paragraph" w:styleId="Heading1">
    <w:name w:val="heading 1"/>
    <w:basedOn w:val="Normal"/>
    <w:next w:val="Normal"/>
    <w:link w:val="Heading1Char"/>
    <w:uiPriority w:val="9"/>
    <w:qFormat/>
    <w:rsid w:val="00690BD8"/>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paragraph" w:styleId="Heading2">
    <w:name w:val="heading 2"/>
    <w:basedOn w:val="Normal"/>
    <w:link w:val="Heading2Char"/>
    <w:uiPriority w:val="9"/>
    <w:qFormat/>
    <w:rsid w:val="003B78E9"/>
    <w:pPr>
      <w:spacing w:before="100" w:beforeAutospacing="1" w:after="100" w:afterAutospacing="1" w:line="240" w:lineRule="auto"/>
      <w:outlineLvl w:val="1"/>
    </w:pPr>
    <w:rPr>
      <w:rFonts w:ascii="Tahoma" w:eastAsia="Times New Roman" w:hAnsi="Tahoma" w:cs="Tahoma"/>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78E9"/>
    <w:rPr>
      <w:color w:val="0563C1" w:themeColor="hyperlink"/>
      <w:u w:val="single"/>
    </w:rPr>
  </w:style>
  <w:style w:type="character" w:customStyle="1" w:styleId="Heading2Char">
    <w:name w:val="Heading 2 Char"/>
    <w:basedOn w:val="DefaultParagraphFont"/>
    <w:link w:val="Heading2"/>
    <w:uiPriority w:val="9"/>
    <w:rsid w:val="003B78E9"/>
    <w:rPr>
      <w:rFonts w:ascii="Tahoma" w:eastAsia="Times New Roman" w:hAnsi="Tahoma" w:cs="Tahoma"/>
      <w:b/>
      <w:bCs/>
      <w:sz w:val="36"/>
      <w:szCs w:val="36"/>
    </w:rPr>
  </w:style>
  <w:style w:type="paragraph" w:styleId="ListParagraph">
    <w:name w:val="List Paragraph"/>
    <w:basedOn w:val="Normal"/>
    <w:uiPriority w:val="34"/>
    <w:qFormat/>
    <w:rsid w:val="003B78E9"/>
    <w:pPr>
      <w:ind w:left="720"/>
      <w:contextualSpacing/>
    </w:pPr>
  </w:style>
  <w:style w:type="character" w:customStyle="1" w:styleId="Heading1Char">
    <w:name w:val="Heading 1 Char"/>
    <w:basedOn w:val="DefaultParagraphFont"/>
    <w:link w:val="Heading1"/>
    <w:uiPriority w:val="9"/>
    <w:rsid w:val="00690BD8"/>
    <w:rPr>
      <w:rFonts w:asciiTheme="majorHAnsi" w:eastAsiaTheme="majorEastAsia" w:hAnsiTheme="majorHAnsi" w:cstheme="majorBidi"/>
      <w:color w:val="2E74B5" w:themeColor="accent1" w:themeShade="BF"/>
      <w:sz w:val="32"/>
      <w:szCs w:val="40"/>
    </w:rPr>
  </w:style>
  <w:style w:type="character" w:customStyle="1" w:styleId="apple-converted-space">
    <w:name w:val="apple-converted-space"/>
    <w:basedOn w:val="DefaultParagraphFont"/>
    <w:rsid w:val="00C52C75"/>
  </w:style>
  <w:style w:type="paragraph" w:customStyle="1" w:styleId="Default">
    <w:name w:val="Default"/>
    <w:rsid w:val="00D274FF"/>
    <w:pPr>
      <w:autoSpaceDE w:val="0"/>
      <w:autoSpaceDN w:val="0"/>
      <w:adjustRightInd w:val="0"/>
      <w:spacing w:after="0" w:line="240" w:lineRule="auto"/>
    </w:pPr>
    <w:rPr>
      <w:rFonts w:ascii="Arial" w:hAnsi="Arial" w:cs="Arial"/>
      <w:color w:val="000000"/>
      <w:sz w:val="24"/>
      <w:szCs w:val="24"/>
    </w:rPr>
  </w:style>
  <w:style w:type="paragraph" w:styleId="Bibliography">
    <w:name w:val="Bibliography"/>
    <w:basedOn w:val="Normal"/>
    <w:next w:val="Normal"/>
    <w:uiPriority w:val="37"/>
    <w:unhideWhenUsed/>
    <w:rsid w:val="00BC1D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199919">
      <w:bodyDiv w:val="1"/>
      <w:marLeft w:val="0"/>
      <w:marRight w:val="0"/>
      <w:marTop w:val="0"/>
      <w:marBottom w:val="0"/>
      <w:divBdr>
        <w:top w:val="none" w:sz="0" w:space="0" w:color="auto"/>
        <w:left w:val="none" w:sz="0" w:space="0" w:color="auto"/>
        <w:bottom w:val="none" w:sz="0" w:space="0" w:color="auto"/>
        <w:right w:val="none" w:sz="0" w:space="0" w:color="auto"/>
      </w:divBdr>
    </w:div>
    <w:div w:id="200019282">
      <w:bodyDiv w:val="1"/>
      <w:marLeft w:val="0"/>
      <w:marRight w:val="0"/>
      <w:marTop w:val="0"/>
      <w:marBottom w:val="0"/>
      <w:divBdr>
        <w:top w:val="none" w:sz="0" w:space="0" w:color="auto"/>
        <w:left w:val="none" w:sz="0" w:space="0" w:color="auto"/>
        <w:bottom w:val="none" w:sz="0" w:space="0" w:color="auto"/>
        <w:right w:val="none" w:sz="0" w:space="0" w:color="auto"/>
      </w:divBdr>
    </w:div>
    <w:div w:id="265776422">
      <w:bodyDiv w:val="1"/>
      <w:marLeft w:val="0"/>
      <w:marRight w:val="0"/>
      <w:marTop w:val="0"/>
      <w:marBottom w:val="0"/>
      <w:divBdr>
        <w:top w:val="none" w:sz="0" w:space="0" w:color="auto"/>
        <w:left w:val="none" w:sz="0" w:space="0" w:color="auto"/>
        <w:bottom w:val="none" w:sz="0" w:space="0" w:color="auto"/>
        <w:right w:val="none" w:sz="0" w:space="0" w:color="auto"/>
      </w:divBdr>
    </w:div>
    <w:div w:id="351536902">
      <w:bodyDiv w:val="1"/>
      <w:marLeft w:val="0"/>
      <w:marRight w:val="0"/>
      <w:marTop w:val="0"/>
      <w:marBottom w:val="0"/>
      <w:divBdr>
        <w:top w:val="none" w:sz="0" w:space="0" w:color="auto"/>
        <w:left w:val="none" w:sz="0" w:space="0" w:color="auto"/>
        <w:bottom w:val="none" w:sz="0" w:space="0" w:color="auto"/>
        <w:right w:val="none" w:sz="0" w:space="0" w:color="auto"/>
      </w:divBdr>
    </w:div>
    <w:div w:id="672875807">
      <w:bodyDiv w:val="1"/>
      <w:marLeft w:val="0"/>
      <w:marRight w:val="0"/>
      <w:marTop w:val="0"/>
      <w:marBottom w:val="0"/>
      <w:divBdr>
        <w:top w:val="none" w:sz="0" w:space="0" w:color="auto"/>
        <w:left w:val="none" w:sz="0" w:space="0" w:color="auto"/>
        <w:bottom w:val="none" w:sz="0" w:space="0" w:color="auto"/>
        <w:right w:val="none" w:sz="0" w:space="0" w:color="auto"/>
      </w:divBdr>
    </w:div>
    <w:div w:id="1569921333">
      <w:bodyDiv w:val="1"/>
      <w:marLeft w:val="0"/>
      <w:marRight w:val="0"/>
      <w:marTop w:val="0"/>
      <w:marBottom w:val="0"/>
      <w:divBdr>
        <w:top w:val="none" w:sz="0" w:space="0" w:color="auto"/>
        <w:left w:val="none" w:sz="0" w:space="0" w:color="auto"/>
        <w:bottom w:val="none" w:sz="0" w:space="0" w:color="auto"/>
        <w:right w:val="none" w:sz="0" w:space="0" w:color="auto"/>
      </w:divBdr>
    </w:div>
    <w:div w:id="1694109066">
      <w:bodyDiv w:val="1"/>
      <w:marLeft w:val="0"/>
      <w:marRight w:val="0"/>
      <w:marTop w:val="0"/>
      <w:marBottom w:val="0"/>
      <w:divBdr>
        <w:top w:val="none" w:sz="0" w:space="0" w:color="auto"/>
        <w:left w:val="none" w:sz="0" w:space="0" w:color="auto"/>
        <w:bottom w:val="none" w:sz="0" w:space="0" w:color="auto"/>
        <w:right w:val="none" w:sz="0" w:space="0" w:color="auto"/>
      </w:divBdr>
    </w:div>
    <w:div w:id="1704137606">
      <w:bodyDiv w:val="1"/>
      <w:marLeft w:val="0"/>
      <w:marRight w:val="0"/>
      <w:marTop w:val="0"/>
      <w:marBottom w:val="0"/>
      <w:divBdr>
        <w:top w:val="none" w:sz="0" w:space="0" w:color="auto"/>
        <w:left w:val="none" w:sz="0" w:space="0" w:color="auto"/>
        <w:bottom w:val="none" w:sz="0" w:space="0" w:color="auto"/>
        <w:right w:val="none" w:sz="0" w:space="0" w:color="auto"/>
      </w:divBdr>
    </w:div>
    <w:div w:id="1818109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7.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chart" Target="charts/chart6.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hyperlink" Target="http://www.tradingeconomic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chart" Target="charts/chart8.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GDP growth (annual %)</c:v>
                </c:pt>
              </c:strCache>
            </c:strRef>
          </c:tx>
          <c:spPr>
            <a:ln w="28575" cap="rnd">
              <a:solidFill>
                <a:schemeClr val="accent5">
                  <a:lumMod val="75000"/>
                </a:schemeClr>
              </a:solidFill>
              <a:round/>
            </a:ln>
            <a:effectLst/>
          </c:spPr>
          <c:marker>
            <c:symbol val="none"/>
          </c:marker>
          <c:dLbls>
            <c:dLbl>
              <c:idx val="5"/>
              <c:layout>
                <c:manualLayout>
                  <c:x val="-3.6047499270924467E-2"/>
                  <c:y val="4.1696350456192979E-2"/>
                </c:manualLayout>
              </c:layout>
              <c:dLblPos val="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h-TH"/>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Sheet1!$A$2:$A$12</c:f>
              <c:numCache>
                <c:formatCode>General</c:formatCode>
                <c:ptCount val="11"/>
                <c:pt idx="0">
                  <c:v>2004</c:v>
                </c:pt>
                <c:pt idx="1">
                  <c:v>2005</c:v>
                </c:pt>
                <c:pt idx="2">
                  <c:v>2006</c:v>
                </c:pt>
                <c:pt idx="3">
                  <c:v>2007</c:v>
                </c:pt>
                <c:pt idx="4">
                  <c:v>2008</c:v>
                </c:pt>
                <c:pt idx="5">
                  <c:v>2009</c:v>
                </c:pt>
                <c:pt idx="6">
                  <c:v>2010</c:v>
                </c:pt>
                <c:pt idx="7">
                  <c:v>2011</c:v>
                </c:pt>
                <c:pt idx="8">
                  <c:v>2012</c:v>
                </c:pt>
                <c:pt idx="9">
                  <c:v>2013</c:v>
                </c:pt>
                <c:pt idx="10">
                  <c:v>2014</c:v>
                </c:pt>
              </c:numCache>
            </c:numRef>
          </c:cat>
          <c:val>
            <c:numRef>
              <c:f>Sheet1!$B$2:$B$12</c:f>
              <c:numCache>
                <c:formatCode>General</c:formatCode>
                <c:ptCount val="11"/>
                <c:pt idx="0">
                  <c:v>2.84</c:v>
                </c:pt>
                <c:pt idx="1">
                  <c:v>3</c:v>
                </c:pt>
                <c:pt idx="2">
                  <c:v>4</c:v>
                </c:pt>
                <c:pt idx="3">
                  <c:v>4.0999999999999996</c:v>
                </c:pt>
                <c:pt idx="4">
                  <c:v>2.2999999999999998</c:v>
                </c:pt>
                <c:pt idx="5">
                  <c:v>-2.1</c:v>
                </c:pt>
                <c:pt idx="6">
                  <c:v>3</c:v>
                </c:pt>
                <c:pt idx="7">
                  <c:v>1.8</c:v>
                </c:pt>
                <c:pt idx="8">
                  <c:v>1.1000000000000001</c:v>
                </c:pt>
                <c:pt idx="9">
                  <c:v>1.8</c:v>
                </c:pt>
                <c:pt idx="10">
                  <c:v>1.9</c:v>
                </c:pt>
              </c:numCache>
            </c:numRef>
          </c:val>
          <c:smooth val="0"/>
        </c:ser>
        <c:ser>
          <c:idx val="1"/>
          <c:order val="1"/>
          <c:tx>
            <c:strRef>
              <c:f>Sheet1!$C$1</c:f>
              <c:strCache>
                <c:ptCount val="1"/>
                <c:pt idx="0">
                  <c:v>General government final consumption expenditure (% of GDP) </c:v>
                </c:pt>
              </c:strCache>
            </c:strRef>
          </c:tx>
          <c:spPr>
            <a:ln w="28575" cap="rnd">
              <a:solidFill>
                <a:srgbClr val="FF6600"/>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h-TH"/>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Sheet1!$A$2:$A$12</c:f>
              <c:numCache>
                <c:formatCode>General</c:formatCode>
                <c:ptCount val="11"/>
                <c:pt idx="0">
                  <c:v>2004</c:v>
                </c:pt>
                <c:pt idx="1">
                  <c:v>2005</c:v>
                </c:pt>
                <c:pt idx="2">
                  <c:v>2006</c:v>
                </c:pt>
                <c:pt idx="3">
                  <c:v>2007</c:v>
                </c:pt>
                <c:pt idx="4">
                  <c:v>2008</c:v>
                </c:pt>
                <c:pt idx="5">
                  <c:v>2009</c:v>
                </c:pt>
                <c:pt idx="6">
                  <c:v>2010</c:v>
                </c:pt>
                <c:pt idx="7">
                  <c:v>2011</c:v>
                </c:pt>
                <c:pt idx="8">
                  <c:v>2012</c:v>
                </c:pt>
                <c:pt idx="9">
                  <c:v>2013</c:v>
                </c:pt>
                <c:pt idx="10">
                  <c:v>2014</c:v>
                </c:pt>
              </c:numCache>
            </c:numRef>
          </c:cat>
          <c:val>
            <c:numRef>
              <c:f>Sheet1!$C$2:$C$12</c:f>
              <c:numCache>
                <c:formatCode>General</c:formatCode>
                <c:ptCount val="11"/>
                <c:pt idx="0">
                  <c:v>11.44</c:v>
                </c:pt>
                <c:pt idx="1">
                  <c:v>11.24</c:v>
                </c:pt>
                <c:pt idx="2">
                  <c:v>10.78</c:v>
                </c:pt>
                <c:pt idx="3">
                  <c:v>10.36</c:v>
                </c:pt>
                <c:pt idx="4">
                  <c:v>10.18</c:v>
                </c:pt>
                <c:pt idx="5">
                  <c:v>10.9</c:v>
                </c:pt>
                <c:pt idx="6">
                  <c:v>10.66</c:v>
                </c:pt>
                <c:pt idx="7">
                  <c:v>10.74</c:v>
                </c:pt>
                <c:pt idx="8">
                  <c:v>11.02</c:v>
                </c:pt>
                <c:pt idx="9">
                  <c:v>10.96</c:v>
                </c:pt>
                <c:pt idx="10">
                  <c:v>10.84</c:v>
                </c:pt>
              </c:numCache>
            </c:numRef>
          </c:val>
          <c:smooth val="0"/>
        </c:ser>
        <c:dLbls>
          <c:dLblPos val="t"/>
          <c:showLegendKey val="0"/>
          <c:showVal val="1"/>
          <c:showCatName val="0"/>
          <c:showSerName val="0"/>
          <c:showPercent val="0"/>
          <c:showBubbleSize val="0"/>
        </c:dLbls>
        <c:smooth val="0"/>
        <c:axId val="266264032"/>
        <c:axId val="266265152"/>
      </c:lineChart>
      <c:catAx>
        <c:axId val="2662640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h-TH"/>
          </a:p>
        </c:txPr>
        <c:crossAx val="266265152"/>
        <c:crosses val="autoZero"/>
        <c:auto val="1"/>
        <c:lblAlgn val="ctr"/>
        <c:lblOffset val="100"/>
        <c:noMultiLvlLbl val="0"/>
      </c:catAx>
      <c:valAx>
        <c:axId val="2662651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th-TH"/>
          </a:p>
        </c:txPr>
        <c:crossAx val="2662640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h-TH"/>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h-TH"/>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1"/>
          <c:order val="0"/>
          <c:tx>
            <c:strRef>
              <c:f>Sheet1!$B$1</c:f>
              <c:strCache>
                <c:ptCount val="1"/>
                <c:pt idx="0">
                  <c:v>General public services</c:v>
                </c:pt>
              </c:strCache>
            </c:strRef>
          </c:tx>
          <c:spPr>
            <a:solidFill>
              <a:schemeClr val="accent2"/>
            </a:solidFill>
            <a:ln>
              <a:noFill/>
            </a:ln>
            <a:effectLst/>
          </c:spPr>
          <c:invertIfNegative val="0"/>
          <c:cat>
            <c:numRef>
              <c:f>Sheet1!$A$2:$A$10</c:f>
              <c:numCache>
                <c:formatCode>General</c:formatCode>
                <c:ptCount val="9"/>
                <c:pt idx="0">
                  <c:v>2005</c:v>
                </c:pt>
                <c:pt idx="1">
                  <c:v>2006</c:v>
                </c:pt>
                <c:pt idx="2">
                  <c:v>2007</c:v>
                </c:pt>
                <c:pt idx="3">
                  <c:v>2008</c:v>
                </c:pt>
                <c:pt idx="4">
                  <c:v>2009</c:v>
                </c:pt>
                <c:pt idx="5">
                  <c:v>2010</c:v>
                </c:pt>
                <c:pt idx="6">
                  <c:v>2011</c:v>
                </c:pt>
                <c:pt idx="7">
                  <c:v>2012</c:v>
                </c:pt>
                <c:pt idx="8">
                  <c:v>2013</c:v>
                </c:pt>
              </c:numCache>
            </c:numRef>
          </c:cat>
          <c:val>
            <c:numRef>
              <c:f>Sheet1!$B$2:$B$10</c:f>
              <c:numCache>
                <c:formatCode>General</c:formatCode>
                <c:ptCount val="9"/>
                <c:pt idx="0">
                  <c:v>4.327</c:v>
                </c:pt>
                <c:pt idx="1">
                  <c:v>4.2</c:v>
                </c:pt>
                <c:pt idx="2">
                  <c:v>4</c:v>
                </c:pt>
                <c:pt idx="3">
                  <c:v>4</c:v>
                </c:pt>
                <c:pt idx="4">
                  <c:v>4</c:v>
                </c:pt>
                <c:pt idx="5">
                  <c:v>3.9</c:v>
                </c:pt>
                <c:pt idx="6">
                  <c:v>4</c:v>
                </c:pt>
                <c:pt idx="7">
                  <c:v>4</c:v>
                </c:pt>
                <c:pt idx="8">
                  <c:v>3.9</c:v>
                </c:pt>
              </c:numCache>
            </c:numRef>
          </c:val>
        </c:ser>
        <c:ser>
          <c:idx val="2"/>
          <c:order val="1"/>
          <c:tx>
            <c:strRef>
              <c:f>Sheet1!$C$1</c:f>
              <c:strCache>
                <c:ptCount val="1"/>
                <c:pt idx="0">
                  <c:v>Defence</c:v>
                </c:pt>
              </c:strCache>
            </c:strRef>
          </c:tx>
          <c:spPr>
            <a:solidFill>
              <a:schemeClr val="accent3"/>
            </a:solidFill>
            <a:ln>
              <a:noFill/>
            </a:ln>
            <a:effectLst/>
          </c:spPr>
          <c:invertIfNegative val="0"/>
          <c:cat>
            <c:numRef>
              <c:f>Sheet1!$A$2:$A$10</c:f>
              <c:numCache>
                <c:formatCode>General</c:formatCode>
                <c:ptCount val="9"/>
                <c:pt idx="0">
                  <c:v>2005</c:v>
                </c:pt>
                <c:pt idx="1">
                  <c:v>2006</c:v>
                </c:pt>
                <c:pt idx="2">
                  <c:v>2007</c:v>
                </c:pt>
                <c:pt idx="3">
                  <c:v>2008</c:v>
                </c:pt>
                <c:pt idx="4">
                  <c:v>2009</c:v>
                </c:pt>
                <c:pt idx="5">
                  <c:v>2010</c:v>
                </c:pt>
                <c:pt idx="6">
                  <c:v>2011</c:v>
                </c:pt>
                <c:pt idx="7">
                  <c:v>2012</c:v>
                </c:pt>
                <c:pt idx="8">
                  <c:v>2013</c:v>
                </c:pt>
              </c:numCache>
            </c:numRef>
          </c:cat>
          <c:val>
            <c:numRef>
              <c:f>Sheet1!$C$2:$C$10</c:f>
              <c:numCache>
                <c:formatCode>General</c:formatCode>
                <c:ptCount val="9"/>
                <c:pt idx="0">
                  <c:v>1.07</c:v>
                </c:pt>
                <c:pt idx="1">
                  <c:v>0.9</c:v>
                </c:pt>
                <c:pt idx="2">
                  <c:v>0.9</c:v>
                </c:pt>
                <c:pt idx="3">
                  <c:v>1</c:v>
                </c:pt>
                <c:pt idx="4">
                  <c:v>1</c:v>
                </c:pt>
                <c:pt idx="5">
                  <c:v>1</c:v>
                </c:pt>
                <c:pt idx="6">
                  <c:v>1</c:v>
                </c:pt>
                <c:pt idx="7">
                  <c:v>1</c:v>
                </c:pt>
                <c:pt idx="8">
                  <c:v>1</c:v>
                </c:pt>
              </c:numCache>
            </c:numRef>
          </c:val>
        </c:ser>
        <c:ser>
          <c:idx val="3"/>
          <c:order val="2"/>
          <c:tx>
            <c:strRef>
              <c:f>Sheet1!$D$1</c:f>
              <c:strCache>
                <c:ptCount val="1"/>
                <c:pt idx="0">
                  <c:v>Public order and safety</c:v>
                </c:pt>
              </c:strCache>
            </c:strRef>
          </c:tx>
          <c:spPr>
            <a:solidFill>
              <a:schemeClr val="accent4"/>
            </a:solidFill>
            <a:ln>
              <a:noFill/>
            </a:ln>
            <a:effectLst/>
          </c:spPr>
          <c:invertIfNegative val="0"/>
          <c:cat>
            <c:numRef>
              <c:f>Sheet1!$A$2:$A$10</c:f>
              <c:numCache>
                <c:formatCode>General</c:formatCode>
                <c:ptCount val="9"/>
                <c:pt idx="0">
                  <c:v>2005</c:v>
                </c:pt>
                <c:pt idx="1">
                  <c:v>2006</c:v>
                </c:pt>
                <c:pt idx="2">
                  <c:v>2007</c:v>
                </c:pt>
                <c:pt idx="3">
                  <c:v>2008</c:v>
                </c:pt>
                <c:pt idx="4">
                  <c:v>2009</c:v>
                </c:pt>
                <c:pt idx="5">
                  <c:v>2010</c:v>
                </c:pt>
                <c:pt idx="6">
                  <c:v>2011</c:v>
                </c:pt>
                <c:pt idx="7">
                  <c:v>2012</c:v>
                </c:pt>
                <c:pt idx="8">
                  <c:v>2013</c:v>
                </c:pt>
              </c:numCache>
            </c:numRef>
          </c:cat>
          <c:val>
            <c:numRef>
              <c:f>Sheet1!$D$2:$D$10</c:f>
              <c:numCache>
                <c:formatCode>General</c:formatCode>
                <c:ptCount val="9"/>
                <c:pt idx="0">
                  <c:v>1.61</c:v>
                </c:pt>
                <c:pt idx="1">
                  <c:v>1.5</c:v>
                </c:pt>
                <c:pt idx="2">
                  <c:v>1.5</c:v>
                </c:pt>
                <c:pt idx="3">
                  <c:v>1.5</c:v>
                </c:pt>
                <c:pt idx="4">
                  <c:v>1.6</c:v>
                </c:pt>
                <c:pt idx="5">
                  <c:v>1.6</c:v>
                </c:pt>
                <c:pt idx="6">
                  <c:v>1.6</c:v>
                </c:pt>
                <c:pt idx="7">
                  <c:v>1.7</c:v>
                </c:pt>
                <c:pt idx="8">
                  <c:v>1.6</c:v>
                </c:pt>
              </c:numCache>
            </c:numRef>
          </c:val>
        </c:ser>
        <c:ser>
          <c:idx val="4"/>
          <c:order val="3"/>
          <c:tx>
            <c:strRef>
              <c:f>Sheet1!$E$1</c:f>
              <c:strCache>
                <c:ptCount val="1"/>
                <c:pt idx="0">
                  <c:v>Economic affairs</c:v>
                </c:pt>
              </c:strCache>
            </c:strRef>
          </c:tx>
          <c:spPr>
            <a:solidFill>
              <a:schemeClr val="accent5"/>
            </a:solidFill>
            <a:ln>
              <a:noFill/>
            </a:ln>
            <a:effectLst/>
          </c:spPr>
          <c:invertIfNegative val="0"/>
          <c:cat>
            <c:numRef>
              <c:f>Sheet1!$A$2:$A$10</c:f>
              <c:numCache>
                <c:formatCode>General</c:formatCode>
                <c:ptCount val="9"/>
                <c:pt idx="0">
                  <c:v>2005</c:v>
                </c:pt>
                <c:pt idx="1">
                  <c:v>2006</c:v>
                </c:pt>
                <c:pt idx="2">
                  <c:v>2007</c:v>
                </c:pt>
                <c:pt idx="3">
                  <c:v>2008</c:v>
                </c:pt>
                <c:pt idx="4">
                  <c:v>2009</c:v>
                </c:pt>
                <c:pt idx="5">
                  <c:v>2010</c:v>
                </c:pt>
                <c:pt idx="6">
                  <c:v>2011</c:v>
                </c:pt>
                <c:pt idx="7">
                  <c:v>2012</c:v>
                </c:pt>
                <c:pt idx="8">
                  <c:v>2013</c:v>
                </c:pt>
              </c:numCache>
            </c:numRef>
          </c:cat>
          <c:val>
            <c:numRef>
              <c:f>Sheet1!$E$2:$E$10</c:f>
              <c:numCache>
                <c:formatCode>General</c:formatCode>
                <c:ptCount val="9"/>
                <c:pt idx="0">
                  <c:v>4.2560000000000002</c:v>
                </c:pt>
                <c:pt idx="1">
                  <c:v>4</c:v>
                </c:pt>
                <c:pt idx="2">
                  <c:v>4</c:v>
                </c:pt>
                <c:pt idx="3">
                  <c:v>4</c:v>
                </c:pt>
                <c:pt idx="4">
                  <c:v>4.2</c:v>
                </c:pt>
                <c:pt idx="5">
                  <c:v>4.0999999999999996</c:v>
                </c:pt>
                <c:pt idx="6">
                  <c:v>4.2</c:v>
                </c:pt>
                <c:pt idx="7">
                  <c:v>3.9</c:v>
                </c:pt>
                <c:pt idx="8">
                  <c:v>4.0999999999999996</c:v>
                </c:pt>
              </c:numCache>
            </c:numRef>
          </c:val>
        </c:ser>
        <c:ser>
          <c:idx val="5"/>
          <c:order val="4"/>
          <c:tx>
            <c:strRef>
              <c:f>Sheet1!$F$1</c:f>
              <c:strCache>
                <c:ptCount val="1"/>
                <c:pt idx="0">
                  <c:v>Environment protections</c:v>
                </c:pt>
              </c:strCache>
            </c:strRef>
          </c:tx>
          <c:spPr>
            <a:solidFill>
              <a:schemeClr val="accent6"/>
            </a:solidFill>
            <a:ln>
              <a:noFill/>
            </a:ln>
            <a:effectLst/>
          </c:spPr>
          <c:invertIfNegative val="0"/>
          <c:cat>
            <c:numRef>
              <c:f>Sheet1!$A$2:$A$10</c:f>
              <c:numCache>
                <c:formatCode>General</c:formatCode>
                <c:ptCount val="9"/>
                <c:pt idx="0">
                  <c:v>2005</c:v>
                </c:pt>
                <c:pt idx="1">
                  <c:v>2006</c:v>
                </c:pt>
                <c:pt idx="2">
                  <c:v>2007</c:v>
                </c:pt>
                <c:pt idx="3">
                  <c:v>2008</c:v>
                </c:pt>
                <c:pt idx="4">
                  <c:v>2009</c:v>
                </c:pt>
                <c:pt idx="5">
                  <c:v>2010</c:v>
                </c:pt>
                <c:pt idx="6">
                  <c:v>2011</c:v>
                </c:pt>
                <c:pt idx="7">
                  <c:v>2012</c:v>
                </c:pt>
                <c:pt idx="8">
                  <c:v>2013</c:v>
                </c:pt>
              </c:numCache>
            </c:numRef>
          </c:cat>
          <c:val>
            <c:numRef>
              <c:f>Sheet1!$F$2:$F$10</c:f>
              <c:numCache>
                <c:formatCode>General</c:formatCode>
                <c:ptCount val="9"/>
                <c:pt idx="0">
                  <c:v>0.5</c:v>
                </c:pt>
                <c:pt idx="1">
                  <c:v>0.5</c:v>
                </c:pt>
                <c:pt idx="2">
                  <c:v>0.4</c:v>
                </c:pt>
                <c:pt idx="3">
                  <c:v>0.6</c:v>
                </c:pt>
                <c:pt idx="4">
                  <c:v>0.8</c:v>
                </c:pt>
                <c:pt idx="5">
                  <c:v>0.7</c:v>
                </c:pt>
                <c:pt idx="6">
                  <c:v>0.7</c:v>
                </c:pt>
                <c:pt idx="7">
                  <c:v>0.7</c:v>
                </c:pt>
                <c:pt idx="8">
                  <c:v>0.7</c:v>
                </c:pt>
              </c:numCache>
            </c:numRef>
          </c:val>
        </c:ser>
        <c:ser>
          <c:idx val="6"/>
          <c:order val="5"/>
          <c:tx>
            <c:strRef>
              <c:f>Sheet1!$G$1</c:f>
              <c:strCache>
                <c:ptCount val="1"/>
                <c:pt idx="0">
                  <c:v>Housing and community amenities</c:v>
                </c:pt>
              </c:strCache>
            </c:strRef>
          </c:tx>
          <c:spPr>
            <a:solidFill>
              <a:schemeClr val="accent1">
                <a:lumMod val="60000"/>
              </a:schemeClr>
            </a:solidFill>
            <a:ln>
              <a:noFill/>
            </a:ln>
            <a:effectLst/>
          </c:spPr>
          <c:invertIfNegative val="0"/>
          <c:cat>
            <c:numRef>
              <c:f>Sheet1!$A$2:$A$10</c:f>
              <c:numCache>
                <c:formatCode>General</c:formatCode>
                <c:ptCount val="9"/>
                <c:pt idx="0">
                  <c:v>2005</c:v>
                </c:pt>
                <c:pt idx="1">
                  <c:v>2006</c:v>
                </c:pt>
                <c:pt idx="2">
                  <c:v>2007</c:v>
                </c:pt>
                <c:pt idx="3">
                  <c:v>2008</c:v>
                </c:pt>
                <c:pt idx="4">
                  <c:v>2009</c:v>
                </c:pt>
                <c:pt idx="5">
                  <c:v>2010</c:v>
                </c:pt>
                <c:pt idx="6">
                  <c:v>2011</c:v>
                </c:pt>
                <c:pt idx="7">
                  <c:v>2012</c:v>
                </c:pt>
                <c:pt idx="8">
                  <c:v>2013</c:v>
                </c:pt>
              </c:numCache>
            </c:numRef>
          </c:cat>
          <c:val>
            <c:numRef>
              <c:f>Sheet1!$G$2:$G$10</c:f>
              <c:numCache>
                <c:formatCode>General</c:formatCode>
                <c:ptCount val="9"/>
                <c:pt idx="0">
                  <c:v>0.19500000000000001</c:v>
                </c:pt>
                <c:pt idx="1">
                  <c:v>0.2</c:v>
                </c:pt>
                <c:pt idx="2">
                  <c:v>0.2</c:v>
                </c:pt>
                <c:pt idx="3">
                  <c:v>0.2</c:v>
                </c:pt>
                <c:pt idx="4">
                  <c:v>0.2</c:v>
                </c:pt>
                <c:pt idx="5">
                  <c:v>0.2</c:v>
                </c:pt>
                <c:pt idx="6">
                  <c:v>0.2</c:v>
                </c:pt>
                <c:pt idx="7">
                  <c:v>0.2</c:v>
                </c:pt>
                <c:pt idx="8">
                  <c:v>0.2</c:v>
                </c:pt>
              </c:numCache>
            </c:numRef>
          </c:val>
        </c:ser>
        <c:ser>
          <c:idx val="7"/>
          <c:order val="6"/>
          <c:tx>
            <c:strRef>
              <c:f>Sheet1!$H$1</c:f>
              <c:strCache>
                <c:ptCount val="1"/>
                <c:pt idx="0">
                  <c:v>Health</c:v>
                </c:pt>
              </c:strCache>
            </c:strRef>
          </c:tx>
          <c:spPr>
            <a:solidFill>
              <a:schemeClr val="accent2">
                <a:lumMod val="60000"/>
              </a:schemeClr>
            </a:solidFill>
            <a:ln>
              <a:noFill/>
            </a:ln>
            <a:effectLst/>
          </c:spPr>
          <c:invertIfNegative val="0"/>
          <c:cat>
            <c:numRef>
              <c:f>Sheet1!$A$2:$A$10</c:f>
              <c:numCache>
                <c:formatCode>General</c:formatCode>
                <c:ptCount val="9"/>
                <c:pt idx="0">
                  <c:v>2005</c:v>
                </c:pt>
                <c:pt idx="1">
                  <c:v>2006</c:v>
                </c:pt>
                <c:pt idx="2">
                  <c:v>2007</c:v>
                </c:pt>
                <c:pt idx="3">
                  <c:v>2008</c:v>
                </c:pt>
                <c:pt idx="4">
                  <c:v>2009</c:v>
                </c:pt>
                <c:pt idx="5">
                  <c:v>2010</c:v>
                </c:pt>
                <c:pt idx="6">
                  <c:v>2011</c:v>
                </c:pt>
                <c:pt idx="7">
                  <c:v>2012</c:v>
                </c:pt>
                <c:pt idx="8">
                  <c:v>2013</c:v>
                </c:pt>
              </c:numCache>
            </c:numRef>
          </c:cat>
          <c:val>
            <c:numRef>
              <c:f>Sheet1!$H$2:$H$10</c:f>
              <c:numCache>
                <c:formatCode>General</c:formatCode>
                <c:ptCount val="9"/>
                <c:pt idx="0">
                  <c:v>2.0910000000000002</c:v>
                </c:pt>
                <c:pt idx="1">
                  <c:v>2</c:v>
                </c:pt>
                <c:pt idx="2">
                  <c:v>1.9</c:v>
                </c:pt>
                <c:pt idx="3">
                  <c:v>1.8</c:v>
                </c:pt>
                <c:pt idx="4">
                  <c:v>2</c:v>
                </c:pt>
                <c:pt idx="5">
                  <c:v>1.9</c:v>
                </c:pt>
                <c:pt idx="6">
                  <c:v>2</c:v>
                </c:pt>
                <c:pt idx="7">
                  <c:v>2.1</c:v>
                </c:pt>
                <c:pt idx="8">
                  <c:v>2.2000000000000002</c:v>
                </c:pt>
              </c:numCache>
            </c:numRef>
          </c:val>
        </c:ser>
        <c:ser>
          <c:idx val="8"/>
          <c:order val="7"/>
          <c:tx>
            <c:strRef>
              <c:f>Sheet1!$I$1</c:f>
              <c:strCache>
                <c:ptCount val="1"/>
                <c:pt idx="0">
                  <c:v>Recreation, culture and religion</c:v>
                </c:pt>
              </c:strCache>
            </c:strRef>
          </c:tx>
          <c:spPr>
            <a:solidFill>
              <a:schemeClr val="accent3">
                <a:lumMod val="60000"/>
              </a:schemeClr>
            </a:solidFill>
            <a:ln>
              <a:noFill/>
            </a:ln>
            <a:effectLst/>
          </c:spPr>
          <c:invertIfNegative val="0"/>
          <c:cat>
            <c:numRef>
              <c:f>Sheet1!$A$2:$A$10</c:f>
              <c:numCache>
                <c:formatCode>General</c:formatCode>
                <c:ptCount val="9"/>
                <c:pt idx="0">
                  <c:v>2005</c:v>
                </c:pt>
                <c:pt idx="1">
                  <c:v>2006</c:v>
                </c:pt>
                <c:pt idx="2">
                  <c:v>2007</c:v>
                </c:pt>
                <c:pt idx="3">
                  <c:v>2008</c:v>
                </c:pt>
                <c:pt idx="4">
                  <c:v>2009</c:v>
                </c:pt>
                <c:pt idx="5">
                  <c:v>2010</c:v>
                </c:pt>
                <c:pt idx="6">
                  <c:v>2011</c:v>
                </c:pt>
                <c:pt idx="7">
                  <c:v>2012</c:v>
                </c:pt>
                <c:pt idx="8">
                  <c:v>2013</c:v>
                </c:pt>
              </c:numCache>
            </c:numRef>
          </c:cat>
          <c:val>
            <c:numRef>
              <c:f>Sheet1!$I$2:$I$10</c:f>
              <c:numCache>
                <c:formatCode>General</c:formatCode>
                <c:ptCount val="9"/>
                <c:pt idx="0">
                  <c:v>0.77900000000000003</c:v>
                </c:pt>
                <c:pt idx="1">
                  <c:v>0.8</c:v>
                </c:pt>
                <c:pt idx="2">
                  <c:v>0.7</c:v>
                </c:pt>
                <c:pt idx="3">
                  <c:v>0.8</c:v>
                </c:pt>
                <c:pt idx="4">
                  <c:v>0.8</c:v>
                </c:pt>
                <c:pt idx="5">
                  <c:v>0.8</c:v>
                </c:pt>
                <c:pt idx="6">
                  <c:v>0.8</c:v>
                </c:pt>
                <c:pt idx="7">
                  <c:v>0.8</c:v>
                </c:pt>
                <c:pt idx="8">
                  <c:v>0.8</c:v>
                </c:pt>
              </c:numCache>
            </c:numRef>
          </c:val>
        </c:ser>
        <c:ser>
          <c:idx val="9"/>
          <c:order val="8"/>
          <c:tx>
            <c:strRef>
              <c:f>Sheet1!$J$1</c:f>
              <c:strCache>
                <c:ptCount val="1"/>
                <c:pt idx="0">
                  <c:v>Education</c:v>
                </c:pt>
              </c:strCache>
            </c:strRef>
          </c:tx>
          <c:spPr>
            <a:solidFill>
              <a:schemeClr val="accent4">
                <a:lumMod val="60000"/>
              </a:schemeClr>
            </a:solidFill>
            <a:ln>
              <a:noFill/>
            </a:ln>
            <a:effectLst/>
          </c:spPr>
          <c:invertIfNegative val="0"/>
          <c:cat>
            <c:numRef>
              <c:f>Sheet1!$A$2:$A$10</c:f>
              <c:numCache>
                <c:formatCode>General</c:formatCode>
                <c:ptCount val="9"/>
                <c:pt idx="0">
                  <c:v>2005</c:v>
                </c:pt>
                <c:pt idx="1">
                  <c:v>2006</c:v>
                </c:pt>
                <c:pt idx="2">
                  <c:v>2007</c:v>
                </c:pt>
                <c:pt idx="3">
                  <c:v>2008</c:v>
                </c:pt>
                <c:pt idx="4">
                  <c:v>2009</c:v>
                </c:pt>
                <c:pt idx="5">
                  <c:v>2010</c:v>
                </c:pt>
                <c:pt idx="6">
                  <c:v>2011</c:v>
                </c:pt>
                <c:pt idx="7">
                  <c:v>2012</c:v>
                </c:pt>
                <c:pt idx="8">
                  <c:v>2013</c:v>
                </c:pt>
              </c:numCache>
            </c:numRef>
          </c:cat>
          <c:val>
            <c:numRef>
              <c:f>Sheet1!$J$2:$J$10</c:f>
              <c:numCache>
                <c:formatCode>General</c:formatCode>
                <c:ptCount val="9"/>
                <c:pt idx="0">
                  <c:v>5.7759999999999998</c:v>
                </c:pt>
                <c:pt idx="1">
                  <c:v>5.6</c:v>
                </c:pt>
                <c:pt idx="2">
                  <c:v>5.4</c:v>
                </c:pt>
                <c:pt idx="3">
                  <c:v>5.5</c:v>
                </c:pt>
                <c:pt idx="4">
                  <c:v>5.9</c:v>
                </c:pt>
                <c:pt idx="5">
                  <c:v>5.9</c:v>
                </c:pt>
                <c:pt idx="6">
                  <c:v>5.9</c:v>
                </c:pt>
                <c:pt idx="7">
                  <c:v>6</c:v>
                </c:pt>
                <c:pt idx="8">
                  <c:v>6</c:v>
                </c:pt>
              </c:numCache>
            </c:numRef>
          </c:val>
        </c:ser>
        <c:ser>
          <c:idx val="10"/>
          <c:order val="9"/>
          <c:tx>
            <c:strRef>
              <c:f>Sheet1!$K$1</c:f>
              <c:strCache>
                <c:ptCount val="1"/>
                <c:pt idx="0">
                  <c:v>Social protection</c:v>
                </c:pt>
              </c:strCache>
            </c:strRef>
          </c:tx>
          <c:spPr>
            <a:solidFill>
              <a:schemeClr val="accent5">
                <a:lumMod val="60000"/>
              </a:schemeClr>
            </a:solidFill>
            <a:ln>
              <a:noFill/>
            </a:ln>
            <a:effectLst/>
          </c:spPr>
          <c:invertIfNegative val="0"/>
          <c:cat>
            <c:numRef>
              <c:f>Sheet1!$A$2:$A$10</c:f>
              <c:numCache>
                <c:formatCode>General</c:formatCode>
                <c:ptCount val="9"/>
                <c:pt idx="0">
                  <c:v>2005</c:v>
                </c:pt>
                <c:pt idx="1">
                  <c:v>2006</c:v>
                </c:pt>
                <c:pt idx="2">
                  <c:v>2007</c:v>
                </c:pt>
                <c:pt idx="3">
                  <c:v>2008</c:v>
                </c:pt>
                <c:pt idx="4">
                  <c:v>2009</c:v>
                </c:pt>
                <c:pt idx="5">
                  <c:v>2010</c:v>
                </c:pt>
                <c:pt idx="6">
                  <c:v>2011</c:v>
                </c:pt>
                <c:pt idx="7">
                  <c:v>2012</c:v>
                </c:pt>
                <c:pt idx="8">
                  <c:v>2013</c:v>
                </c:pt>
              </c:numCache>
            </c:numRef>
          </c:cat>
          <c:val>
            <c:numRef>
              <c:f>Sheet1!$K$2:$K$10</c:f>
              <c:numCache>
                <c:formatCode>General</c:formatCode>
                <c:ptCount val="9"/>
                <c:pt idx="0">
                  <c:v>13.45</c:v>
                </c:pt>
                <c:pt idx="1">
                  <c:v>12.5</c:v>
                </c:pt>
                <c:pt idx="2">
                  <c:v>12</c:v>
                </c:pt>
                <c:pt idx="3">
                  <c:v>11.9</c:v>
                </c:pt>
                <c:pt idx="4">
                  <c:v>12.8</c:v>
                </c:pt>
                <c:pt idx="5">
                  <c:v>12.8</c:v>
                </c:pt>
                <c:pt idx="6">
                  <c:v>12.5</c:v>
                </c:pt>
                <c:pt idx="7">
                  <c:v>12.8</c:v>
                </c:pt>
                <c:pt idx="8">
                  <c:v>13</c:v>
                </c:pt>
              </c:numCache>
            </c:numRef>
          </c:val>
        </c:ser>
        <c:dLbls>
          <c:showLegendKey val="0"/>
          <c:showVal val="0"/>
          <c:showCatName val="0"/>
          <c:showSerName val="0"/>
          <c:showPercent val="0"/>
          <c:showBubbleSize val="0"/>
        </c:dLbls>
        <c:gapWidth val="219"/>
        <c:overlap val="100"/>
        <c:axId val="266275792"/>
        <c:axId val="266276352"/>
      </c:barChart>
      <c:catAx>
        <c:axId val="266275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h-TH"/>
          </a:p>
        </c:txPr>
        <c:crossAx val="266276352"/>
        <c:crosses val="autoZero"/>
        <c:auto val="1"/>
        <c:lblAlgn val="ctr"/>
        <c:lblOffset val="100"/>
        <c:noMultiLvlLbl val="0"/>
      </c:catAx>
      <c:valAx>
        <c:axId val="2662763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h-TH"/>
          </a:p>
        </c:txPr>
        <c:crossAx val="266275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h-TH"/>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h-TH"/>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Public health expenditure</c:v>
                </c:pt>
              </c:strCache>
            </c:strRef>
          </c:tx>
          <c:spPr>
            <a:solidFill>
              <a:schemeClr val="accent1"/>
            </a:solidFill>
            <a:ln>
              <a:noFill/>
            </a:ln>
            <a:effectLst/>
          </c:spPr>
          <c:invertIfNegative val="0"/>
          <c:cat>
            <c:numRef>
              <c:f>Sheet1!$A$2:$A$11</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Sheet1!$B$2:$B$11</c:f>
              <c:numCache>
                <c:formatCode>General</c:formatCode>
                <c:ptCount val="10"/>
                <c:pt idx="0">
                  <c:v>6.0979999999999999</c:v>
                </c:pt>
                <c:pt idx="1">
                  <c:v>5.798</c:v>
                </c:pt>
                <c:pt idx="2">
                  <c:v>5.6929999999999996</c:v>
                </c:pt>
                <c:pt idx="3">
                  <c:v>6.3719999999999999</c:v>
                </c:pt>
                <c:pt idx="4">
                  <c:v>6.8079999999999998</c:v>
                </c:pt>
                <c:pt idx="5">
                  <c:v>6.7050000000000001</c:v>
                </c:pt>
                <c:pt idx="6">
                  <c:v>6.8140000000000001</c:v>
                </c:pt>
                <c:pt idx="7">
                  <c:v>7.1059999999999999</c:v>
                </c:pt>
                <c:pt idx="8">
                  <c:v>7.3380000000000001</c:v>
                </c:pt>
                <c:pt idx="9">
                  <c:v>7.3390000000000004</c:v>
                </c:pt>
              </c:numCache>
            </c:numRef>
          </c:val>
        </c:ser>
        <c:ser>
          <c:idx val="1"/>
          <c:order val="1"/>
          <c:tx>
            <c:strRef>
              <c:f>Sheet1!$C$1</c:f>
              <c:strCache>
                <c:ptCount val="1"/>
                <c:pt idx="0">
                  <c:v>Private health expenditure</c:v>
                </c:pt>
              </c:strCache>
            </c:strRef>
          </c:tx>
          <c:spPr>
            <a:solidFill>
              <a:schemeClr val="accent2"/>
            </a:solidFill>
            <a:ln>
              <a:noFill/>
            </a:ln>
            <a:effectLst/>
          </c:spPr>
          <c:invertIfNegative val="0"/>
          <c:cat>
            <c:numRef>
              <c:f>Sheet1!$A$2:$A$11</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Sheet1!$C$2:$C$11</c:f>
              <c:numCache>
                <c:formatCode>General</c:formatCode>
                <c:ptCount val="10"/>
                <c:pt idx="0">
                  <c:v>4.157</c:v>
                </c:pt>
                <c:pt idx="1">
                  <c:v>4.0090000000000003</c:v>
                </c:pt>
                <c:pt idx="2">
                  <c:v>3.9420000000000002</c:v>
                </c:pt>
                <c:pt idx="3">
                  <c:v>3.4079999999999999</c:v>
                </c:pt>
                <c:pt idx="4">
                  <c:v>3.508</c:v>
                </c:pt>
                <c:pt idx="5">
                  <c:v>3.65</c:v>
                </c:pt>
                <c:pt idx="6">
                  <c:v>3.6970000000000001</c:v>
                </c:pt>
                <c:pt idx="7">
                  <c:v>3.7679999999999998</c:v>
                </c:pt>
                <c:pt idx="8">
                  <c:v>3.66</c:v>
                </c:pt>
                <c:pt idx="9">
                  <c:v>3.7810000000000001</c:v>
                </c:pt>
              </c:numCache>
            </c:numRef>
          </c:val>
        </c:ser>
        <c:dLbls>
          <c:showLegendKey val="0"/>
          <c:showVal val="0"/>
          <c:showCatName val="0"/>
          <c:showSerName val="0"/>
          <c:showPercent val="0"/>
          <c:showBubbleSize val="0"/>
        </c:dLbls>
        <c:gapWidth val="150"/>
        <c:overlap val="100"/>
        <c:axId val="266279152"/>
        <c:axId val="266279712"/>
      </c:barChart>
      <c:catAx>
        <c:axId val="266279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h-TH"/>
          </a:p>
        </c:txPr>
        <c:crossAx val="266279712"/>
        <c:crosses val="autoZero"/>
        <c:auto val="1"/>
        <c:lblAlgn val="ctr"/>
        <c:lblOffset val="100"/>
        <c:noMultiLvlLbl val="0"/>
      </c:catAx>
      <c:valAx>
        <c:axId val="266279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h-TH"/>
          </a:p>
        </c:txPr>
        <c:crossAx val="26627915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h-TH"/>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h-TH"/>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h-TH"/>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Column1</c:v>
                </c:pt>
              </c:strCache>
            </c:strRef>
          </c:tx>
          <c:spPr>
            <a:ln w="28575" cap="rnd">
              <a:solidFill>
                <a:srgbClr val="990033"/>
              </a:solidFill>
              <a:round/>
            </a:ln>
            <a:effectLst/>
          </c:spPr>
          <c:marker>
            <c:symbol val="none"/>
          </c:marker>
          <c:dLbls>
            <c:dLbl>
              <c:idx val="4"/>
              <c:layout>
                <c:manualLayout>
                  <c:x val="-2.3200530166287394E-2"/>
                  <c:y val="-7.0447694038245218E-2"/>
                </c:manualLayout>
              </c:layout>
              <c:dLblPos val="r"/>
              <c:showLegendKey val="0"/>
              <c:showVal val="1"/>
              <c:showCatName val="0"/>
              <c:showSerName val="0"/>
              <c:showPercent val="0"/>
              <c:showBubbleSize val="0"/>
              <c:extLst>
                <c:ext xmlns:c15="http://schemas.microsoft.com/office/drawing/2012/chart" uri="{CE6537A1-D6FC-4f65-9D91-7224C49458BB}"/>
              </c:extLst>
            </c:dLbl>
            <c:dLbl>
              <c:idx val="7"/>
              <c:layout>
                <c:manualLayout>
                  <c:x val="-5.863796095255535E-2"/>
                  <c:y val="-4.7590551181102433E-2"/>
                </c:manualLayout>
              </c:layout>
              <c:dLblPos val="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h-TH"/>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Sheet1!$A$2:$A$12</c:f>
              <c:numCache>
                <c:formatCode>General</c:formatCode>
                <c:ptCount val="11"/>
                <c:pt idx="0">
                  <c:v>2004</c:v>
                </c:pt>
                <c:pt idx="1">
                  <c:v>2005</c:v>
                </c:pt>
                <c:pt idx="2">
                  <c:v>2006</c:v>
                </c:pt>
                <c:pt idx="3">
                  <c:v>2007</c:v>
                </c:pt>
                <c:pt idx="4">
                  <c:v>2008</c:v>
                </c:pt>
                <c:pt idx="5">
                  <c:v>2009</c:v>
                </c:pt>
                <c:pt idx="6">
                  <c:v>2010</c:v>
                </c:pt>
                <c:pt idx="7">
                  <c:v>2011</c:v>
                </c:pt>
                <c:pt idx="8">
                  <c:v>2012</c:v>
                </c:pt>
                <c:pt idx="9">
                  <c:v>2013</c:v>
                </c:pt>
              </c:numCache>
            </c:numRef>
          </c:cat>
          <c:val>
            <c:numRef>
              <c:f>Sheet1!$B$2:$B$12</c:f>
              <c:numCache>
                <c:formatCode>General</c:formatCode>
                <c:ptCount val="11"/>
                <c:pt idx="0">
                  <c:v>76.599999999999994</c:v>
                </c:pt>
                <c:pt idx="1">
                  <c:v>75.599999999999994</c:v>
                </c:pt>
                <c:pt idx="2">
                  <c:v>75.3</c:v>
                </c:pt>
                <c:pt idx="3">
                  <c:v>75.099999999999994</c:v>
                </c:pt>
                <c:pt idx="4">
                  <c:v>71.3</c:v>
                </c:pt>
                <c:pt idx="5">
                  <c:v>71.599999999999994</c:v>
                </c:pt>
                <c:pt idx="6">
                  <c:v>72.3</c:v>
                </c:pt>
                <c:pt idx="7">
                  <c:v>72.599999999999994</c:v>
                </c:pt>
                <c:pt idx="8">
                  <c:v>76.099999999999994</c:v>
                </c:pt>
                <c:pt idx="9">
                  <c:v>76.099999999999994</c:v>
                </c:pt>
              </c:numCache>
            </c:numRef>
          </c:val>
          <c:smooth val="0"/>
        </c:ser>
        <c:dLbls>
          <c:dLblPos val="t"/>
          <c:showLegendKey val="0"/>
          <c:showVal val="1"/>
          <c:showCatName val="0"/>
          <c:showSerName val="0"/>
          <c:showPercent val="0"/>
          <c:showBubbleSize val="0"/>
        </c:dLbls>
        <c:smooth val="0"/>
        <c:axId val="160694368"/>
        <c:axId val="160699408"/>
      </c:lineChart>
      <c:catAx>
        <c:axId val="1606943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h-TH"/>
          </a:p>
        </c:txPr>
        <c:crossAx val="160699408"/>
        <c:crosses val="autoZero"/>
        <c:auto val="1"/>
        <c:lblAlgn val="ctr"/>
        <c:lblOffset val="100"/>
        <c:noMultiLvlLbl val="0"/>
      </c:catAx>
      <c:valAx>
        <c:axId val="1606994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h-TH"/>
          </a:p>
        </c:txPr>
        <c:crossAx val="1606943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h-TH"/>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Total health spending</c:v>
                </c:pt>
              </c:strCache>
            </c:strRef>
          </c:tx>
          <c:spPr>
            <a:solidFill>
              <a:schemeClr val="accent1"/>
            </a:solidFill>
            <a:ln>
              <a:noFill/>
            </a:ln>
            <a:effectLst/>
          </c:spPr>
          <c:invertIfNegative val="0"/>
          <c:dPt>
            <c:idx val="2"/>
            <c:invertIfNegative val="0"/>
            <c:bubble3D val="0"/>
            <c:spPr>
              <a:solidFill>
                <a:srgbClr val="C00000"/>
              </a:solidFill>
              <a:ln>
                <a:no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h-TH"/>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Sheet1!$A$2:$A$25</c:f>
              <c:strCache>
                <c:ptCount val="24"/>
                <c:pt idx="0">
                  <c:v>United Stated </c:v>
                </c:pt>
                <c:pt idx="1">
                  <c:v>Netherlands</c:v>
                </c:pt>
                <c:pt idx="2">
                  <c:v>Switzerland</c:v>
                </c:pt>
                <c:pt idx="3">
                  <c:v>Sweden</c:v>
                </c:pt>
                <c:pt idx="4">
                  <c:v>Germany</c:v>
                </c:pt>
                <c:pt idx="5">
                  <c:v>France </c:v>
                </c:pt>
                <c:pt idx="6">
                  <c:v>Denmark</c:v>
                </c:pt>
                <c:pt idx="7">
                  <c:v>Japan</c:v>
                </c:pt>
                <c:pt idx="8">
                  <c:v>Belgium</c:v>
                </c:pt>
                <c:pt idx="9">
                  <c:v>Canada</c:v>
                </c:pt>
                <c:pt idx="10">
                  <c:v>Austria</c:v>
                </c:pt>
                <c:pt idx="11">
                  <c:v>New Zealand</c:v>
                </c:pt>
                <c:pt idx="12">
                  <c:v>Greece</c:v>
                </c:pt>
                <c:pt idx="13">
                  <c:v>Portugal</c:v>
                </c:pt>
                <c:pt idx="14">
                  <c:v>Brazil</c:v>
                </c:pt>
                <c:pt idx="15">
                  <c:v>South Africa</c:v>
                </c:pt>
                <c:pt idx="16">
                  <c:v>Norway</c:v>
                </c:pt>
                <c:pt idx="17">
                  <c:v>OECD-Average</c:v>
                </c:pt>
                <c:pt idx="18">
                  <c:v>Italy</c:v>
                </c:pt>
                <c:pt idx="19">
                  <c:v>Spain</c:v>
                </c:pt>
                <c:pt idx="20">
                  <c:v>Iceland</c:v>
                </c:pt>
                <c:pt idx="21">
                  <c:v>Slovenia</c:v>
                </c:pt>
                <c:pt idx="22">
                  <c:v>Finland</c:v>
                </c:pt>
                <c:pt idx="23">
                  <c:v>United Kingdom</c:v>
                </c:pt>
              </c:strCache>
            </c:strRef>
          </c:cat>
          <c:val>
            <c:numRef>
              <c:f>Sheet1!$B$2:$B$25</c:f>
              <c:numCache>
                <c:formatCode>General</c:formatCode>
                <c:ptCount val="24"/>
                <c:pt idx="0">
                  <c:v>16.399999999999999</c:v>
                </c:pt>
                <c:pt idx="1">
                  <c:v>11.1</c:v>
                </c:pt>
                <c:pt idx="2">
                  <c:v>11.1</c:v>
                </c:pt>
                <c:pt idx="3">
                  <c:v>11</c:v>
                </c:pt>
                <c:pt idx="4">
                  <c:v>11</c:v>
                </c:pt>
                <c:pt idx="5">
                  <c:v>10.9</c:v>
                </c:pt>
                <c:pt idx="6">
                  <c:v>10.4</c:v>
                </c:pt>
                <c:pt idx="7">
                  <c:v>10.199999999999999</c:v>
                </c:pt>
                <c:pt idx="8">
                  <c:v>10.199999999999999</c:v>
                </c:pt>
                <c:pt idx="9">
                  <c:v>10.1</c:v>
                </c:pt>
                <c:pt idx="10">
                  <c:v>9.5</c:v>
                </c:pt>
                <c:pt idx="11">
                  <c:v>9.1999999999999993</c:v>
                </c:pt>
                <c:pt idx="12">
                  <c:v>9.1</c:v>
                </c:pt>
                <c:pt idx="13">
                  <c:v>9.1</c:v>
                </c:pt>
                <c:pt idx="14">
                  <c:v>8.9</c:v>
                </c:pt>
                <c:pt idx="15">
                  <c:v>8.9</c:v>
                </c:pt>
                <c:pt idx="16">
                  <c:v>8.9</c:v>
                </c:pt>
                <c:pt idx="17">
                  <c:v>8.9</c:v>
                </c:pt>
                <c:pt idx="18">
                  <c:v>8.8000000000000007</c:v>
                </c:pt>
                <c:pt idx="19">
                  <c:v>8.8000000000000007</c:v>
                </c:pt>
                <c:pt idx="20">
                  <c:v>8.6999999999999993</c:v>
                </c:pt>
                <c:pt idx="21">
                  <c:v>8.6999999999999993</c:v>
                </c:pt>
                <c:pt idx="22">
                  <c:v>8.6</c:v>
                </c:pt>
                <c:pt idx="23">
                  <c:v>8.5</c:v>
                </c:pt>
              </c:numCache>
            </c:numRef>
          </c:val>
        </c:ser>
        <c:ser>
          <c:idx val="1"/>
          <c:order val="1"/>
          <c:tx>
            <c:strRef>
              <c:f>Sheet1!$C$1</c:f>
              <c:strCache>
                <c:ptCount val="1"/>
                <c:pt idx="0">
                  <c:v>Column1</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h-TH"/>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Sheet1!$A$2:$A$25</c:f>
              <c:strCache>
                <c:ptCount val="24"/>
                <c:pt idx="0">
                  <c:v>United Stated </c:v>
                </c:pt>
                <c:pt idx="1">
                  <c:v>Netherlands</c:v>
                </c:pt>
                <c:pt idx="2">
                  <c:v>Switzerland</c:v>
                </c:pt>
                <c:pt idx="3">
                  <c:v>Sweden</c:v>
                </c:pt>
                <c:pt idx="4">
                  <c:v>Germany</c:v>
                </c:pt>
                <c:pt idx="5">
                  <c:v>France </c:v>
                </c:pt>
                <c:pt idx="6">
                  <c:v>Denmark</c:v>
                </c:pt>
                <c:pt idx="7">
                  <c:v>Japan</c:v>
                </c:pt>
                <c:pt idx="8">
                  <c:v>Belgium</c:v>
                </c:pt>
                <c:pt idx="9">
                  <c:v>Canada</c:v>
                </c:pt>
                <c:pt idx="10">
                  <c:v>Austria</c:v>
                </c:pt>
                <c:pt idx="11">
                  <c:v>New Zealand</c:v>
                </c:pt>
                <c:pt idx="12">
                  <c:v>Greece</c:v>
                </c:pt>
                <c:pt idx="13">
                  <c:v>Portugal</c:v>
                </c:pt>
                <c:pt idx="14">
                  <c:v>Brazil</c:v>
                </c:pt>
                <c:pt idx="15">
                  <c:v>South Africa</c:v>
                </c:pt>
                <c:pt idx="16">
                  <c:v>Norway</c:v>
                </c:pt>
                <c:pt idx="17">
                  <c:v>OECD-Average</c:v>
                </c:pt>
                <c:pt idx="18">
                  <c:v>Italy</c:v>
                </c:pt>
                <c:pt idx="19">
                  <c:v>Spain</c:v>
                </c:pt>
                <c:pt idx="20">
                  <c:v>Iceland</c:v>
                </c:pt>
                <c:pt idx="21">
                  <c:v>Slovenia</c:v>
                </c:pt>
                <c:pt idx="22">
                  <c:v>Finland</c:v>
                </c:pt>
                <c:pt idx="23">
                  <c:v>United Kingdom</c:v>
                </c:pt>
              </c:strCache>
            </c:strRef>
          </c:cat>
          <c:val>
            <c:numRef>
              <c:f>Sheet1!$C$2:$C$25</c:f>
              <c:numCache>
                <c:formatCode>General</c:formatCode>
                <c:ptCount val="24"/>
              </c:numCache>
            </c:numRef>
          </c:val>
        </c:ser>
        <c:ser>
          <c:idx val="2"/>
          <c:order val="2"/>
          <c:tx>
            <c:strRef>
              <c:f>Sheet1!$D$1</c:f>
              <c:strCache>
                <c:ptCount val="1"/>
                <c:pt idx="0">
                  <c:v>Column2</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h-TH"/>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Sheet1!$A$2:$A$25</c:f>
              <c:strCache>
                <c:ptCount val="24"/>
                <c:pt idx="0">
                  <c:v>United Stated </c:v>
                </c:pt>
                <c:pt idx="1">
                  <c:v>Netherlands</c:v>
                </c:pt>
                <c:pt idx="2">
                  <c:v>Switzerland</c:v>
                </c:pt>
                <c:pt idx="3">
                  <c:v>Sweden</c:v>
                </c:pt>
                <c:pt idx="4">
                  <c:v>Germany</c:v>
                </c:pt>
                <c:pt idx="5">
                  <c:v>France </c:v>
                </c:pt>
                <c:pt idx="6">
                  <c:v>Denmark</c:v>
                </c:pt>
                <c:pt idx="7">
                  <c:v>Japan</c:v>
                </c:pt>
                <c:pt idx="8">
                  <c:v>Belgium</c:v>
                </c:pt>
                <c:pt idx="9">
                  <c:v>Canada</c:v>
                </c:pt>
                <c:pt idx="10">
                  <c:v>Austria</c:v>
                </c:pt>
                <c:pt idx="11">
                  <c:v>New Zealand</c:v>
                </c:pt>
                <c:pt idx="12">
                  <c:v>Greece</c:v>
                </c:pt>
                <c:pt idx="13">
                  <c:v>Portugal</c:v>
                </c:pt>
                <c:pt idx="14">
                  <c:v>Brazil</c:v>
                </c:pt>
                <c:pt idx="15">
                  <c:v>South Africa</c:v>
                </c:pt>
                <c:pt idx="16">
                  <c:v>Norway</c:v>
                </c:pt>
                <c:pt idx="17">
                  <c:v>OECD-Average</c:v>
                </c:pt>
                <c:pt idx="18">
                  <c:v>Italy</c:v>
                </c:pt>
                <c:pt idx="19">
                  <c:v>Spain</c:v>
                </c:pt>
                <c:pt idx="20">
                  <c:v>Iceland</c:v>
                </c:pt>
                <c:pt idx="21">
                  <c:v>Slovenia</c:v>
                </c:pt>
                <c:pt idx="22">
                  <c:v>Finland</c:v>
                </c:pt>
                <c:pt idx="23">
                  <c:v>United Kingdom</c:v>
                </c:pt>
              </c:strCache>
            </c:strRef>
          </c:cat>
          <c:val>
            <c:numRef>
              <c:f>Sheet1!$D$2:$D$25</c:f>
              <c:numCache>
                <c:formatCode>General</c:formatCode>
                <c:ptCount val="24"/>
              </c:numCache>
            </c:numRef>
          </c:val>
        </c:ser>
        <c:dLbls>
          <c:dLblPos val="outEnd"/>
          <c:showLegendKey val="0"/>
          <c:showVal val="1"/>
          <c:showCatName val="0"/>
          <c:showSerName val="0"/>
          <c:showPercent val="0"/>
          <c:showBubbleSize val="0"/>
        </c:dLbls>
        <c:gapWidth val="219"/>
        <c:overlap val="-27"/>
        <c:axId val="317357776"/>
        <c:axId val="317356096"/>
      </c:barChart>
      <c:catAx>
        <c:axId val="317357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h-TH"/>
          </a:p>
        </c:txPr>
        <c:crossAx val="317356096"/>
        <c:crosses val="autoZero"/>
        <c:auto val="1"/>
        <c:lblAlgn val="ctr"/>
        <c:lblOffset val="100"/>
        <c:noMultiLvlLbl val="0"/>
      </c:catAx>
      <c:valAx>
        <c:axId val="3173560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h-TH"/>
          </a:p>
        </c:txPr>
        <c:crossAx val="317357776"/>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h-TH"/>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h-TH"/>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Years</c:v>
                </c:pt>
              </c:strCache>
            </c:strRef>
          </c:tx>
          <c:spPr>
            <a:ln w="28575" cap="rnd">
              <a:solidFill>
                <a:srgbClr val="CC6600"/>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h-TH"/>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Sheet1!$A$2:$A$11</c:f>
              <c:numCache>
                <c:formatCode>General</c:formatCode>
                <c:ptCount val="10"/>
                <c:pt idx="0">
                  <c:v>2004</c:v>
                </c:pt>
                <c:pt idx="1">
                  <c:v>2005</c:v>
                </c:pt>
                <c:pt idx="2">
                  <c:v>2006</c:v>
                </c:pt>
                <c:pt idx="3">
                  <c:v>2007</c:v>
                </c:pt>
                <c:pt idx="4">
                  <c:v>2008</c:v>
                </c:pt>
                <c:pt idx="5">
                  <c:v>2009</c:v>
                </c:pt>
                <c:pt idx="6">
                  <c:v>2010</c:v>
                </c:pt>
                <c:pt idx="7">
                  <c:v>2011</c:v>
                </c:pt>
                <c:pt idx="8">
                  <c:v>2012</c:v>
                </c:pt>
                <c:pt idx="9">
                  <c:v>2013</c:v>
                </c:pt>
              </c:numCache>
            </c:numRef>
          </c:cat>
          <c:val>
            <c:numRef>
              <c:f>Sheet1!$B$2:$B$11</c:f>
              <c:numCache>
                <c:formatCode>General</c:formatCode>
                <c:ptCount val="10"/>
                <c:pt idx="0">
                  <c:v>81.09</c:v>
                </c:pt>
                <c:pt idx="1">
                  <c:v>81.239999999999995</c:v>
                </c:pt>
                <c:pt idx="2">
                  <c:v>81.489999999999995</c:v>
                </c:pt>
                <c:pt idx="3">
                  <c:v>81.739999999999995</c:v>
                </c:pt>
                <c:pt idx="4">
                  <c:v>81.99</c:v>
                </c:pt>
                <c:pt idx="5">
                  <c:v>82.04</c:v>
                </c:pt>
                <c:pt idx="6">
                  <c:v>82.25</c:v>
                </c:pt>
                <c:pt idx="7">
                  <c:v>82.7</c:v>
                </c:pt>
                <c:pt idx="8">
                  <c:v>82.7</c:v>
                </c:pt>
                <c:pt idx="9">
                  <c:v>82.75</c:v>
                </c:pt>
              </c:numCache>
            </c:numRef>
          </c:val>
          <c:smooth val="0"/>
        </c:ser>
        <c:ser>
          <c:idx val="1"/>
          <c:order val="1"/>
          <c:tx>
            <c:strRef>
              <c:f>Sheet1!$C$1</c:f>
              <c:strCache>
                <c:ptCount val="1"/>
                <c:pt idx="0">
                  <c:v>Column1</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h-TH"/>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Sheet1!$A$2:$A$11</c:f>
              <c:numCache>
                <c:formatCode>General</c:formatCode>
                <c:ptCount val="10"/>
                <c:pt idx="0">
                  <c:v>2004</c:v>
                </c:pt>
                <c:pt idx="1">
                  <c:v>2005</c:v>
                </c:pt>
                <c:pt idx="2">
                  <c:v>2006</c:v>
                </c:pt>
                <c:pt idx="3">
                  <c:v>2007</c:v>
                </c:pt>
                <c:pt idx="4">
                  <c:v>2008</c:v>
                </c:pt>
                <c:pt idx="5">
                  <c:v>2009</c:v>
                </c:pt>
                <c:pt idx="6">
                  <c:v>2010</c:v>
                </c:pt>
                <c:pt idx="7">
                  <c:v>2011</c:v>
                </c:pt>
                <c:pt idx="8">
                  <c:v>2012</c:v>
                </c:pt>
                <c:pt idx="9">
                  <c:v>2013</c:v>
                </c:pt>
              </c:numCache>
            </c:numRef>
          </c:cat>
          <c:val>
            <c:numRef>
              <c:f>Sheet1!$C$2:$C$11</c:f>
              <c:numCache>
                <c:formatCode>General</c:formatCode>
                <c:ptCount val="10"/>
              </c:numCache>
            </c:numRef>
          </c:val>
          <c:smooth val="0"/>
        </c:ser>
        <c:ser>
          <c:idx val="2"/>
          <c:order val="2"/>
          <c:tx>
            <c:strRef>
              <c:f>Sheet1!$D$1</c:f>
              <c:strCache>
                <c:ptCount val="1"/>
                <c:pt idx="0">
                  <c:v>Column2</c:v>
                </c:pt>
              </c:strCache>
            </c:strRef>
          </c:tx>
          <c:spPr>
            <a:ln w="28575" cap="rnd">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h-TH"/>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Sheet1!$A$2:$A$11</c:f>
              <c:numCache>
                <c:formatCode>General</c:formatCode>
                <c:ptCount val="10"/>
                <c:pt idx="0">
                  <c:v>2004</c:v>
                </c:pt>
                <c:pt idx="1">
                  <c:v>2005</c:v>
                </c:pt>
                <c:pt idx="2">
                  <c:v>2006</c:v>
                </c:pt>
                <c:pt idx="3">
                  <c:v>2007</c:v>
                </c:pt>
                <c:pt idx="4">
                  <c:v>2008</c:v>
                </c:pt>
                <c:pt idx="5">
                  <c:v>2009</c:v>
                </c:pt>
                <c:pt idx="6">
                  <c:v>2010</c:v>
                </c:pt>
                <c:pt idx="7">
                  <c:v>2011</c:v>
                </c:pt>
                <c:pt idx="8">
                  <c:v>2012</c:v>
                </c:pt>
                <c:pt idx="9">
                  <c:v>2013</c:v>
                </c:pt>
              </c:numCache>
            </c:numRef>
          </c:cat>
          <c:val>
            <c:numRef>
              <c:f>Sheet1!$D$2:$D$11</c:f>
              <c:numCache>
                <c:formatCode>General</c:formatCode>
                <c:ptCount val="10"/>
              </c:numCache>
            </c:numRef>
          </c:val>
          <c:smooth val="0"/>
        </c:ser>
        <c:dLbls>
          <c:dLblPos val="t"/>
          <c:showLegendKey val="0"/>
          <c:showVal val="1"/>
          <c:showCatName val="0"/>
          <c:showSerName val="0"/>
          <c:showPercent val="0"/>
          <c:showBubbleSize val="0"/>
        </c:dLbls>
        <c:smooth val="0"/>
        <c:axId val="281355264"/>
        <c:axId val="278886640"/>
      </c:lineChart>
      <c:catAx>
        <c:axId val="2813552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h-TH"/>
          </a:p>
        </c:txPr>
        <c:crossAx val="278886640"/>
        <c:crosses val="autoZero"/>
        <c:auto val="1"/>
        <c:lblAlgn val="ctr"/>
        <c:lblOffset val="100"/>
        <c:noMultiLvlLbl val="0"/>
      </c:catAx>
      <c:valAx>
        <c:axId val="278886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h-TH"/>
          </a:p>
        </c:txPr>
        <c:crossAx val="281355264"/>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h-TH"/>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h-TH"/>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Column1</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h-TH"/>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Sheet1!$A$2:$A$11</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Sheet1!$B$2:$B$11</c:f>
              <c:numCache>
                <c:formatCode>General</c:formatCode>
                <c:ptCount val="10"/>
                <c:pt idx="0">
                  <c:v>4.3899999999999997</c:v>
                </c:pt>
                <c:pt idx="1">
                  <c:v>4.34</c:v>
                </c:pt>
                <c:pt idx="2">
                  <c:v>4.28</c:v>
                </c:pt>
                <c:pt idx="3">
                  <c:v>4.2300000000000004</c:v>
                </c:pt>
                <c:pt idx="4">
                  <c:v>4.18</c:v>
                </c:pt>
                <c:pt idx="5">
                  <c:v>4.12</c:v>
                </c:pt>
                <c:pt idx="6">
                  <c:v>4.08</c:v>
                </c:pt>
                <c:pt idx="7">
                  <c:v>4.03</c:v>
                </c:pt>
                <c:pt idx="8">
                  <c:v>3.8</c:v>
                </c:pt>
                <c:pt idx="9">
                  <c:v>3.73</c:v>
                </c:pt>
              </c:numCache>
            </c:numRef>
          </c:val>
          <c:smooth val="0"/>
        </c:ser>
        <c:dLbls>
          <c:dLblPos val="t"/>
          <c:showLegendKey val="0"/>
          <c:showVal val="1"/>
          <c:showCatName val="0"/>
          <c:showSerName val="0"/>
          <c:showPercent val="0"/>
          <c:showBubbleSize val="0"/>
        </c:dLbls>
        <c:smooth val="0"/>
        <c:axId val="306337792"/>
        <c:axId val="306338352"/>
      </c:lineChart>
      <c:catAx>
        <c:axId val="306337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h-TH"/>
          </a:p>
        </c:txPr>
        <c:crossAx val="306338352"/>
        <c:crosses val="autoZero"/>
        <c:auto val="1"/>
        <c:lblAlgn val="ctr"/>
        <c:lblOffset val="100"/>
        <c:noMultiLvlLbl val="0"/>
      </c:catAx>
      <c:valAx>
        <c:axId val="3063383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h-TH"/>
          </a:p>
        </c:txPr>
        <c:crossAx val="3063377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h-TH"/>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Series 1</c:v>
                </c:pt>
              </c:strCache>
            </c:strRef>
          </c:tx>
          <c:spPr>
            <a:ln w="28575" cap="rnd">
              <a:solidFill>
                <a:srgbClr val="FF0000"/>
              </a:solidFill>
              <a:round/>
            </a:ln>
            <a:effectLst/>
          </c:spPr>
          <c:marker>
            <c:symbol val="none"/>
          </c:marker>
          <c:dLbls>
            <c:dLbl>
              <c:idx val="8"/>
              <c:layout>
                <c:manualLayout>
                  <c:x val="-1.2673702245552639E-2"/>
                  <c:y val="-8.5287776527934012E-2"/>
                </c:manualLayout>
              </c:layout>
              <c:dLblPos val="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h-TH"/>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Sheet1!$A$2:$A$11</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Sheet1!$B$2:$B$11</c:f>
              <c:numCache>
                <c:formatCode>General</c:formatCode>
                <c:ptCount val="10"/>
                <c:pt idx="0">
                  <c:v>8.48</c:v>
                </c:pt>
                <c:pt idx="1">
                  <c:v>8.49</c:v>
                </c:pt>
                <c:pt idx="2">
                  <c:v>8.51</c:v>
                </c:pt>
                <c:pt idx="3">
                  <c:v>8.5399999999999991</c:v>
                </c:pt>
                <c:pt idx="4">
                  <c:v>8.59</c:v>
                </c:pt>
                <c:pt idx="5">
                  <c:v>8.65</c:v>
                </c:pt>
                <c:pt idx="6">
                  <c:v>8.7200000000000006</c:v>
                </c:pt>
                <c:pt idx="7">
                  <c:v>8.8000000000000007</c:v>
                </c:pt>
                <c:pt idx="8">
                  <c:v>8.08</c:v>
                </c:pt>
                <c:pt idx="9">
                  <c:v>8.1</c:v>
                </c:pt>
              </c:numCache>
            </c:numRef>
          </c:val>
          <c:smooth val="0"/>
        </c:ser>
        <c:dLbls>
          <c:showLegendKey val="0"/>
          <c:showVal val="0"/>
          <c:showCatName val="0"/>
          <c:showSerName val="0"/>
          <c:showPercent val="0"/>
          <c:showBubbleSize val="0"/>
        </c:dLbls>
        <c:smooth val="0"/>
        <c:axId val="306340592"/>
        <c:axId val="306341152"/>
      </c:lineChart>
      <c:catAx>
        <c:axId val="306340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h-TH"/>
          </a:p>
        </c:txPr>
        <c:crossAx val="306341152"/>
        <c:crosses val="autoZero"/>
        <c:auto val="1"/>
        <c:lblAlgn val="ctr"/>
        <c:lblOffset val="100"/>
        <c:noMultiLvlLbl val="0"/>
      </c:catAx>
      <c:valAx>
        <c:axId val="3063411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h-TH"/>
          </a:p>
        </c:txPr>
        <c:crossAx val="3063405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h-TH"/>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Obs00</b:Tag>
    <b:SourceType>Report</b:SourceType>
    <b:Guid>{37AD11E0-924F-437E-8389-CC9C54913189}</b:Guid>
    <b:Author>
      <b:Author>
        <b:NameList>
          <b:Person>
            <b:Last>Observatory</b:Last>
            <b:First>European</b:First>
          </b:Person>
        </b:NameList>
      </b:Author>
    </b:Author>
    <b:Title>Health Care Systems</b:Title>
    <b:Year>2000</b:Year>
    <b:Pages>19-24</b:Pages>
    <b:Publisher>The European Observatory</b:Publisher>
    <b:LCID>en-US</b:LCID>
    <b:RefOrder>1</b:RefOrder>
  </b:Source>
</b:Sources>
</file>

<file path=customXml/itemProps1.xml><?xml version="1.0" encoding="utf-8"?>
<ds:datastoreItem xmlns:ds="http://schemas.openxmlformats.org/officeDocument/2006/customXml" ds:itemID="{DC7744D8-1795-4123-8769-7860765DD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750</TotalTime>
  <Pages>9</Pages>
  <Words>1109</Words>
  <Characters>6323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2016-01-03T05:09:00Z</dcterms:created>
  <dcterms:modified xsi:type="dcterms:W3CDTF">2016-01-05T14:19:00Z</dcterms:modified>
</cp:coreProperties>
</file>