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614E" w:rsidRPr="00DA15A4" w:rsidRDefault="0056614E" w:rsidP="0056614E">
      <w:pPr>
        <w:spacing w:line="360" w:lineRule="auto"/>
        <w:jc w:val="center"/>
        <w:rPr>
          <w:rFonts w:ascii="Times New Roman" w:hAnsi="Times New Roman" w:cs="Times New Roman"/>
          <w:b/>
          <w:bCs/>
          <w:sz w:val="40"/>
          <w:szCs w:val="40"/>
        </w:rPr>
      </w:pPr>
    </w:p>
    <w:p w:rsidR="0056614E" w:rsidRPr="00DA15A4" w:rsidRDefault="0056614E" w:rsidP="0056614E">
      <w:pPr>
        <w:spacing w:line="360" w:lineRule="auto"/>
        <w:jc w:val="center"/>
        <w:rPr>
          <w:rFonts w:ascii="Times New Roman" w:hAnsi="Times New Roman" w:cs="Times New Roman"/>
          <w:b/>
          <w:bCs/>
          <w:sz w:val="40"/>
          <w:szCs w:val="40"/>
        </w:rPr>
      </w:pPr>
    </w:p>
    <w:p w:rsidR="0056614E" w:rsidRPr="00DA15A4" w:rsidRDefault="0056614E" w:rsidP="0056614E">
      <w:pPr>
        <w:spacing w:line="360" w:lineRule="auto"/>
        <w:jc w:val="center"/>
        <w:rPr>
          <w:rFonts w:ascii="Times New Roman" w:hAnsi="Times New Roman" w:cs="Times New Roman"/>
          <w:b/>
          <w:bCs/>
          <w:sz w:val="40"/>
          <w:szCs w:val="40"/>
        </w:rPr>
      </w:pPr>
    </w:p>
    <w:p w:rsidR="007C4111" w:rsidRPr="00DA15A4" w:rsidRDefault="007C4111" w:rsidP="0056614E">
      <w:pPr>
        <w:spacing w:line="360" w:lineRule="auto"/>
        <w:jc w:val="center"/>
        <w:rPr>
          <w:rFonts w:ascii="Times New Roman" w:hAnsi="Times New Roman" w:cs="Times New Roman"/>
          <w:b/>
          <w:bCs/>
          <w:sz w:val="40"/>
          <w:szCs w:val="40"/>
        </w:rPr>
      </w:pPr>
      <w:r w:rsidRPr="00DA15A4">
        <w:rPr>
          <w:rFonts w:ascii="Times New Roman" w:hAnsi="Times New Roman" w:cs="Times New Roman"/>
          <w:b/>
          <w:bCs/>
          <w:sz w:val="40"/>
          <w:szCs w:val="40"/>
        </w:rPr>
        <w:t xml:space="preserve">The Practicality of </w:t>
      </w:r>
      <w:r w:rsidR="00BB2578" w:rsidRPr="00DA15A4">
        <w:rPr>
          <w:rFonts w:ascii="Times New Roman" w:hAnsi="Times New Roman" w:cs="Times New Roman"/>
          <w:b/>
          <w:bCs/>
          <w:sz w:val="40"/>
          <w:szCs w:val="40"/>
        </w:rPr>
        <w:t>Sovereign Wealth Fund</w:t>
      </w:r>
      <w:r w:rsidR="00DA15A4">
        <w:rPr>
          <w:rFonts w:ascii="Times New Roman" w:hAnsi="Times New Roman" w:cs="Times New Roman"/>
          <w:b/>
          <w:bCs/>
          <w:sz w:val="40"/>
          <w:szCs w:val="40"/>
        </w:rPr>
        <w:t>: Thailand C</w:t>
      </w:r>
      <w:r w:rsidR="0065629D" w:rsidRPr="00DA15A4">
        <w:rPr>
          <w:rFonts w:ascii="Times New Roman" w:hAnsi="Times New Roman" w:cs="Times New Roman"/>
          <w:b/>
          <w:bCs/>
          <w:sz w:val="40"/>
          <w:szCs w:val="40"/>
        </w:rPr>
        <w:t>apabilities</w:t>
      </w:r>
      <w:r w:rsidR="00DA15A4">
        <w:rPr>
          <w:rFonts w:ascii="Times New Roman" w:hAnsi="Times New Roman" w:cs="Times New Roman"/>
          <w:b/>
          <w:bCs/>
          <w:sz w:val="40"/>
          <w:szCs w:val="40"/>
        </w:rPr>
        <w:t xml:space="preserve"> and C</w:t>
      </w:r>
      <w:r w:rsidRPr="00DA15A4">
        <w:rPr>
          <w:rFonts w:ascii="Times New Roman" w:hAnsi="Times New Roman" w:cs="Times New Roman"/>
          <w:b/>
          <w:bCs/>
          <w:sz w:val="40"/>
          <w:szCs w:val="40"/>
        </w:rPr>
        <w:t>onsequence</w:t>
      </w:r>
      <w:r w:rsidR="0065629D" w:rsidRPr="00DA15A4">
        <w:rPr>
          <w:rFonts w:ascii="Times New Roman" w:hAnsi="Times New Roman" w:cs="Times New Roman"/>
          <w:b/>
          <w:bCs/>
          <w:sz w:val="40"/>
          <w:szCs w:val="40"/>
        </w:rPr>
        <w:t>s</w:t>
      </w:r>
    </w:p>
    <w:p w:rsidR="0065629D" w:rsidRPr="00DA15A4" w:rsidRDefault="0065629D" w:rsidP="0056614E">
      <w:pPr>
        <w:spacing w:line="360" w:lineRule="auto"/>
        <w:jc w:val="center"/>
        <w:rPr>
          <w:rFonts w:ascii="Times New Roman" w:hAnsi="Times New Roman" w:cs="Times New Roman"/>
          <w:b/>
          <w:bCs/>
          <w:sz w:val="24"/>
          <w:szCs w:val="24"/>
        </w:rPr>
      </w:pPr>
    </w:p>
    <w:p w:rsidR="007C4111" w:rsidRPr="00DA15A4" w:rsidRDefault="007C4111" w:rsidP="0056614E">
      <w:pPr>
        <w:spacing w:line="360" w:lineRule="auto"/>
        <w:jc w:val="center"/>
        <w:rPr>
          <w:rFonts w:ascii="Times New Roman" w:hAnsi="Times New Roman" w:cs="Times New Roman"/>
          <w:b/>
          <w:bCs/>
          <w:sz w:val="24"/>
          <w:szCs w:val="24"/>
        </w:rPr>
      </w:pPr>
      <w:r w:rsidRPr="00DA15A4">
        <w:rPr>
          <w:rFonts w:ascii="Times New Roman" w:hAnsi="Times New Roman" w:cs="Times New Roman"/>
          <w:b/>
          <w:bCs/>
          <w:sz w:val="24"/>
          <w:szCs w:val="24"/>
        </w:rPr>
        <w:t>A Research Proposal</w:t>
      </w:r>
    </w:p>
    <w:p w:rsidR="0065629D" w:rsidRPr="00DA15A4" w:rsidRDefault="0065629D" w:rsidP="0056614E">
      <w:pPr>
        <w:spacing w:line="360" w:lineRule="auto"/>
        <w:jc w:val="center"/>
        <w:rPr>
          <w:rFonts w:ascii="Times New Roman" w:hAnsi="Times New Roman" w:cs="Times New Roman"/>
          <w:b/>
          <w:bCs/>
          <w:sz w:val="24"/>
          <w:szCs w:val="24"/>
        </w:rPr>
      </w:pPr>
    </w:p>
    <w:p w:rsidR="007C4111" w:rsidRPr="00DA15A4" w:rsidRDefault="007C15CC" w:rsidP="0056614E">
      <w:pPr>
        <w:spacing w:line="360" w:lineRule="auto"/>
        <w:jc w:val="center"/>
        <w:rPr>
          <w:rFonts w:ascii="Times New Roman" w:hAnsi="Times New Roman" w:cs="Times New Roman"/>
          <w:b/>
          <w:bCs/>
          <w:sz w:val="24"/>
          <w:szCs w:val="24"/>
        </w:rPr>
      </w:pPr>
      <w:r w:rsidRPr="00DA15A4">
        <w:rPr>
          <w:rFonts w:ascii="Times New Roman" w:hAnsi="Times New Roman" w:cs="Times New Roman"/>
          <w:b/>
          <w:bCs/>
          <w:sz w:val="24"/>
          <w:szCs w:val="24"/>
        </w:rPr>
        <w:t>EE459 Seminar in International Trade Theory and Policy</w:t>
      </w:r>
    </w:p>
    <w:p w:rsidR="007C4111" w:rsidRPr="00DA15A4" w:rsidRDefault="007C15CC" w:rsidP="0056614E">
      <w:pPr>
        <w:spacing w:line="360" w:lineRule="auto"/>
        <w:jc w:val="center"/>
        <w:rPr>
          <w:rFonts w:ascii="Times New Roman" w:hAnsi="Times New Roman" w:cs="Times New Roman"/>
          <w:b/>
          <w:bCs/>
          <w:sz w:val="24"/>
          <w:szCs w:val="24"/>
        </w:rPr>
      </w:pPr>
      <w:r w:rsidRPr="00DA15A4">
        <w:rPr>
          <w:rFonts w:ascii="Times New Roman" w:hAnsi="Times New Roman" w:cs="Times New Roman"/>
          <w:b/>
          <w:bCs/>
          <w:sz w:val="24"/>
          <w:szCs w:val="24"/>
        </w:rPr>
        <w:t xml:space="preserve">Asst. Prof. Dr. </w:t>
      </w:r>
      <w:proofErr w:type="spellStart"/>
      <w:r w:rsidRPr="00DA15A4">
        <w:rPr>
          <w:rFonts w:ascii="Times New Roman" w:hAnsi="Times New Roman" w:cs="Times New Roman"/>
          <w:b/>
          <w:bCs/>
          <w:sz w:val="24"/>
          <w:szCs w:val="24"/>
        </w:rPr>
        <w:t>Nitinant</w:t>
      </w:r>
      <w:proofErr w:type="spellEnd"/>
      <w:r w:rsidRPr="00DA15A4">
        <w:rPr>
          <w:rFonts w:ascii="Times New Roman" w:hAnsi="Times New Roman" w:cs="Times New Roman"/>
          <w:b/>
          <w:bCs/>
          <w:sz w:val="24"/>
          <w:szCs w:val="24"/>
        </w:rPr>
        <w:t xml:space="preserve"> </w:t>
      </w:r>
      <w:proofErr w:type="spellStart"/>
      <w:r w:rsidRPr="00DA15A4">
        <w:rPr>
          <w:rFonts w:ascii="Times New Roman" w:hAnsi="Times New Roman" w:cs="Times New Roman"/>
          <w:b/>
          <w:bCs/>
          <w:sz w:val="24"/>
          <w:szCs w:val="24"/>
        </w:rPr>
        <w:t>Wisaweisuan</w:t>
      </w:r>
      <w:proofErr w:type="spellEnd"/>
    </w:p>
    <w:p w:rsidR="0065629D" w:rsidRPr="00DA15A4" w:rsidRDefault="0065629D" w:rsidP="0056614E">
      <w:pPr>
        <w:spacing w:line="360" w:lineRule="auto"/>
        <w:jc w:val="center"/>
        <w:rPr>
          <w:rFonts w:ascii="Times New Roman" w:hAnsi="Times New Roman" w:cs="Times New Roman"/>
          <w:b/>
          <w:bCs/>
          <w:sz w:val="24"/>
          <w:szCs w:val="24"/>
        </w:rPr>
      </w:pPr>
    </w:p>
    <w:p w:rsidR="0065629D" w:rsidRPr="00DA15A4" w:rsidRDefault="0065629D" w:rsidP="0056614E">
      <w:pPr>
        <w:spacing w:line="360" w:lineRule="auto"/>
        <w:jc w:val="center"/>
        <w:rPr>
          <w:rFonts w:ascii="Times New Roman" w:hAnsi="Times New Roman" w:cs="Times New Roman"/>
          <w:b/>
          <w:bCs/>
          <w:sz w:val="24"/>
          <w:szCs w:val="24"/>
        </w:rPr>
      </w:pPr>
      <w:r w:rsidRPr="00DA15A4">
        <w:rPr>
          <w:rFonts w:ascii="Times New Roman" w:hAnsi="Times New Roman" w:cs="Times New Roman"/>
          <w:b/>
          <w:bCs/>
          <w:sz w:val="24"/>
          <w:szCs w:val="24"/>
        </w:rPr>
        <w:t>February 13</w:t>
      </w:r>
      <w:r w:rsidRPr="00DA15A4">
        <w:rPr>
          <w:rFonts w:ascii="Times New Roman" w:hAnsi="Times New Roman" w:cs="Times New Roman"/>
          <w:b/>
          <w:bCs/>
          <w:sz w:val="24"/>
          <w:szCs w:val="24"/>
          <w:vertAlign w:val="superscript"/>
        </w:rPr>
        <w:t>th</w:t>
      </w:r>
      <w:r w:rsidRPr="00DA15A4">
        <w:rPr>
          <w:rFonts w:ascii="Times New Roman" w:hAnsi="Times New Roman" w:cs="Times New Roman"/>
          <w:b/>
          <w:bCs/>
          <w:sz w:val="24"/>
          <w:szCs w:val="24"/>
        </w:rPr>
        <w:t>, 2012</w:t>
      </w:r>
    </w:p>
    <w:p w:rsidR="0065629D" w:rsidRPr="00DA15A4" w:rsidRDefault="0065629D" w:rsidP="0056614E">
      <w:pPr>
        <w:spacing w:line="360" w:lineRule="auto"/>
        <w:jc w:val="center"/>
        <w:rPr>
          <w:rFonts w:ascii="Times New Roman" w:hAnsi="Times New Roman" w:cs="Times New Roman"/>
          <w:b/>
          <w:bCs/>
          <w:sz w:val="24"/>
          <w:szCs w:val="24"/>
        </w:rPr>
      </w:pPr>
    </w:p>
    <w:p w:rsidR="0065629D" w:rsidRPr="00DA15A4" w:rsidRDefault="0065629D" w:rsidP="0056614E">
      <w:pPr>
        <w:spacing w:line="360" w:lineRule="auto"/>
        <w:jc w:val="center"/>
        <w:rPr>
          <w:rFonts w:ascii="Times New Roman" w:hAnsi="Times New Roman" w:cs="Times New Roman"/>
          <w:b/>
          <w:bCs/>
          <w:sz w:val="24"/>
          <w:szCs w:val="24"/>
        </w:rPr>
      </w:pPr>
    </w:p>
    <w:p w:rsidR="007C4111" w:rsidRPr="00DA15A4" w:rsidRDefault="007C15CC" w:rsidP="0056614E">
      <w:pPr>
        <w:spacing w:line="360" w:lineRule="auto"/>
        <w:jc w:val="center"/>
        <w:rPr>
          <w:rFonts w:ascii="Times New Roman" w:hAnsi="Times New Roman" w:cs="Times New Roman"/>
          <w:b/>
          <w:bCs/>
          <w:sz w:val="24"/>
          <w:szCs w:val="24"/>
        </w:rPr>
      </w:pPr>
      <w:proofErr w:type="spellStart"/>
      <w:r w:rsidRPr="00DA15A4">
        <w:rPr>
          <w:rFonts w:ascii="Times New Roman" w:hAnsi="Times New Roman" w:cs="Times New Roman"/>
          <w:b/>
          <w:bCs/>
          <w:sz w:val="24"/>
          <w:szCs w:val="24"/>
        </w:rPr>
        <w:t>Pimmada</w:t>
      </w:r>
      <w:proofErr w:type="spellEnd"/>
      <w:r w:rsidRPr="00DA15A4">
        <w:rPr>
          <w:rFonts w:ascii="Times New Roman" w:hAnsi="Times New Roman" w:cs="Times New Roman"/>
          <w:b/>
          <w:bCs/>
          <w:sz w:val="24"/>
          <w:szCs w:val="24"/>
        </w:rPr>
        <w:t xml:space="preserve"> </w:t>
      </w:r>
      <w:proofErr w:type="spellStart"/>
      <w:r w:rsidRPr="00DA15A4">
        <w:rPr>
          <w:rFonts w:ascii="Times New Roman" w:hAnsi="Times New Roman" w:cs="Times New Roman"/>
          <w:b/>
          <w:bCs/>
          <w:sz w:val="24"/>
          <w:szCs w:val="24"/>
        </w:rPr>
        <w:t>Kulsirichawaroj</w:t>
      </w:r>
      <w:proofErr w:type="spellEnd"/>
    </w:p>
    <w:p w:rsidR="007C15CC" w:rsidRPr="00DA15A4" w:rsidRDefault="007C15CC" w:rsidP="0056614E">
      <w:pPr>
        <w:spacing w:line="360" w:lineRule="auto"/>
        <w:jc w:val="center"/>
        <w:rPr>
          <w:rFonts w:ascii="Times New Roman" w:hAnsi="Times New Roman" w:cs="Times New Roman"/>
          <w:b/>
          <w:bCs/>
          <w:sz w:val="24"/>
          <w:szCs w:val="24"/>
        </w:rPr>
      </w:pPr>
      <w:r w:rsidRPr="00DA15A4">
        <w:rPr>
          <w:rFonts w:ascii="Times New Roman" w:hAnsi="Times New Roman" w:cs="Times New Roman"/>
          <w:b/>
          <w:bCs/>
          <w:sz w:val="24"/>
          <w:szCs w:val="24"/>
        </w:rPr>
        <w:t>I.D. 5104640981</w:t>
      </w:r>
    </w:p>
    <w:p w:rsidR="007C15CC" w:rsidRPr="00DA15A4" w:rsidRDefault="007C15CC" w:rsidP="0056614E">
      <w:pPr>
        <w:spacing w:line="360" w:lineRule="auto"/>
        <w:jc w:val="center"/>
        <w:rPr>
          <w:rFonts w:ascii="Times New Roman" w:hAnsi="Times New Roman" w:cs="Times New Roman"/>
          <w:b/>
          <w:bCs/>
          <w:sz w:val="24"/>
          <w:szCs w:val="24"/>
        </w:rPr>
      </w:pPr>
      <w:r w:rsidRPr="00DA15A4">
        <w:rPr>
          <w:rFonts w:ascii="Times New Roman" w:hAnsi="Times New Roman" w:cs="Times New Roman"/>
          <w:b/>
          <w:bCs/>
          <w:sz w:val="24"/>
          <w:szCs w:val="24"/>
        </w:rPr>
        <w:t>Faculty of Economics</w:t>
      </w:r>
    </w:p>
    <w:p w:rsidR="007C15CC" w:rsidRPr="00DA15A4" w:rsidRDefault="007C15CC" w:rsidP="0056614E">
      <w:pPr>
        <w:spacing w:line="360" w:lineRule="auto"/>
        <w:jc w:val="center"/>
        <w:rPr>
          <w:rFonts w:ascii="Times New Roman" w:hAnsi="Times New Roman" w:cs="Times New Roman"/>
          <w:b/>
          <w:bCs/>
          <w:sz w:val="24"/>
          <w:szCs w:val="24"/>
        </w:rPr>
      </w:pPr>
      <w:proofErr w:type="spellStart"/>
      <w:r w:rsidRPr="00DA15A4">
        <w:rPr>
          <w:rFonts w:ascii="Times New Roman" w:hAnsi="Times New Roman" w:cs="Times New Roman"/>
          <w:b/>
          <w:bCs/>
          <w:sz w:val="24"/>
          <w:szCs w:val="24"/>
        </w:rPr>
        <w:t>Thammasat</w:t>
      </w:r>
      <w:proofErr w:type="spellEnd"/>
      <w:r w:rsidRPr="00DA15A4">
        <w:rPr>
          <w:rFonts w:ascii="Times New Roman" w:hAnsi="Times New Roman" w:cs="Times New Roman"/>
          <w:b/>
          <w:bCs/>
          <w:sz w:val="24"/>
          <w:szCs w:val="24"/>
        </w:rPr>
        <w:t xml:space="preserve"> University</w:t>
      </w:r>
    </w:p>
    <w:p w:rsidR="007C4111" w:rsidRDefault="007C4111" w:rsidP="0056614E">
      <w:pPr>
        <w:spacing w:line="360" w:lineRule="auto"/>
        <w:rPr>
          <w:rFonts w:ascii="Times New Roman" w:hAnsi="Times New Roman" w:cs="Times New Roman"/>
          <w:b/>
          <w:bCs/>
          <w:sz w:val="24"/>
          <w:szCs w:val="24"/>
        </w:rPr>
      </w:pPr>
    </w:p>
    <w:p w:rsidR="00745B49" w:rsidRPr="00DA15A4" w:rsidRDefault="00745B49" w:rsidP="0056614E">
      <w:pPr>
        <w:spacing w:line="360" w:lineRule="auto"/>
        <w:rPr>
          <w:rFonts w:ascii="Times New Roman" w:hAnsi="Times New Roman" w:cs="Times New Roman"/>
          <w:b/>
          <w:bCs/>
          <w:sz w:val="24"/>
          <w:szCs w:val="24"/>
        </w:rPr>
      </w:pPr>
    </w:p>
    <w:p w:rsidR="007C4111" w:rsidRPr="00745B49" w:rsidRDefault="005653DA" w:rsidP="0056614E">
      <w:pPr>
        <w:spacing w:line="360" w:lineRule="auto"/>
        <w:rPr>
          <w:rFonts w:ascii="Times New Roman" w:hAnsi="Times New Roman" w:cs="Times New Roman"/>
          <w:i/>
          <w:iCs/>
          <w:sz w:val="24"/>
          <w:szCs w:val="24"/>
        </w:rPr>
      </w:pPr>
      <w:r w:rsidRPr="00745B49">
        <w:rPr>
          <w:rFonts w:ascii="Times New Roman" w:hAnsi="Times New Roman" w:cs="Times New Roman"/>
          <w:i/>
          <w:iCs/>
          <w:sz w:val="24"/>
          <w:szCs w:val="24"/>
        </w:rPr>
        <w:t>Words count: 1,096 (Words in the graph/table are not counted)</w:t>
      </w:r>
    </w:p>
    <w:p w:rsidR="00BB6B4C" w:rsidRPr="00DA15A4" w:rsidRDefault="0044608A" w:rsidP="0056614E">
      <w:pPr>
        <w:spacing w:line="360" w:lineRule="auto"/>
        <w:jc w:val="both"/>
        <w:rPr>
          <w:rFonts w:ascii="Times New Roman" w:hAnsi="Times New Roman" w:cs="Times New Roman"/>
          <w:b/>
          <w:bCs/>
          <w:sz w:val="24"/>
          <w:szCs w:val="24"/>
        </w:rPr>
      </w:pPr>
      <w:r w:rsidRPr="00DA15A4">
        <w:rPr>
          <w:rFonts w:ascii="Times New Roman" w:hAnsi="Times New Roman" w:cs="Times New Roman"/>
          <w:b/>
          <w:bCs/>
          <w:sz w:val="24"/>
          <w:szCs w:val="24"/>
        </w:rPr>
        <w:lastRenderedPageBreak/>
        <w:t>Problem Statement</w:t>
      </w:r>
    </w:p>
    <w:p w:rsidR="00AC4E4A" w:rsidRPr="00DA15A4" w:rsidRDefault="007424A3" w:rsidP="0056614E">
      <w:pPr>
        <w:spacing w:line="360" w:lineRule="auto"/>
        <w:jc w:val="both"/>
        <w:rPr>
          <w:rFonts w:ascii="Times New Roman" w:hAnsi="Times New Roman" w:cs="Times New Roman"/>
          <w:sz w:val="24"/>
          <w:szCs w:val="24"/>
        </w:rPr>
      </w:pPr>
      <w:r>
        <w:rPr>
          <w:rFonts w:ascii="Times New Roman" w:hAnsi="Times New Roman" w:cs="Times New Roman"/>
          <w:sz w:val="24"/>
          <w:szCs w:val="24"/>
        </w:rPr>
        <w:t>The purpos</w:t>
      </w:r>
      <w:r w:rsidR="00E4697E">
        <w:rPr>
          <w:rFonts w:ascii="Times New Roman" w:hAnsi="Times New Roman" w:cs="Times New Roman"/>
          <w:sz w:val="24"/>
          <w:szCs w:val="24"/>
        </w:rPr>
        <w:t>e</w:t>
      </w:r>
      <w:r w:rsidR="006B2163" w:rsidRPr="00DA15A4">
        <w:rPr>
          <w:rFonts w:ascii="Times New Roman" w:hAnsi="Times New Roman" w:cs="Times New Roman"/>
          <w:sz w:val="24"/>
          <w:szCs w:val="24"/>
        </w:rPr>
        <w:t xml:space="preserve"> of this proposal</w:t>
      </w:r>
      <w:r>
        <w:rPr>
          <w:rFonts w:ascii="Times New Roman" w:hAnsi="Times New Roman" w:cs="Times New Roman"/>
          <w:sz w:val="24"/>
          <w:szCs w:val="24"/>
        </w:rPr>
        <w:t xml:space="preserve"> is</w:t>
      </w:r>
      <w:r w:rsidR="00DA15A4">
        <w:rPr>
          <w:rFonts w:ascii="Times New Roman" w:hAnsi="Times New Roman" w:cs="Times New Roman"/>
          <w:sz w:val="24"/>
          <w:szCs w:val="24"/>
        </w:rPr>
        <w:t xml:space="preserve"> to explore the possibility </w:t>
      </w:r>
      <w:r w:rsidR="00AC4E4A" w:rsidRPr="00DA15A4">
        <w:rPr>
          <w:rFonts w:ascii="Times New Roman" w:hAnsi="Times New Roman" w:cs="Times New Roman"/>
          <w:sz w:val="24"/>
          <w:szCs w:val="24"/>
        </w:rPr>
        <w:t>o</w:t>
      </w:r>
      <w:r w:rsidR="00DA15A4">
        <w:rPr>
          <w:rFonts w:ascii="Times New Roman" w:hAnsi="Times New Roman" w:cs="Times New Roman"/>
          <w:sz w:val="24"/>
          <w:szCs w:val="24"/>
        </w:rPr>
        <w:t>f</w:t>
      </w:r>
      <w:r w:rsidR="00AC4E4A" w:rsidRPr="00DA15A4">
        <w:rPr>
          <w:rFonts w:ascii="Times New Roman" w:hAnsi="Times New Roman" w:cs="Times New Roman"/>
          <w:sz w:val="24"/>
          <w:szCs w:val="24"/>
        </w:rPr>
        <w:t xml:space="preserve"> establish</w:t>
      </w:r>
      <w:r w:rsidR="00DA15A4">
        <w:rPr>
          <w:rFonts w:ascii="Times New Roman" w:hAnsi="Times New Roman" w:cs="Times New Roman"/>
          <w:sz w:val="24"/>
          <w:szCs w:val="24"/>
        </w:rPr>
        <w:t>ing</w:t>
      </w:r>
      <w:r w:rsidR="00BB2578" w:rsidRPr="00DA15A4">
        <w:rPr>
          <w:rFonts w:ascii="Times New Roman" w:hAnsi="Times New Roman" w:cs="Times New Roman"/>
          <w:sz w:val="24"/>
          <w:szCs w:val="24"/>
        </w:rPr>
        <w:t xml:space="preserve"> the Sovereign Wealth Fund</w:t>
      </w:r>
      <w:r w:rsidR="00BB2578" w:rsidRPr="00DA15A4">
        <w:rPr>
          <w:rStyle w:val="FootnoteReference"/>
          <w:rFonts w:ascii="Times New Roman" w:hAnsi="Times New Roman" w:cs="Times New Roman"/>
        </w:rPr>
        <w:footnoteReference w:id="1"/>
      </w:r>
      <w:r w:rsidR="00AC4E4A" w:rsidRPr="00DA15A4">
        <w:rPr>
          <w:rFonts w:ascii="Times New Roman" w:hAnsi="Times New Roman" w:cs="Times New Roman"/>
          <w:sz w:val="24"/>
          <w:szCs w:val="24"/>
        </w:rPr>
        <w:t xml:space="preserve"> in Thailand, to evaluate the advantages </w:t>
      </w:r>
      <w:r w:rsidR="00DA15A4">
        <w:rPr>
          <w:rFonts w:ascii="Times New Roman" w:hAnsi="Times New Roman" w:cs="Times New Roman"/>
          <w:sz w:val="24"/>
          <w:szCs w:val="24"/>
        </w:rPr>
        <w:t>and disadvantages of SWF, to analyze</w:t>
      </w:r>
      <w:r w:rsidR="006B2163" w:rsidRPr="00DA15A4">
        <w:rPr>
          <w:rFonts w:ascii="Times New Roman" w:hAnsi="Times New Roman" w:cs="Times New Roman"/>
          <w:sz w:val="24"/>
          <w:szCs w:val="24"/>
        </w:rPr>
        <w:t xml:space="preserve"> the systemic and structure</w:t>
      </w:r>
      <w:r w:rsidR="00AC4E4A" w:rsidRPr="00DA15A4">
        <w:rPr>
          <w:rFonts w:ascii="Times New Roman" w:hAnsi="Times New Roman" w:cs="Times New Roman"/>
          <w:sz w:val="24"/>
          <w:szCs w:val="24"/>
        </w:rPr>
        <w:t xml:space="preserve"> of successful </w:t>
      </w:r>
      <w:r w:rsidR="006C5201" w:rsidRPr="00DA15A4">
        <w:rPr>
          <w:rFonts w:ascii="Times New Roman" w:hAnsi="Times New Roman" w:cs="Times New Roman"/>
          <w:sz w:val="24"/>
          <w:szCs w:val="24"/>
        </w:rPr>
        <w:t>and unsuccessful SWFs from case studies</w:t>
      </w:r>
      <w:r w:rsidR="00AC4E4A" w:rsidRPr="00DA15A4">
        <w:rPr>
          <w:rFonts w:ascii="Times New Roman" w:hAnsi="Times New Roman" w:cs="Times New Roman"/>
          <w:sz w:val="24"/>
          <w:szCs w:val="24"/>
        </w:rPr>
        <w:t xml:space="preserve">. </w:t>
      </w:r>
      <w:r w:rsidR="00DB060A" w:rsidRPr="00DA15A4">
        <w:rPr>
          <w:rFonts w:ascii="Times New Roman" w:hAnsi="Times New Roman" w:cs="Times New Roman"/>
          <w:sz w:val="24"/>
          <w:szCs w:val="24"/>
        </w:rPr>
        <w:t>The problem statement of research design is based on the following questions:</w:t>
      </w:r>
    </w:p>
    <w:p w:rsidR="00BB6B4C" w:rsidRPr="00DA15A4" w:rsidRDefault="005F3F97" w:rsidP="0056614E">
      <w:pPr>
        <w:pStyle w:val="ListParagraph"/>
        <w:numPr>
          <w:ilvl w:val="0"/>
          <w:numId w:val="2"/>
        </w:numPr>
        <w:spacing w:line="360" w:lineRule="auto"/>
        <w:jc w:val="both"/>
        <w:rPr>
          <w:rFonts w:ascii="Times New Roman" w:hAnsi="Times New Roman" w:cs="Times New Roman"/>
          <w:sz w:val="24"/>
          <w:szCs w:val="24"/>
          <w:shd w:val="clear" w:color="auto" w:fill="FFFFFF"/>
        </w:rPr>
      </w:pPr>
      <w:r w:rsidRPr="00DA15A4">
        <w:rPr>
          <w:rFonts w:ascii="Times New Roman" w:hAnsi="Times New Roman" w:cs="Times New Roman"/>
          <w:sz w:val="24"/>
          <w:szCs w:val="24"/>
          <w:shd w:val="clear" w:color="auto" w:fill="FFFFFF"/>
        </w:rPr>
        <w:t xml:space="preserve">What </w:t>
      </w:r>
      <w:r w:rsidR="00E4697E">
        <w:rPr>
          <w:rFonts w:ascii="Times New Roman" w:hAnsi="Times New Roman" w:cs="Times New Roman"/>
          <w:sz w:val="24"/>
          <w:szCs w:val="24"/>
          <w:shd w:val="clear" w:color="auto" w:fill="FFFFFF"/>
        </w:rPr>
        <w:t>is</w:t>
      </w:r>
      <w:r w:rsidR="00475385">
        <w:rPr>
          <w:rFonts w:ascii="Times New Roman" w:hAnsi="Times New Roman" w:cs="Times New Roman"/>
          <w:sz w:val="24"/>
          <w:szCs w:val="24"/>
          <w:shd w:val="clear" w:color="auto" w:fill="FFFFFF"/>
        </w:rPr>
        <w:t xml:space="preserve"> the SWF</w:t>
      </w:r>
      <w:r w:rsidRPr="00DA15A4">
        <w:rPr>
          <w:rFonts w:ascii="Times New Roman" w:hAnsi="Times New Roman" w:cs="Times New Roman"/>
          <w:sz w:val="24"/>
          <w:szCs w:val="24"/>
          <w:shd w:val="clear" w:color="auto" w:fill="FFFFFF"/>
        </w:rPr>
        <w:t>?</w:t>
      </w:r>
    </w:p>
    <w:p w:rsidR="0044608A" w:rsidRPr="00DA15A4" w:rsidRDefault="0044608A" w:rsidP="0056614E">
      <w:pPr>
        <w:pStyle w:val="ListParagraph"/>
        <w:numPr>
          <w:ilvl w:val="0"/>
          <w:numId w:val="2"/>
        </w:numPr>
        <w:spacing w:line="360" w:lineRule="auto"/>
        <w:jc w:val="both"/>
        <w:rPr>
          <w:rFonts w:ascii="Times New Roman" w:hAnsi="Times New Roman" w:cs="Times New Roman"/>
          <w:sz w:val="24"/>
          <w:szCs w:val="24"/>
          <w:shd w:val="clear" w:color="auto" w:fill="FFFFFF"/>
        </w:rPr>
      </w:pPr>
      <w:r w:rsidRPr="00DA15A4">
        <w:rPr>
          <w:rFonts w:ascii="Times New Roman" w:hAnsi="Times New Roman" w:cs="Times New Roman"/>
          <w:sz w:val="24"/>
          <w:szCs w:val="24"/>
          <w:shd w:val="clear" w:color="auto" w:fill="FFFFFF"/>
        </w:rPr>
        <w:t xml:space="preserve">Why do countries set up </w:t>
      </w:r>
      <w:r w:rsidR="00A70124" w:rsidRPr="00DA15A4">
        <w:rPr>
          <w:rFonts w:ascii="Times New Roman" w:hAnsi="Times New Roman" w:cs="Times New Roman"/>
          <w:sz w:val="24"/>
          <w:szCs w:val="24"/>
          <w:shd w:val="clear" w:color="auto" w:fill="FFFFFF"/>
        </w:rPr>
        <w:t>SWFs</w:t>
      </w:r>
      <w:r w:rsidRPr="00DA15A4">
        <w:rPr>
          <w:rFonts w:ascii="Times New Roman" w:hAnsi="Times New Roman" w:cs="Times New Roman"/>
          <w:sz w:val="24"/>
          <w:szCs w:val="24"/>
          <w:shd w:val="clear" w:color="auto" w:fill="FFFFFF"/>
        </w:rPr>
        <w:t>?</w:t>
      </w:r>
    </w:p>
    <w:p w:rsidR="006B2163" w:rsidRPr="00DA15A4" w:rsidRDefault="00F95CE2" w:rsidP="0056614E">
      <w:pPr>
        <w:pStyle w:val="ListParagraph"/>
        <w:numPr>
          <w:ilvl w:val="0"/>
          <w:numId w:val="2"/>
        </w:num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What are</w:t>
      </w:r>
      <w:r w:rsidR="006C5201" w:rsidRPr="00DA15A4">
        <w:rPr>
          <w:rFonts w:ascii="Times New Roman" w:hAnsi="Times New Roman" w:cs="Times New Roman"/>
          <w:sz w:val="24"/>
          <w:szCs w:val="24"/>
          <w:shd w:val="clear" w:color="auto" w:fill="FFFFFF"/>
        </w:rPr>
        <w:t xml:space="preserve"> the source</w:t>
      </w:r>
      <w:r>
        <w:rPr>
          <w:rFonts w:ascii="Times New Roman" w:hAnsi="Times New Roman" w:cs="Times New Roman"/>
          <w:sz w:val="24"/>
          <w:szCs w:val="24"/>
          <w:shd w:val="clear" w:color="auto" w:fill="FFFFFF"/>
        </w:rPr>
        <w:t>s</w:t>
      </w:r>
      <w:r w:rsidR="006C5201" w:rsidRPr="00DA15A4">
        <w:rPr>
          <w:rFonts w:ascii="Times New Roman" w:hAnsi="Times New Roman" w:cs="Times New Roman"/>
          <w:sz w:val="24"/>
          <w:szCs w:val="24"/>
          <w:shd w:val="clear" w:color="auto" w:fill="FFFFFF"/>
        </w:rPr>
        <w:t xml:space="preserve"> of fund for</w:t>
      </w:r>
      <w:r w:rsidR="006B2163" w:rsidRPr="00DA15A4">
        <w:rPr>
          <w:rFonts w:ascii="Times New Roman" w:hAnsi="Times New Roman" w:cs="Times New Roman"/>
          <w:sz w:val="24"/>
          <w:szCs w:val="24"/>
          <w:shd w:val="clear" w:color="auto" w:fill="FFFFFF"/>
        </w:rPr>
        <w:t xml:space="preserve"> SWFs?</w:t>
      </w:r>
    </w:p>
    <w:p w:rsidR="0044608A" w:rsidRPr="00DA15A4" w:rsidRDefault="006B2163" w:rsidP="0056614E">
      <w:pPr>
        <w:pStyle w:val="ListParagraph"/>
        <w:numPr>
          <w:ilvl w:val="0"/>
          <w:numId w:val="2"/>
        </w:numPr>
        <w:spacing w:line="360" w:lineRule="auto"/>
        <w:jc w:val="both"/>
        <w:rPr>
          <w:rFonts w:ascii="Times New Roman" w:hAnsi="Times New Roman" w:cs="Times New Roman"/>
          <w:sz w:val="24"/>
          <w:szCs w:val="24"/>
          <w:shd w:val="clear" w:color="auto" w:fill="FFFFFF"/>
        </w:rPr>
      </w:pPr>
      <w:r w:rsidRPr="00DA15A4">
        <w:rPr>
          <w:rFonts w:ascii="Times New Roman" w:hAnsi="Times New Roman" w:cs="Times New Roman"/>
          <w:sz w:val="24"/>
          <w:szCs w:val="24"/>
          <w:shd w:val="clear" w:color="auto" w:fill="FFFFFF"/>
        </w:rPr>
        <w:t>What are the investment choices of SWFs</w:t>
      </w:r>
      <w:r w:rsidR="0044608A" w:rsidRPr="00DA15A4">
        <w:rPr>
          <w:rFonts w:ascii="Times New Roman" w:hAnsi="Times New Roman" w:cs="Times New Roman"/>
          <w:sz w:val="24"/>
          <w:szCs w:val="24"/>
          <w:shd w:val="clear" w:color="auto" w:fill="FFFFFF"/>
        </w:rPr>
        <w:t>?</w:t>
      </w:r>
    </w:p>
    <w:p w:rsidR="00DD2ED6" w:rsidRPr="00DA15A4" w:rsidRDefault="00DD2ED6" w:rsidP="0056614E">
      <w:pPr>
        <w:pStyle w:val="ListParagraph"/>
        <w:numPr>
          <w:ilvl w:val="0"/>
          <w:numId w:val="2"/>
        </w:numPr>
        <w:spacing w:line="360" w:lineRule="auto"/>
        <w:jc w:val="both"/>
        <w:rPr>
          <w:rFonts w:ascii="Times New Roman" w:hAnsi="Times New Roman" w:cs="Times New Roman"/>
          <w:sz w:val="24"/>
          <w:szCs w:val="24"/>
          <w:shd w:val="clear" w:color="auto" w:fill="FFFFFF"/>
        </w:rPr>
      </w:pPr>
      <w:r w:rsidRPr="00DA15A4">
        <w:rPr>
          <w:rFonts w:ascii="Times New Roman" w:hAnsi="Times New Roman" w:cs="Times New Roman"/>
          <w:sz w:val="24"/>
          <w:szCs w:val="24"/>
          <w:shd w:val="clear" w:color="auto" w:fill="FFFFFF"/>
        </w:rPr>
        <w:t>Under what economic and political circumstanc</w:t>
      </w:r>
      <w:r w:rsidR="006C5201" w:rsidRPr="00DA15A4">
        <w:rPr>
          <w:rFonts w:ascii="Times New Roman" w:hAnsi="Times New Roman" w:cs="Times New Roman"/>
          <w:sz w:val="24"/>
          <w:szCs w:val="24"/>
          <w:shd w:val="clear" w:color="auto" w:fill="FFFFFF"/>
        </w:rPr>
        <w:t>es should Thailand create SWF</w:t>
      </w:r>
      <w:r w:rsidRPr="00DA15A4">
        <w:rPr>
          <w:rFonts w:ascii="Times New Roman" w:hAnsi="Times New Roman" w:cs="Times New Roman"/>
          <w:sz w:val="24"/>
          <w:szCs w:val="24"/>
          <w:shd w:val="clear" w:color="auto" w:fill="FFFFFF"/>
        </w:rPr>
        <w:t>?</w:t>
      </w:r>
    </w:p>
    <w:p w:rsidR="00A70124" w:rsidRPr="00DA15A4" w:rsidRDefault="00DA15A4" w:rsidP="0056614E">
      <w:pPr>
        <w:pStyle w:val="ListParagraph"/>
        <w:numPr>
          <w:ilvl w:val="0"/>
          <w:numId w:val="2"/>
        </w:num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Have</w:t>
      </w:r>
      <w:r w:rsidR="00475385">
        <w:rPr>
          <w:rFonts w:ascii="Times New Roman" w:hAnsi="Times New Roman" w:cs="Times New Roman"/>
          <w:sz w:val="24"/>
          <w:szCs w:val="24"/>
          <w:shd w:val="clear" w:color="auto" w:fill="FFFFFF"/>
        </w:rPr>
        <w:t xml:space="preserve"> Thai economic indexes</w:t>
      </w:r>
      <w:r w:rsidR="00A70124" w:rsidRPr="00DA15A4">
        <w:rPr>
          <w:rFonts w:ascii="Times New Roman" w:hAnsi="Times New Roman" w:cs="Times New Roman"/>
          <w:sz w:val="24"/>
          <w:szCs w:val="24"/>
          <w:shd w:val="clear" w:color="auto" w:fill="FFFFFF"/>
        </w:rPr>
        <w:t xml:space="preserve"> reached the internation</w:t>
      </w:r>
      <w:r w:rsidR="00475385">
        <w:rPr>
          <w:rFonts w:ascii="Times New Roman" w:hAnsi="Times New Roman" w:cs="Times New Roman"/>
          <w:sz w:val="24"/>
          <w:szCs w:val="24"/>
          <w:shd w:val="clear" w:color="auto" w:fill="FFFFFF"/>
        </w:rPr>
        <w:t>al standard in establishing SWF</w:t>
      </w:r>
      <w:r w:rsidR="00A70124" w:rsidRPr="00DA15A4">
        <w:rPr>
          <w:rFonts w:ascii="Times New Roman" w:hAnsi="Times New Roman" w:cs="Times New Roman"/>
          <w:sz w:val="24"/>
          <w:szCs w:val="24"/>
          <w:shd w:val="clear" w:color="auto" w:fill="FFFFFF"/>
        </w:rPr>
        <w:t xml:space="preserve"> yet?</w:t>
      </w:r>
    </w:p>
    <w:p w:rsidR="00E717FE" w:rsidRPr="00DA15A4" w:rsidRDefault="00475385" w:rsidP="0056614E">
      <w:pPr>
        <w:pStyle w:val="ListParagraph"/>
        <w:numPr>
          <w:ilvl w:val="0"/>
          <w:numId w:val="2"/>
        </w:num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How should the</w:t>
      </w:r>
      <w:r w:rsidR="00E717FE" w:rsidRPr="00DA15A4">
        <w:rPr>
          <w:rFonts w:ascii="Times New Roman" w:hAnsi="Times New Roman" w:cs="Times New Roman"/>
          <w:sz w:val="24"/>
          <w:szCs w:val="24"/>
          <w:shd w:val="clear" w:color="auto" w:fill="FFFFFF"/>
        </w:rPr>
        <w:t xml:space="preserve"> SWF be structured to meet its objectives?</w:t>
      </w:r>
    </w:p>
    <w:p w:rsidR="00D41F6E" w:rsidRDefault="00D41F6E" w:rsidP="0056614E">
      <w:pPr>
        <w:pStyle w:val="ListParagraph"/>
        <w:numPr>
          <w:ilvl w:val="0"/>
          <w:numId w:val="2"/>
        </w:numPr>
        <w:spacing w:line="360" w:lineRule="auto"/>
        <w:jc w:val="both"/>
        <w:rPr>
          <w:rFonts w:ascii="Times New Roman" w:hAnsi="Times New Roman" w:cs="Times New Roman"/>
          <w:sz w:val="24"/>
          <w:szCs w:val="24"/>
          <w:shd w:val="clear" w:color="auto" w:fill="FFFFFF"/>
        </w:rPr>
      </w:pPr>
      <w:r w:rsidRPr="00DA15A4">
        <w:rPr>
          <w:rFonts w:ascii="Times New Roman" w:hAnsi="Times New Roman" w:cs="Times New Roman"/>
          <w:sz w:val="24"/>
          <w:szCs w:val="24"/>
          <w:shd w:val="clear" w:color="auto" w:fill="FFFFFF"/>
        </w:rPr>
        <w:t>What conditions contribute to the success and the failure of SWFs?</w:t>
      </w:r>
    </w:p>
    <w:p w:rsidR="00A276B8" w:rsidRDefault="00A276B8" w:rsidP="00A276B8">
      <w:pPr>
        <w:pStyle w:val="ListParagraph"/>
        <w:spacing w:line="360" w:lineRule="auto"/>
        <w:jc w:val="both"/>
        <w:rPr>
          <w:rFonts w:ascii="Times New Roman" w:hAnsi="Times New Roman" w:cs="Times New Roman"/>
          <w:sz w:val="24"/>
          <w:szCs w:val="24"/>
          <w:shd w:val="clear" w:color="auto" w:fill="FFFFFF"/>
        </w:rPr>
      </w:pPr>
    </w:p>
    <w:p w:rsidR="00794127" w:rsidRPr="00DA15A4" w:rsidRDefault="0044608A" w:rsidP="0056614E">
      <w:pPr>
        <w:spacing w:line="360" w:lineRule="auto"/>
        <w:jc w:val="both"/>
        <w:rPr>
          <w:rFonts w:ascii="Times New Roman" w:hAnsi="Times New Roman" w:cs="Times New Roman"/>
          <w:b/>
          <w:bCs/>
          <w:sz w:val="24"/>
          <w:szCs w:val="24"/>
        </w:rPr>
      </w:pPr>
      <w:r w:rsidRPr="00DA15A4">
        <w:rPr>
          <w:rFonts w:ascii="Times New Roman" w:hAnsi="Times New Roman" w:cs="Times New Roman"/>
          <w:b/>
          <w:bCs/>
          <w:sz w:val="24"/>
          <w:szCs w:val="24"/>
        </w:rPr>
        <w:t>Research Objective</w:t>
      </w:r>
      <w:r w:rsidR="006B2163" w:rsidRPr="00DA15A4">
        <w:rPr>
          <w:rFonts w:ascii="Times New Roman" w:hAnsi="Times New Roman" w:cs="Times New Roman"/>
          <w:b/>
          <w:bCs/>
          <w:sz w:val="24"/>
          <w:szCs w:val="24"/>
        </w:rPr>
        <w:t>s</w:t>
      </w:r>
    </w:p>
    <w:p w:rsidR="00D41F6E" w:rsidRPr="007E45D4" w:rsidRDefault="00D41F6E" w:rsidP="007E45D4">
      <w:pPr>
        <w:pStyle w:val="ListParagraph"/>
        <w:numPr>
          <w:ilvl w:val="0"/>
          <w:numId w:val="3"/>
        </w:numPr>
        <w:spacing w:line="360" w:lineRule="auto"/>
        <w:jc w:val="both"/>
        <w:rPr>
          <w:rFonts w:ascii="Times New Roman" w:hAnsi="Times New Roman" w:cs="Times New Roman"/>
          <w:sz w:val="24"/>
          <w:szCs w:val="24"/>
        </w:rPr>
      </w:pPr>
      <w:r w:rsidRPr="007E45D4">
        <w:rPr>
          <w:rFonts w:ascii="Times New Roman" w:hAnsi="Times New Roman" w:cs="Times New Roman"/>
          <w:sz w:val="24"/>
          <w:szCs w:val="24"/>
        </w:rPr>
        <w:t>A</w:t>
      </w:r>
      <w:r w:rsidR="003E4F94" w:rsidRPr="007E45D4">
        <w:rPr>
          <w:rFonts w:ascii="Times New Roman" w:hAnsi="Times New Roman" w:cs="Times New Roman"/>
          <w:sz w:val="24"/>
          <w:szCs w:val="24"/>
        </w:rPr>
        <w:t>ddress</w:t>
      </w:r>
      <w:r w:rsidR="00B45418" w:rsidRPr="007E45D4">
        <w:rPr>
          <w:rFonts w:ascii="Times New Roman" w:hAnsi="Times New Roman" w:cs="Times New Roman"/>
          <w:sz w:val="24"/>
          <w:szCs w:val="24"/>
        </w:rPr>
        <w:t xml:space="preserve"> on</w:t>
      </w:r>
      <w:r w:rsidR="003E4F94" w:rsidRPr="007E45D4">
        <w:rPr>
          <w:rFonts w:ascii="Times New Roman" w:hAnsi="Times New Roman" w:cs="Times New Roman"/>
          <w:sz w:val="24"/>
          <w:szCs w:val="24"/>
        </w:rPr>
        <w:t xml:space="preserve"> the factors determining the success and failure of SWFs</w:t>
      </w:r>
      <w:r w:rsidR="00E717FE" w:rsidRPr="007E45D4">
        <w:rPr>
          <w:rFonts w:ascii="Times New Roman" w:hAnsi="Times New Roman" w:cs="Times New Roman"/>
          <w:sz w:val="24"/>
          <w:szCs w:val="24"/>
        </w:rPr>
        <w:t xml:space="preserve"> </w:t>
      </w:r>
    </w:p>
    <w:p w:rsidR="003E4F94" w:rsidRPr="007E45D4" w:rsidRDefault="00B45418" w:rsidP="007E45D4">
      <w:pPr>
        <w:pStyle w:val="ListParagraph"/>
        <w:numPr>
          <w:ilvl w:val="0"/>
          <w:numId w:val="3"/>
        </w:numPr>
        <w:spacing w:line="360" w:lineRule="auto"/>
        <w:jc w:val="both"/>
        <w:rPr>
          <w:rFonts w:ascii="Times New Roman" w:hAnsi="Times New Roman" w:cs="Times New Roman"/>
          <w:sz w:val="24"/>
          <w:szCs w:val="24"/>
        </w:rPr>
      </w:pPr>
      <w:r w:rsidRPr="007E45D4">
        <w:rPr>
          <w:rFonts w:ascii="Times New Roman" w:hAnsi="Times New Roman" w:cs="Times New Roman"/>
          <w:sz w:val="24"/>
          <w:szCs w:val="24"/>
        </w:rPr>
        <w:t xml:space="preserve">Evaluate </w:t>
      </w:r>
      <w:r w:rsidR="00ED6A2A" w:rsidRPr="007E45D4">
        <w:rPr>
          <w:rFonts w:ascii="Times New Roman" w:hAnsi="Times New Roman" w:cs="Times New Roman"/>
          <w:sz w:val="24"/>
          <w:szCs w:val="24"/>
        </w:rPr>
        <w:t>the pros and cons of SWFs</w:t>
      </w:r>
    </w:p>
    <w:p w:rsidR="00ED6A2A" w:rsidRDefault="00B45418" w:rsidP="007E45D4">
      <w:pPr>
        <w:pStyle w:val="ListParagraph"/>
        <w:numPr>
          <w:ilvl w:val="0"/>
          <w:numId w:val="3"/>
        </w:numPr>
        <w:spacing w:line="360" w:lineRule="auto"/>
        <w:jc w:val="both"/>
        <w:rPr>
          <w:rFonts w:ascii="Times New Roman" w:hAnsi="Times New Roman" w:cs="Times New Roman"/>
          <w:sz w:val="24"/>
          <w:szCs w:val="24"/>
        </w:rPr>
      </w:pPr>
      <w:r w:rsidRPr="007E45D4">
        <w:rPr>
          <w:rFonts w:ascii="Times New Roman" w:hAnsi="Times New Roman" w:cs="Times New Roman"/>
          <w:sz w:val="24"/>
          <w:szCs w:val="24"/>
        </w:rPr>
        <w:t xml:space="preserve">Identify the opportunities and threats of SWF on Thailand </w:t>
      </w:r>
    </w:p>
    <w:p w:rsidR="00A276B8" w:rsidRPr="007E45D4" w:rsidRDefault="00A276B8" w:rsidP="00A276B8">
      <w:pPr>
        <w:pStyle w:val="ListParagraph"/>
        <w:spacing w:line="360" w:lineRule="auto"/>
        <w:jc w:val="both"/>
        <w:rPr>
          <w:rFonts w:ascii="Times New Roman" w:hAnsi="Times New Roman" w:cs="Times New Roman"/>
          <w:sz w:val="24"/>
          <w:szCs w:val="24"/>
        </w:rPr>
      </w:pPr>
    </w:p>
    <w:p w:rsidR="00794127" w:rsidRPr="00DA15A4" w:rsidRDefault="00154E08" w:rsidP="0056614E">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Literature R</w:t>
      </w:r>
      <w:r w:rsidR="00C97B50">
        <w:rPr>
          <w:rFonts w:ascii="Times New Roman" w:hAnsi="Times New Roman" w:cs="Times New Roman"/>
          <w:b/>
          <w:bCs/>
          <w:sz w:val="24"/>
          <w:szCs w:val="24"/>
        </w:rPr>
        <w:t>eview</w:t>
      </w:r>
    </w:p>
    <w:p w:rsidR="00657B21" w:rsidRPr="00DA15A4" w:rsidRDefault="00F95CE2" w:rsidP="0056614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is </w:t>
      </w:r>
      <w:r w:rsidR="006065BC" w:rsidRPr="00DA15A4">
        <w:rPr>
          <w:rFonts w:ascii="Times New Roman" w:hAnsi="Times New Roman" w:cs="Times New Roman"/>
          <w:sz w:val="24"/>
          <w:szCs w:val="24"/>
        </w:rPr>
        <w:t>limited source of</w:t>
      </w:r>
      <w:r w:rsidR="006B2163" w:rsidRPr="00DA15A4">
        <w:rPr>
          <w:rFonts w:ascii="Times New Roman" w:hAnsi="Times New Roman" w:cs="Times New Roman"/>
          <w:sz w:val="24"/>
          <w:szCs w:val="24"/>
        </w:rPr>
        <w:t xml:space="preserve"> research</w:t>
      </w:r>
      <w:r w:rsidR="006C5201" w:rsidRPr="00DA15A4">
        <w:rPr>
          <w:rFonts w:ascii="Times New Roman" w:hAnsi="Times New Roman" w:cs="Times New Roman"/>
          <w:sz w:val="24"/>
          <w:szCs w:val="24"/>
        </w:rPr>
        <w:t>es</w:t>
      </w:r>
      <w:r>
        <w:rPr>
          <w:rFonts w:ascii="Times New Roman" w:hAnsi="Times New Roman" w:cs="Times New Roman"/>
          <w:sz w:val="24"/>
          <w:szCs w:val="24"/>
        </w:rPr>
        <w:t xml:space="preserve"> on Thai SWF</w:t>
      </w:r>
      <w:r w:rsidR="006065BC" w:rsidRPr="00DA15A4">
        <w:rPr>
          <w:rFonts w:ascii="Times New Roman" w:hAnsi="Times New Roman" w:cs="Times New Roman"/>
          <w:sz w:val="24"/>
          <w:szCs w:val="24"/>
        </w:rPr>
        <w:t xml:space="preserve">. Therefore, </w:t>
      </w:r>
      <w:r w:rsidR="006B2163" w:rsidRPr="00DA15A4">
        <w:rPr>
          <w:rFonts w:ascii="Times New Roman" w:hAnsi="Times New Roman" w:cs="Times New Roman"/>
          <w:sz w:val="24"/>
          <w:szCs w:val="24"/>
        </w:rPr>
        <w:t>the author</w:t>
      </w:r>
      <w:r>
        <w:rPr>
          <w:rFonts w:ascii="Times New Roman" w:hAnsi="Times New Roman" w:cs="Times New Roman"/>
          <w:sz w:val="24"/>
          <w:szCs w:val="24"/>
        </w:rPr>
        <w:t xml:space="preserve"> will mainly employ </w:t>
      </w:r>
      <w:r w:rsidR="006065BC" w:rsidRPr="00DA15A4">
        <w:rPr>
          <w:rFonts w:ascii="Times New Roman" w:hAnsi="Times New Roman" w:cs="Times New Roman"/>
          <w:sz w:val="24"/>
          <w:szCs w:val="24"/>
        </w:rPr>
        <w:t xml:space="preserve">international </w:t>
      </w:r>
      <w:r w:rsidR="00475385">
        <w:rPr>
          <w:rFonts w:ascii="Times New Roman" w:hAnsi="Times New Roman" w:cs="Times New Roman"/>
          <w:sz w:val="24"/>
          <w:szCs w:val="24"/>
        </w:rPr>
        <w:t xml:space="preserve">research </w:t>
      </w:r>
      <w:r w:rsidR="006065BC" w:rsidRPr="00DA15A4">
        <w:rPr>
          <w:rFonts w:ascii="Times New Roman" w:hAnsi="Times New Roman" w:cs="Times New Roman"/>
          <w:sz w:val="24"/>
          <w:szCs w:val="24"/>
        </w:rPr>
        <w:t>papers</w:t>
      </w:r>
      <w:r w:rsidR="00475385">
        <w:rPr>
          <w:rFonts w:ascii="Times New Roman" w:hAnsi="Times New Roman" w:cs="Times New Roman"/>
          <w:sz w:val="24"/>
          <w:szCs w:val="24"/>
        </w:rPr>
        <w:t xml:space="preserve"> as references</w:t>
      </w:r>
      <w:r w:rsidR="006065BC" w:rsidRPr="00DA15A4">
        <w:rPr>
          <w:rFonts w:ascii="Times New Roman" w:hAnsi="Times New Roman" w:cs="Times New Roman"/>
          <w:sz w:val="24"/>
          <w:szCs w:val="24"/>
        </w:rPr>
        <w:t xml:space="preserve">. Some of the researches </w:t>
      </w:r>
      <w:r w:rsidR="006C5201" w:rsidRPr="00DA15A4">
        <w:rPr>
          <w:rFonts w:ascii="Times New Roman" w:hAnsi="Times New Roman" w:cs="Times New Roman"/>
          <w:sz w:val="24"/>
          <w:szCs w:val="24"/>
        </w:rPr>
        <w:t>share common agreement</w:t>
      </w:r>
      <w:r w:rsidR="006065BC" w:rsidRPr="00DA15A4">
        <w:rPr>
          <w:rFonts w:ascii="Times New Roman" w:hAnsi="Times New Roman" w:cs="Times New Roman"/>
          <w:sz w:val="24"/>
          <w:szCs w:val="24"/>
        </w:rPr>
        <w:t xml:space="preserve"> while some are in conflict. However, </w:t>
      </w:r>
      <w:r w:rsidR="003E5368" w:rsidRPr="00DA15A4">
        <w:rPr>
          <w:rFonts w:ascii="Times New Roman" w:hAnsi="Times New Roman" w:cs="Times New Roman"/>
          <w:sz w:val="24"/>
          <w:szCs w:val="24"/>
        </w:rPr>
        <w:t xml:space="preserve">SWF is </w:t>
      </w:r>
      <w:r w:rsidR="00287936">
        <w:rPr>
          <w:rFonts w:ascii="Times New Roman" w:hAnsi="Times New Roman" w:cs="Times New Roman"/>
          <w:sz w:val="24"/>
          <w:szCs w:val="24"/>
        </w:rPr>
        <w:t xml:space="preserve">commonly </w:t>
      </w:r>
      <w:r w:rsidR="007C38CF" w:rsidRPr="00DA15A4">
        <w:rPr>
          <w:rFonts w:ascii="Times New Roman" w:hAnsi="Times New Roman" w:cs="Times New Roman"/>
          <w:sz w:val="24"/>
          <w:szCs w:val="24"/>
        </w:rPr>
        <w:t>defined as</w:t>
      </w:r>
      <w:r w:rsidR="00657B21" w:rsidRPr="00DA15A4">
        <w:rPr>
          <w:rFonts w:ascii="Times New Roman" w:hAnsi="Times New Roman" w:cs="Times New Roman"/>
          <w:sz w:val="24"/>
          <w:szCs w:val="24"/>
        </w:rPr>
        <w:t xml:space="preserve"> state-own investment fund </w:t>
      </w:r>
      <w:r w:rsidR="007C38CF" w:rsidRPr="00DA15A4">
        <w:rPr>
          <w:rFonts w:ascii="Times New Roman" w:hAnsi="Times New Roman" w:cs="Times New Roman"/>
          <w:sz w:val="24"/>
          <w:szCs w:val="24"/>
        </w:rPr>
        <w:t xml:space="preserve">supported by foreign </w:t>
      </w:r>
      <w:r w:rsidR="009970BB" w:rsidRPr="00DA15A4">
        <w:rPr>
          <w:rFonts w:ascii="Times New Roman" w:hAnsi="Times New Roman" w:cs="Times New Roman"/>
          <w:sz w:val="24"/>
          <w:szCs w:val="24"/>
        </w:rPr>
        <w:t>exchange assets</w:t>
      </w:r>
      <w:r w:rsidR="00287936">
        <w:rPr>
          <w:rFonts w:ascii="Times New Roman" w:hAnsi="Times New Roman" w:cs="Times New Roman"/>
          <w:sz w:val="24"/>
          <w:szCs w:val="24"/>
        </w:rPr>
        <w:t xml:space="preserve">. </w:t>
      </w:r>
      <w:r w:rsidR="00745D06" w:rsidRPr="00DA15A4">
        <w:rPr>
          <w:rFonts w:ascii="Times New Roman" w:hAnsi="Times New Roman" w:cs="Times New Roman"/>
          <w:sz w:val="24"/>
          <w:szCs w:val="24"/>
        </w:rPr>
        <w:t xml:space="preserve">Andrew </w:t>
      </w:r>
      <w:proofErr w:type="spellStart"/>
      <w:r w:rsidR="00745D06" w:rsidRPr="00DA15A4">
        <w:rPr>
          <w:rFonts w:ascii="Times New Roman" w:hAnsi="Times New Roman" w:cs="Times New Roman"/>
          <w:sz w:val="24"/>
          <w:szCs w:val="24"/>
        </w:rPr>
        <w:t>Ang</w:t>
      </w:r>
      <w:proofErr w:type="spellEnd"/>
      <w:r w:rsidR="00745D06" w:rsidRPr="00DA15A4">
        <w:rPr>
          <w:rFonts w:ascii="Times New Roman" w:hAnsi="Times New Roman" w:cs="Times New Roman"/>
          <w:sz w:val="24"/>
          <w:szCs w:val="24"/>
        </w:rPr>
        <w:t xml:space="preserve"> examine</w:t>
      </w:r>
      <w:r w:rsidR="00BB2578" w:rsidRPr="00DA15A4">
        <w:rPr>
          <w:rFonts w:ascii="Times New Roman" w:hAnsi="Times New Roman" w:cs="Times New Roman"/>
          <w:sz w:val="24"/>
          <w:szCs w:val="24"/>
        </w:rPr>
        <w:t>s</w:t>
      </w:r>
      <w:r w:rsidR="00946D1A" w:rsidRPr="00DA15A4">
        <w:rPr>
          <w:rFonts w:ascii="Times New Roman" w:hAnsi="Times New Roman" w:cs="Times New Roman"/>
          <w:sz w:val="24"/>
          <w:szCs w:val="24"/>
        </w:rPr>
        <w:t xml:space="preserve"> </w:t>
      </w:r>
      <w:r w:rsidR="00745D06" w:rsidRPr="00DA15A4">
        <w:rPr>
          <w:rFonts w:ascii="Times New Roman" w:hAnsi="Times New Roman" w:cs="Times New Roman"/>
          <w:sz w:val="24"/>
          <w:szCs w:val="24"/>
        </w:rPr>
        <w:t>four benchmark</w:t>
      </w:r>
      <w:r w:rsidR="00275080" w:rsidRPr="00DA15A4">
        <w:rPr>
          <w:rFonts w:ascii="Times New Roman" w:hAnsi="Times New Roman" w:cs="Times New Roman"/>
          <w:sz w:val="24"/>
          <w:szCs w:val="24"/>
        </w:rPr>
        <w:t>s</w:t>
      </w:r>
      <w:r w:rsidR="00745D06" w:rsidRPr="00DA15A4">
        <w:rPr>
          <w:rFonts w:ascii="Times New Roman" w:hAnsi="Times New Roman" w:cs="Times New Roman"/>
          <w:sz w:val="24"/>
          <w:szCs w:val="24"/>
        </w:rPr>
        <w:t xml:space="preserve"> that </w:t>
      </w:r>
      <w:r w:rsidR="00275080" w:rsidRPr="00DA15A4">
        <w:rPr>
          <w:rFonts w:ascii="Times New Roman" w:hAnsi="Times New Roman" w:cs="Times New Roman"/>
          <w:sz w:val="24"/>
          <w:szCs w:val="24"/>
        </w:rPr>
        <w:t xml:space="preserve">are </w:t>
      </w:r>
      <w:r w:rsidR="00745D06" w:rsidRPr="00DA15A4">
        <w:rPr>
          <w:rFonts w:ascii="Times New Roman" w:hAnsi="Times New Roman" w:cs="Times New Roman"/>
          <w:sz w:val="24"/>
          <w:szCs w:val="24"/>
        </w:rPr>
        <w:t>need</w:t>
      </w:r>
      <w:r w:rsidR="00275080" w:rsidRPr="00DA15A4">
        <w:rPr>
          <w:rFonts w:ascii="Times New Roman" w:hAnsi="Times New Roman" w:cs="Times New Roman"/>
          <w:sz w:val="24"/>
          <w:szCs w:val="24"/>
        </w:rPr>
        <w:t>ed</w:t>
      </w:r>
      <w:r w:rsidR="00745D06" w:rsidRPr="00DA15A4">
        <w:rPr>
          <w:rFonts w:ascii="Times New Roman" w:hAnsi="Times New Roman" w:cs="Times New Roman"/>
          <w:sz w:val="24"/>
          <w:szCs w:val="24"/>
        </w:rPr>
        <w:t xml:space="preserve"> to take into account before establishing SWFs</w:t>
      </w:r>
      <w:r w:rsidR="0031450A" w:rsidRPr="00DA15A4">
        <w:rPr>
          <w:rFonts w:ascii="Times New Roman" w:hAnsi="Times New Roman" w:cs="Times New Roman"/>
          <w:sz w:val="24"/>
          <w:szCs w:val="24"/>
        </w:rPr>
        <w:t xml:space="preserve">. </w:t>
      </w:r>
      <w:r w:rsidR="00287936">
        <w:rPr>
          <w:rFonts w:ascii="Times New Roman" w:hAnsi="Times New Roman" w:cs="Times New Roman"/>
          <w:sz w:val="24"/>
          <w:szCs w:val="24"/>
        </w:rPr>
        <w:t>T</w:t>
      </w:r>
      <w:r w:rsidR="0031450A" w:rsidRPr="00DA15A4">
        <w:rPr>
          <w:rFonts w:ascii="Times New Roman" w:hAnsi="Times New Roman" w:cs="Times New Roman"/>
          <w:sz w:val="24"/>
          <w:szCs w:val="24"/>
        </w:rPr>
        <w:t>he strict ru</w:t>
      </w:r>
      <w:r w:rsidR="00287936">
        <w:rPr>
          <w:rFonts w:ascii="Times New Roman" w:hAnsi="Times New Roman" w:cs="Times New Roman"/>
          <w:sz w:val="24"/>
          <w:szCs w:val="24"/>
        </w:rPr>
        <w:t>le of SWFs spending must be set and</w:t>
      </w:r>
      <w:r w:rsidR="0031450A" w:rsidRPr="00DA15A4">
        <w:rPr>
          <w:rFonts w:ascii="Times New Roman" w:hAnsi="Times New Roman" w:cs="Times New Roman"/>
          <w:sz w:val="24"/>
          <w:szCs w:val="24"/>
        </w:rPr>
        <w:t xml:space="preserve"> the implicit short-term liability of state should not be significant. The previous two component</w:t>
      </w:r>
      <w:r w:rsidR="0056614E" w:rsidRPr="00DA15A4">
        <w:rPr>
          <w:rFonts w:ascii="Times New Roman" w:hAnsi="Times New Roman" w:cs="Times New Roman"/>
          <w:sz w:val="24"/>
          <w:szCs w:val="24"/>
        </w:rPr>
        <w:t>s are</w:t>
      </w:r>
      <w:r w:rsidR="0031450A" w:rsidRPr="00DA15A4">
        <w:rPr>
          <w:rFonts w:ascii="Times New Roman" w:hAnsi="Times New Roman" w:cs="Times New Roman"/>
          <w:sz w:val="24"/>
          <w:szCs w:val="24"/>
        </w:rPr>
        <w:t xml:space="preserve"> the mandatory </w:t>
      </w:r>
      <w:r w:rsidR="00275080" w:rsidRPr="00DA15A4">
        <w:rPr>
          <w:rFonts w:ascii="Times New Roman" w:hAnsi="Times New Roman" w:cs="Times New Roman"/>
          <w:sz w:val="24"/>
          <w:szCs w:val="24"/>
        </w:rPr>
        <w:t>benchmarks which are needed</w:t>
      </w:r>
      <w:r w:rsidR="0031450A" w:rsidRPr="00DA15A4">
        <w:rPr>
          <w:rFonts w:ascii="Times New Roman" w:hAnsi="Times New Roman" w:cs="Times New Roman"/>
          <w:sz w:val="24"/>
          <w:szCs w:val="24"/>
        </w:rPr>
        <w:t xml:space="preserve"> to be fulfilled before moving on to the next two benchmarks. The third factor is the integrated policies as well as </w:t>
      </w:r>
      <w:r w:rsidR="0031450A" w:rsidRPr="00DA15A4">
        <w:rPr>
          <w:rFonts w:ascii="Times New Roman" w:hAnsi="Times New Roman" w:cs="Times New Roman"/>
          <w:sz w:val="24"/>
          <w:szCs w:val="24"/>
        </w:rPr>
        <w:lastRenderedPageBreak/>
        <w:t>government structure of SWF</w:t>
      </w:r>
      <w:r w:rsidR="004558DE" w:rsidRPr="00DA15A4">
        <w:rPr>
          <w:rFonts w:ascii="Times New Roman" w:hAnsi="Times New Roman" w:cs="Times New Roman"/>
          <w:sz w:val="24"/>
          <w:szCs w:val="24"/>
        </w:rPr>
        <w:t xml:space="preserve"> and</w:t>
      </w:r>
      <w:r w:rsidR="00B45418" w:rsidRPr="00DA15A4">
        <w:rPr>
          <w:rFonts w:ascii="Times New Roman" w:hAnsi="Times New Roman" w:cs="Times New Roman"/>
          <w:sz w:val="24"/>
          <w:szCs w:val="24"/>
        </w:rPr>
        <w:t xml:space="preserve"> lastly,</w:t>
      </w:r>
      <w:r w:rsidR="004558DE" w:rsidRPr="00DA15A4">
        <w:rPr>
          <w:rFonts w:ascii="Times New Roman" w:hAnsi="Times New Roman" w:cs="Times New Roman"/>
          <w:sz w:val="24"/>
          <w:szCs w:val="24"/>
        </w:rPr>
        <w:t xml:space="preserve"> the long-run investment</w:t>
      </w:r>
      <w:r w:rsidR="00B45418" w:rsidRPr="00DA15A4">
        <w:rPr>
          <w:rFonts w:ascii="Times New Roman" w:hAnsi="Times New Roman" w:cs="Times New Roman"/>
          <w:sz w:val="24"/>
          <w:szCs w:val="24"/>
        </w:rPr>
        <w:t xml:space="preserve"> horizon</w:t>
      </w:r>
      <w:r w:rsidR="004558DE" w:rsidRPr="00DA15A4">
        <w:rPr>
          <w:rFonts w:ascii="Times New Roman" w:hAnsi="Times New Roman" w:cs="Times New Roman"/>
          <w:sz w:val="24"/>
          <w:szCs w:val="24"/>
        </w:rPr>
        <w:t xml:space="preserve"> to ensure that the wealth will be transferred into the future.</w:t>
      </w:r>
      <w:r w:rsidR="009970BB" w:rsidRPr="00DA15A4">
        <w:rPr>
          <w:rFonts w:ascii="Times New Roman" w:hAnsi="Times New Roman" w:cs="Times New Roman"/>
          <w:sz w:val="24"/>
          <w:szCs w:val="24"/>
        </w:rPr>
        <w:t xml:space="preserve"> </w:t>
      </w:r>
      <w:r w:rsidR="0031450A" w:rsidRPr="00DA15A4">
        <w:rPr>
          <w:rFonts w:ascii="Times New Roman" w:hAnsi="Times New Roman" w:cs="Times New Roman"/>
          <w:sz w:val="24"/>
          <w:szCs w:val="24"/>
        </w:rPr>
        <w:t xml:space="preserve"> </w:t>
      </w:r>
      <w:r w:rsidR="00745D06" w:rsidRPr="00DA15A4">
        <w:rPr>
          <w:rFonts w:ascii="Times New Roman" w:hAnsi="Times New Roman" w:cs="Times New Roman"/>
          <w:sz w:val="24"/>
          <w:szCs w:val="24"/>
        </w:rPr>
        <w:t xml:space="preserve"> </w:t>
      </w:r>
    </w:p>
    <w:p w:rsidR="00A933AB" w:rsidRPr="00DA15A4" w:rsidRDefault="009970BB" w:rsidP="0056614E">
      <w:pPr>
        <w:spacing w:line="360" w:lineRule="auto"/>
        <w:jc w:val="both"/>
        <w:rPr>
          <w:rFonts w:ascii="Times New Roman" w:hAnsi="Times New Roman" w:cs="Times New Roman"/>
          <w:sz w:val="24"/>
          <w:szCs w:val="24"/>
        </w:rPr>
      </w:pPr>
      <w:r w:rsidRPr="00DA15A4">
        <w:rPr>
          <w:rFonts w:ascii="Times New Roman" w:hAnsi="Times New Roman" w:cs="Times New Roman"/>
          <w:sz w:val="24"/>
          <w:szCs w:val="24"/>
        </w:rPr>
        <w:t xml:space="preserve">In the study of </w:t>
      </w:r>
      <w:proofErr w:type="spellStart"/>
      <w:r w:rsidRPr="00DA15A4">
        <w:rPr>
          <w:rFonts w:ascii="Times New Roman" w:hAnsi="Times New Roman" w:cs="Times New Roman"/>
          <w:sz w:val="24"/>
          <w:szCs w:val="24"/>
        </w:rPr>
        <w:t>Rumu</w:t>
      </w:r>
      <w:proofErr w:type="spellEnd"/>
      <w:r w:rsidRPr="00DA15A4">
        <w:rPr>
          <w:rFonts w:ascii="Times New Roman" w:hAnsi="Times New Roman" w:cs="Times New Roman"/>
          <w:sz w:val="24"/>
          <w:szCs w:val="24"/>
        </w:rPr>
        <w:t xml:space="preserve"> </w:t>
      </w:r>
      <w:proofErr w:type="spellStart"/>
      <w:r w:rsidRPr="00DA15A4">
        <w:rPr>
          <w:rFonts w:ascii="Times New Roman" w:hAnsi="Times New Roman" w:cs="Times New Roman"/>
          <w:sz w:val="24"/>
          <w:szCs w:val="24"/>
        </w:rPr>
        <w:t>Sarkar</w:t>
      </w:r>
      <w:proofErr w:type="spellEnd"/>
      <w:r w:rsidRPr="00DA15A4">
        <w:rPr>
          <w:rFonts w:ascii="Times New Roman" w:hAnsi="Times New Roman" w:cs="Times New Roman"/>
          <w:sz w:val="24"/>
          <w:szCs w:val="24"/>
        </w:rPr>
        <w:t>, it evaluate</w:t>
      </w:r>
      <w:r w:rsidR="006F0A7E" w:rsidRPr="00DA15A4">
        <w:rPr>
          <w:rFonts w:ascii="Times New Roman" w:hAnsi="Times New Roman" w:cs="Times New Roman"/>
          <w:sz w:val="24"/>
          <w:szCs w:val="24"/>
        </w:rPr>
        <w:t>s</w:t>
      </w:r>
      <w:r w:rsidRPr="00DA15A4">
        <w:rPr>
          <w:rFonts w:ascii="Times New Roman" w:hAnsi="Times New Roman" w:cs="Times New Roman"/>
          <w:sz w:val="24"/>
          <w:szCs w:val="24"/>
        </w:rPr>
        <w:t xml:space="preserve"> the use of SWF as a developing</w:t>
      </w:r>
      <w:r w:rsidR="00BB2578" w:rsidRPr="00DA15A4">
        <w:rPr>
          <w:rFonts w:ascii="Times New Roman" w:hAnsi="Times New Roman" w:cs="Times New Roman"/>
          <w:sz w:val="24"/>
          <w:szCs w:val="24"/>
        </w:rPr>
        <w:t xml:space="preserve"> tool for ASEAN</w:t>
      </w:r>
      <w:r w:rsidRPr="00DA15A4">
        <w:rPr>
          <w:rFonts w:ascii="Times New Roman" w:hAnsi="Times New Roman" w:cs="Times New Roman"/>
          <w:sz w:val="24"/>
          <w:szCs w:val="24"/>
        </w:rPr>
        <w:t xml:space="preserve"> nations. </w:t>
      </w:r>
      <w:r w:rsidR="00A92B96" w:rsidRPr="00DA15A4">
        <w:rPr>
          <w:rFonts w:ascii="Times New Roman" w:hAnsi="Times New Roman" w:cs="Times New Roman"/>
          <w:sz w:val="24"/>
          <w:szCs w:val="24"/>
        </w:rPr>
        <w:t xml:space="preserve">According to IMF </w:t>
      </w:r>
      <w:r w:rsidR="00BB2578" w:rsidRPr="00DA15A4">
        <w:rPr>
          <w:rFonts w:ascii="Times New Roman" w:hAnsi="Times New Roman" w:cs="Times New Roman"/>
          <w:sz w:val="24"/>
          <w:szCs w:val="24"/>
        </w:rPr>
        <w:t>guidelines</w:t>
      </w:r>
      <w:r w:rsidR="00A92B96" w:rsidRPr="00DA15A4">
        <w:rPr>
          <w:rFonts w:ascii="Times New Roman" w:hAnsi="Times New Roman" w:cs="Times New Roman"/>
          <w:sz w:val="24"/>
          <w:szCs w:val="24"/>
        </w:rPr>
        <w:t>, in order to set SWF, two condition</w:t>
      </w:r>
      <w:r w:rsidR="00BB2578" w:rsidRPr="00DA15A4">
        <w:rPr>
          <w:rFonts w:ascii="Times New Roman" w:hAnsi="Times New Roman" w:cs="Times New Roman"/>
          <w:sz w:val="24"/>
          <w:szCs w:val="24"/>
        </w:rPr>
        <w:t>s</w:t>
      </w:r>
      <w:r w:rsidR="00A92B96" w:rsidRPr="00DA15A4">
        <w:rPr>
          <w:rFonts w:ascii="Times New Roman" w:hAnsi="Times New Roman" w:cs="Times New Roman"/>
          <w:sz w:val="24"/>
          <w:szCs w:val="24"/>
        </w:rPr>
        <w:t xml:space="preserve"> </w:t>
      </w:r>
      <w:r w:rsidR="00287936">
        <w:rPr>
          <w:rFonts w:ascii="Times New Roman" w:hAnsi="Times New Roman" w:cs="Times New Roman"/>
          <w:sz w:val="24"/>
          <w:szCs w:val="24"/>
        </w:rPr>
        <w:t>are required</w:t>
      </w:r>
      <w:r w:rsidR="00A92B96" w:rsidRPr="00DA15A4">
        <w:rPr>
          <w:rFonts w:ascii="Times New Roman" w:hAnsi="Times New Roman" w:cs="Times New Roman"/>
          <w:sz w:val="24"/>
          <w:szCs w:val="24"/>
        </w:rPr>
        <w:t>. First, the country’s international reserve would suffice to deal with at least three to four months of</w:t>
      </w:r>
      <w:r w:rsidR="00287936">
        <w:rPr>
          <w:rFonts w:ascii="Times New Roman" w:hAnsi="Times New Roman" w:cs="Times New Roman"/>
          <w:sz w:val="24"/>
          <w:szCs w:val="24"/>
        </w:rPr>
        <w:t xml:space="preserve"> import requirement and also must</w:t>
      </w:r>
      <w:r w:rsidR="00A92B96" w:rsidRPr="00DA15A4">
        <w:rPr>
          <w:rFonts w:ascii="Times New Roman" w:hAnsi="Times New Roman" w:cs="Times New Roman"/>
          <w:sz w:val="24"/>
          <w:szCs w:val="24"/>
        </w:rPr>
        <w:t xml:space="preserve"> cove</w:t>
      </w:r>
      <w:r w:rsidR="00287936">
        <w:rPr>
          <w:rFonts w:ascii="Times New Roman" w:hAnsi="Times New Roman" w:cs="Times New Roman"/>
          <w:sz w:val="24"/>
          <w:szCs w:val="24"/>
        </w:rPr>
        <w:t xml:space="preserve">r all short term external debt. </w:t>
      </w:r>
      <w:r w:rsidR="00BB2578" w:rsidRPr="00DA15A4">
        <w:rPr>
          <w:rFonts w:ascii="Times New Roman" w:hAnsi="Times New Roman" w:cs="Times New Roman"/>
          <w:sz w:val="24"/>
          <w:szCs w:val="24"/>
        </w:rPr>
        <w:t xml:space="preserve">These </w:t>
      </w:r>
      <w:r w:rsidR="00A92B96" w:rsidRPr="00DA15A4">
        <w:rPr>
          <w:rFonts w:ascii="Times New Roman" w:hAnsi="Times New Roman" w:cs="Times New Roman"/>
          <w:sz w:val="24"/>
          <w:szCs w:val="24"/>
        </w:rPr>
        <w:t>two common element</w:t>
      </w:r>
      <w:r w:rsidR="00BB2578" w:rsidRPr="00DA15A4">
        <w:rPr>
          <w:rFonts w:ascii="Times New Roman" w:hAnsi="Times New Roman" w:cs="Times New Roman"/>
          <w:sz w:val="24"/>
          <w:szCs w:val="24"/>
        </w:rPr>
        <w:t xml:space="preserve">s </w:t>
      </w:r>
      <w:r w:rsidR="00A92B96" w:rsidRPr="00DA15A4">
        <w:rPr>
          <w:rFonts w:ascii="Times New Roman" w:hAnsi="Times New Roman" w:cs="Times New Roman"/>
          <w:sz w:val="24"/>
          <w:szCs w:val="24"/>
        </w:rPr>
        <w:t xml:space="preserve">can be detected in both Andrew </w:t>
      </w:r>
      <w:proofErr w:type="spellStart"/>
      <w:r w:rsidR="00A92B96" w:rsidRPr="00DA15A4">
        <w:rPr>
          <w:rFonts w:ascii="Times New Roman" w:hAnsi="Times New Roman" w:cs="Times New Roman"/>
          <w:sz w:val="24"/>
          <w:szCs w:val="24"/>
        </w:rPr>
        <w:t>Ang</w:t>
      </w:r>
      <w:proofErr w:type="spellEnd"/>
      <w:r w:rsidR="00A92B96" w:rsidRPr="00DA15A4">
        <w:rPr>
          <w:rFonts w:ascii="Times New Roman" w:hAnsi="Times New Roman" w:cs="Times New Roman"/>
          <w:sz w:val="24"/>
          <w:szCs w:val="24"/>
        </w:rPr>
        <w:t xml:space="preserve"> and </w:t>
      </w:r>
      <w:proofErr w:type="spellStart"/>
      <w:r w:rsidR="00A92B96" w:rsidRPr="00DA15A4">
        <w:rPr>
          <w:rFonts w:ascii="Times New Roman" w:hAnsi="Times New Roman" w:cs="Times New Roman"/>
          <w:sz w:val="24"/>
          <w:szCs w:val="24"/>
        </w:rPr>
        <w:t>Rumu</w:t>
      </w:r>
      <w:proofErr w:type="spellEnd"/>
      <w:r w:rsidR="00A92B96" w:rsidRPr="00DA15A4">
        <w:rPr>
          <w:rFonts w:ascii="Times New Roman" w:hAnsi="Times New Roman" w:cs="Times New Roman"/>
          <w:sz w:val="24"/>
          <w:szCs w:val="24"/>
        </w:rPr>
        <w:t xml:space="preserve"> </w:t>
      </w:r>
      <w:proofErr w:type="spellStart"/>
      <w:r w:rsidR="00A92B96" w:rsidRPr="00DA15A4">
        <w:rPr>
          <w:rFonts w:ascii="Times New Roman" w:hAnsi="Times New Roman" w:cs="Times New Roman"/>
          <w:sz w:val="24"/>
          <w:szCs w:val="24"/>
        </w:rPr>
        <w:t>Sarkar’s</w:t>
      </w:r>
      <w:proofErr w:type="spellEnd"/>
      <w:r w:rsidR="00A92B96" w:rsidRPr="00DA15A4">
        <w:rPr>
          <w:rFonts w:ascii="Times New Roman" w:hAnsi="Times New Roman" w:cs="Times New Roman"/>
          <w:sz w:val="24"/>
          <w:szCs w:val="24"/>
        </w:rPr>
        <w:t xml:space="preserve"> research. </w:t>
      </w:r>
    </w:p>
    <w:p w:rsidR="00406D0F" w:rsidRPr="00DA15A4" w:rsidRDefault="00406D0F" w:rsidP="0056614E">
      <w:pPr>
        <w:spacing w:line="360" w:lineRule="auto"/>
        <w:jc w:val="both"/>
        <w:rPr>
          <w:rFonts w:ascii="Times New Roman" w:hAnsi="Times New Roman" w:cs="Times New Roman"/>
          <w:sz w:val="24"/>
          <w:szCs w:val="24"/>
        </w:rPr>
      </w:pPr>
      <w:r w:rsidRPr="00DA15A4">
        <w:rPr>
          <w:rFonts w:ascii="Times New Roman" w:hAnsi="Times New Roman" w:cs="Times New Roman"/>
          <w:sz w:val="24"/>
          <w:szCs w:val="24"/>
        </w:rPr>
        <w:t xml:space="preserve">Stefano </w:t>
      </w:r>
      <w:proofErr w:type="spellStart"/>
      <w:r w:rsidRPr="00DA15A4">
        <w:rPr>
          <w:rFonts w:ascii="Times New Roman" w:hAnsi="Times New Roman" w:cs="Times New Roman"/>
          <w:sz w:val="24"/>
          <w:szCs w:val="24"/>
        </w:rPr>
        <w:t>Curto’s</w:t>
      </w:r>
      <w:proofErr w:type="spellEnd"/>
      <w:r w:rsidRPr="00DA15A4">
        <w:rPr>
          <w:rFonts w:ascii="Times New Roman" w:hAnsi="Times New Roman" w:cs="Times New Roman"/>
          <w:sz w:val="24"/>
          <w:szCs w:val="24"/>
        </w:rPr>
        <w:t xml:space="preserve"> work goes against previous argument</w:t>
      </w:r>
      <w:r w:rsidR="00BB2578" w:rsidRPr="00DA15A4">
        <w:rPr>
          <w:rFonts w:ascii="Times New Roman" w:hAnsi="Times New Roman" w:cs="Times New Roman"/>
          <w:sz w:val="24"/>
          <w:szCs w:val="24"/>
        </w:rPr>
        <w:t>s</w:t>
      </w:r>
      <w:r w:rsidRPr="00DA15A4">
        <w:rPr>
          <w:rFonts w:ascii="Times New Roman" w:hAnsi="Times New Roman" w:cs="Times New Roman"/>
          <w:sz w:val="24"/>
          <w:szCs w:val="24"/>
        </w:rPr>
        <w:t xml:space="preserve"> in aspect of the opportunity cost. </w:t>
      </w:r>
      <w:r w:rsidR="00275080" w:rsidRPr="00DA15A4">
        <w:rPr>
          <w:rFonts w:ascii="Times New Roman" w:hAnsi="Times New Roman" w:cs="Times New Roman"/>
          <w:sz w:val="24"/>
          <w:szCs w:val="24"/>
        </w:rPr>
        <w:t xml:space="preserve">The </w:t>
      </w:r>
      <w:r w:rsidRPr="00DA15A4">
        <w:rPr>
          <w:rFonts w:ascii="Times New Roman" w:hAnsi="Times New Roman" w:cs="Times New Roman"/>
          <w:sz w:val="24"/>
          <w:szCs w:val="24"/>
        </w:rPr>
        <w:t xml:space="preserve">paper proposes the idea that developing countries should invest in economic infrastructures at home that </w:t>
      </w:r>
      <w:r w:rsidR="00275080" w:rsidRPr="00DA15A4">
        <w:rPr>
          <w:rFonts w:ascii="Times New Roman" w:hAnsi="Times New Roman" w:cs="Times New Roman"/>
          <w:sz w:val="24"/>
          <w:szCs w:val="24"/>
        </w:rPr>
        <w:t xml:space="preserve">will </w:t>
      </w:r>
      <w:r w:rsidRPr="00DA15A4">
        <w:rPr>
          <w:rFonts w:ascii="Times New Roman" w:hAnsi="Times New Roman" w:cs="Times New Roman"/>
          <w:sz w:val="24"/>
          <w:szCs w:val="24"/>
        </w:rPr>
        <w:t xml:space="preserve">yield the return </w:t>
      </w:r>
      <w:r w:rsidR="00473140">
        <w:rPr>
          <w:rFonts w:ascii="Times New Roman" w:hAnsi="Times New Roman" w:cs="Times New Roman"/>
          <w:sz w:val="24"/>
          <w:szCs w:val="24"/>
        </w:rPr>
        <w:t>far beyond</w:t>
      </w:r>
      <w:r w:rsidRPr="00DA15A4">
        <w:rPr>
          <w:rFonts w:ascii="Times New Roman" w:hAnsi="Times New Roman" w:cs="Times New Roman"/>
          <w:sz w:val="24"/>
          <w:szCs w:val="24"/>
        </w:rPr>
        <w:t xml:space="preserve"> the investment in foreign reserves abroad.</w:t>
      </w:r>
      <w:r w:rsidR="00F2217D" w:rsidRPr="00DA15A4">
        <w:rPr>
          <w:rFonts w:ascii="Times New Roman" w:hAnsi="Times New Roman" w:cs="Times New Roman"/>
          <w:sz w:val="24"/>
          <w:szCs w:val="24"/>
        </w:rPr>
        <w:t xml:space="preserve"> Stefano’s paper agree</w:t>
      </w:r>
      <w:r w:rsidR="00473140">
        <w:rPr>
          <w:rFonts w:ascii="Times New Roman" w:hAnsi="Times New Roman" w:cs="Times New Roman"/>
          <w:sz w:val="24"/>
          <w:szCs w:val="24"/>
        </w:rPr>
        <w:t>s</w:t>
      </w:r>
      <w:r w:rsidR="00F2217D" w:rsidRPr="00DA15A4">
        <w:rPr>
          <w:rFonts w:ascii="Times New Roman" w:hAnsi="Times New Roman" w:cs="Times New Roman"/>
          <w:sz w:val="24"/>
          <w:szCs w:val="24"/>
        </w:rPr>
        <w:t xml:space="preserve"> with Bryan J. </w:t>
      </w:r>
      <w:proofErr w:type="spellStart"/>
      <w:r w:rsidR="00F2217D" w:rsidRPr="00DA15A4">
        <w:rPr>
          <w:rFonts w:ascii="Times New Roman" w:hAnsi="Times New Roman" w:cs="Times New Roman"/>
          <w:sz w:val="24"/>
          <w:szCs w:val="24"/>
        </w:rPr>
        <w:t>Bakin’s</w:t>
      </w:r>
      <w:proofErr w:type="spellEnd"/>
      <w:r w:rsidR="00F2217D" w:rsidRPr="00DA15A4">
        <w:rPr>
          <w:rFonts w:ascii="Times New Roman" w:hAnsi="Times New Roman" w:cs="Times New Roman"/>
          <w:sz w:val="24"/>
          <w:szCs w:val="24"/>
        </w:rPr>
        <w:t xml:space="preserve"> work that developing countries should consider more variables rather than economic.</w:t>
      </w:r>
      <w:r w:rsidR="001E69CF" w:rsidRPr="00DA15A4">
        <w:rPr>
          <w:rFonts w:ascii="Times New Roman" w:hAnsi="Times New Roman" w:cs="Times New Roman"/>
          <w:sz w:val="24"/>
          <w:szCs w:val="24"/>
        </w:rPr>
        <w:t xml:space="preserve"> The political circumstance</w:t>
      </w:r>
      <w:r w:rsidR="00275080" w:rsidRPr="00DA15A4">
        <w:rPr>
          <w:rFonts w:ascii="Times New Roman" w:hAnsi="Times New Roman" w:cs="Times New Roman"/>
          <w:sz w:val="24"/>
          <w:szCs w:val="24"/>
        </w:rPr>
        <w:t>s</w:t>
      </w:r>
      <w:r w:rsidR="001E69CF" w:rsidRPr="00DA15A4">
        <w:rPr>
          <w:rFonts w:ascii="Times New Roman" w:hAnsi="Times New Roman" w:cs="Times New Roman"/>
          <w:sz w:val="24"/>
          <w:szCs w:val="24"/>
        </w:rPr>
        <w:t xml:space="preserve"> and the sources of SWFs</w:t>
      </w:r>
      <w:r w:rsidR="00473140">
        <w:rPr>
          <w:rFonts w:ascii="Times New Roman" w:hAnsi="Times New Roman" w:cs="Times New Roman"/>
          <w:sz w:val="24"/>
          <w:szCs w:val="24"/>
        </w:rPr>
        <w:t xml:space="preserve"> funding should also be considered</w:t>
      </w:r>
      <w:r w:rsidR="00275080" w:rsidRPr="00DA15A4">
        <w:rPr>
          <w:rFonts w:ascii="Times New Roman" w:hAnsi="Times New Roman" w:cs="Times New Roman"/>
          <w:sz w:val="24"/>
          <w:szCs w:val="24"/>
        </w:rPr>
        <w:t xml:space="preserve">. </w:t>
      </w:r>
      <w:r w:rsidR="00BD17BA">
        <w:rPr>
          <w:rFonts w:ascii="Times New Roman" w:hAnsi="Times New Roman" w:cs="Times New Roman"/>
          <w:sz w:val="24"/>
          <w:szCs w:val="24"/>
        </w:rPr>
        <w:t xml:space="preserve">Accordingly, SWFs should not be set up in countries facing </w:t>
      </w:r>
      <w:r w:rsidR="00275080" w:rsidRPr="00DA15A4">
        <w:rPr>
          <w:rFonts w:ascii="Times New Roman" w:hAnsi="Times New Roman" w:cs="Times New Roman"/>
          <w:sz w:val="24"/>
          <w:szCs w:val="24"/>
        </w:rPr>
        <w:t xml:space="preserve">unstable political </w:t>
      </w:r>
      <w:r w:rsidR="00BD17BA">
        <w:rPr>
          <w:rFonts w:ascii="Times New Roman" w:hAnsi="Times New Roman" w:cs="Times New Roman"/>
          <w:sz w:val="24"/>
          <w:szCs w:val="24"/>
        </w:rPr>
        <w:t>circumstances and non-commodity</w:t>
      </w:r>
      <w:r w:rsidR="00275080" w:rsidRPr="00DA15A4">
        <w:rPr>
          <w:rFonts w:ascii="Times New Roman" w:hAnsi="Times New Roman" w:cs="Times New Roman"/>
          <w:sz w:val="24"/>
          <w:szCs w:val="24"/>
        </w:rPr>
        <w:t>.</w:t>
      </w:r>
      <w:r w:rsidR="001E69CF" w:rsidRPr="00DA15A4">
        <w:rPr>
          <w:rFonts w:ascii="Times New Roman" w:hAnsi="Times New Roman" w:cs="Times New Roman"/>
          <w:sz w:val="24"/>
          <w:szCs w:val="24"/>
        </w:rPr>
        <w:t xml:space="preserve">  </w:t>
      </w:r>
      <w:r w:rsidR="00F2217D" w:rsidRPr="00DA15A4">
        <w:rPr>
          <w:rFonts w:ascii="Times New Roman" w:hAnsi="Times New Roman" w:cs="Times New Roman"/>
          <w:sz w:val="24"/>
          <w:szCs w:val="24"/>
        </w:rPr>
        <w:t xml:space="preserve"> </w:t>
      </w:r>
      <w:r w:rsidRPr="00DA15A4">
        <w:rPr>
          <w:rFonts w:ascii="Times New Roman" w:hAnsi="Times New Roman" w:cs="Times New Roman"/>
          <w:sz w:val="24"/>
          <w:szCs w:val="24"/>
        </w:rPr>
        <w:t xml:space="preserve"> </w:t>
      </w:r>
    </w:p>
    <w:p w:rsidR="007E45D4" w:rsidRDefault="007E45D4" w:rsidP="0056614E">
      <w:pPr>
        <w:spacing w:line="360" w:lineRule="auto"/>
        <w:jc w:val="both"/>
        <w:rPr>
          <w:rFonts w:ascii="Times New Roman" w:hAnsi="Times New Roman" w:cs="Times New Roman"/>
          <w:b/>
          <w:bCs/>
          <w:sz w:val="24"/>
          <w:szCs w:val="24"/>
        </w:rPr>
      </w:pPr>
    </w:p>
    <w:p w:rsidR="00794127" w:rsidRPr="00DA15A4" w:rsidRDefault="00D968EB" w:rsidP="0056614E">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Importance of the S</w:t>
      </w:r>
      <w:r w:rsidR="00154E08">
        <w:rPr>
          <w:rFonts w:ascii="Times New Roman" w:hAnsi="Times New Roman" w:cs="Times New Roman"/>
          <w:b/>
          <w:bCs/>
          <w:sz w:val="24"/>
          <w:szCs w:val="24"/>
        </w:rPr>
        <w:t>tudy</w:t>
      </w:r>
    </w:p>
    <w:p w:rsidR="00B45418" w:rsidRDefault="00324EBA" w:rsidP="0056614E">
      <w:pPr>
        <w:spacing w:line="360" w:lineRule="auto"/>
        <w:jc w:val="both"/>
        <w:rPr>
          <w:rFonts w:ascii="Times New Roman" w:hAnsi="Times New Roman" w:cs="Times New Roman"/>
          <w:sz w:val="24"/>
          <w:szCs w:val="24"/>
        </w:rPr>
      </w:pPr>
      <w:r w:rsidRPr="00DA15A4">
        <w:rPr>
          <w:rFonts w:ascii="Times New Roman" w:hAnsi="Times New Roman" w:cs="Times New Roman"/>
          <w:sz w:val="24"/>
          <w:szCs w:val="24"/>
        </w:rPr>
        <w:t xml:space="preserve">This study will be affiliated to the question of establishing </w:t>
      </w:r>
      <w:r w:rsidR="007C22E5" w:rsidRPr="00DA15A4">
        <w:rPr>
          <w:rFonts w:ascii="Times New Roman" w:hAnsi="Times New Roman" w:cs="Times New Roman"/>
          <w:sz w:val="24"/>
          <w:szCs w:val="24"/>
        </w:rPr>
        <w:t xml:space="preserve">Thai </w:t>
      </w:r>
      <w:r w:rsidRPr="00DA15A4">
        <w:rPr>
          <w:rFonts w:ascii="Times New Roman" w:hAnsi="Times New Roman" w:cs="Times New Roman"/>
          <w:sz w:val="24"/>
          <w:szCs w:val="24"/>
        </w:rPr>
        <w:t xml:space="preserve">SWF which is an ongoing debate for more than a year and </w:t>
      </w:r>
      <w:r w:rsidR="00CC2027" w:rsidRPr="00DA15A4">
        <w:rPr>
          <w:rFonts w:ascii="Times New Roman" w:hAnsi="Times New Roman" w:cs="Times New Roman"/>
          <w:sz w:val="24"/>
          <w:szCs w:val="24"/>
        </w:rPr>
        <w:t xml:space="preserve">still </w:t>
      </w:r>
      <w:r w:rsidR="000372DB">
        <w:rPr>
          <w:rFonts w:ascii="Times New Roman" w:hAnsi="Times New Roman" w:cs="Times New Roman"/>
          <w:sz w:val="24"/>
          <w:szCs w:val="24"/>
        </w:rPr>
        <w:t>has</w:t>
      </w:r>
      <w:r w:rsidRPr="00DA15A4">
        <w:rPr>
          <w:rFonts w:ascii="Times New Roman" w:hAnsi="Times New Roman" w:cs="Times New Roman"/>
          <w:sz w:val="24"/>
          <w:szCs w:val="24"/>
        </w:rPr>
        <w:t xml:space="preserve"> not </w:t>
      </w:r>
      <w:r w:rsidR="00CC2027" w:rsidRPr="00DA15A4">
        <w:rPr>
          <w:rFonts w:ascii="Times New Roman" w:hAnsi="Times New Roman" w:cs="Times New Roman"/>
          <w:sz w:val="24"/>
          <w:szCs w:val="24"/>
        </w:rPr>
        <w:t>come to the consensus</w:t>
      </w:r>
      <w:r w:rsidRPr="00DA15A4">
        <w:rPr>
          <w:rFonts w:ascii="Times New Roman" w:hAnsi="Times New Roman" w:cs="Times New Roman"/>
          <w:sz w:val="24"/>
          <w:szCs w:val="24"/>
        </w:rPr>
        <w:t xml:space="preserve"> yet</w:t>
      </w:r>
      <w:r w:rsidR="00CC2027" w:rsidRPr="00DA15A4">
        <w:rPr>
          <w:rFonts w:ascii="Times New Roman" w:hAnsi="Times New Roman" w:cs="Times New Roman"/>
          <w:sz w:val="24"/>
          <w:szCs w:val="24"/>
        </w:rPr>
        <w:t>.</w:t>
      </w:r>
      <w:r w:rsidR="007C22E5" w:rsidRPr="00DA15A4">
        <w:rPr>
          <w:rFonts w:ascii="Times New Roman" w:hAnsi="Times New Roman" w:cs="Times New Roman"/>
          <w:sz w:val="24"/>
          <w:szCs w:val="24"/>
        </w:rPr>
        <w:t xml:space="preserve"> </w:t>
      </w:r>
      <w:r w:rsidR="007C22E5" w:rsidRPr="00DA15A4">
        <w:rPr>
          <w:rFonts w:ascii="Times New Roman" w:hAnsi="Times New Roman" w:cs="Times New Roman"/>
          <w:sz w:val="24"/>
          <w:szCs w:val="32"/>
        </w:rPr>
        <w:t xml:space="preserve">Along with the general background, case studies are provided in order to understand more about the </w:t>
      </w:r>
      <w:r w:rsidR="00BB2578" w:rsidRPr="00DA15A4">
        <w:rPr>
          <w:rFonts w:ascii="Times New Roman" w:hAnsi="Times New Roman" w:cs="Times New Roman"/>
          <w:sz w:val="24"/>
          <w:szCs w:val="32"/>
        </w:rPr>
        <w:t>SWFs</w:t>
      </w:r>
      <w:r w:rsidR="007C22E5" w:rsidRPr="00DA15A4">
        <w:rPr>
          <w:rFonts w:ascii="Times New Roman" w:hAnsi="Times New Roman" w:cs="Times New Roman"/>
          <w:sz w:val="24"/>
          <w:szCs w:val="24"/>
        </w:rPr>
        <w:t>. Through this section, the c</w:t>
      </w:r>
      <w:r w:rsidR="00BB2578" w:rsidRPr="00DA15A4">
        <w:rPr>
          <w:rFonts w:ascii="Times New Roman" w:hAnsi="Times New Roman" w:cs="Times New Roman"/>
          <w:sz w:val="24"/>
          <w:szCs w:val="24"/>
        </w:rPr>
        <w:t>ommon factors which contribute</w:t>
      </w:r>
      <w:r w:rsidR="007C22E5" w:rsidRPr="00DA15A4">
        <w:rPr>
          <w:rFonts w:ascii="Times New Roman" w:hAnsi="Times New Roman" w:cs="Times New Roman"/>
          <w:sz w:val="24"/>
          <w:szCs w:val="24"/>
        </w:rPr>
        <w:t xml:space="preserve"> to the success</w:t>
      </w:r>
      <w:r w:rsidR="0056614E" w:rsidRPr="00DA15A4">
        <w:rPr>
          <w:rFonts w:ascii="Times New Roman" w:hAnsi="Times New Roman" w:cs="Times New Roman"/>
          <w:sz w:val="24"/>
          <w:szCs w:val="24"/>
        </w:rPr>
        <w:t xml:space="preserve"> and failure of</w:t>
      </w:r>
      <w:r w:rsidR="007C22E5" w:rsidRPr="00DA15A4">
        <w:rPr>
          <w:rFonts w:ascii="Times New Roman" w:hAnsi="Times New Roman" w:cs="Times New Roman"/>
          <w:sz w:val="24"/>
          <w:szCs w:val="24"/>
        </w:rPr>
        <w:t xml:space="preserve"> SWFs</w:t>
      </w:r>
      <w:r w:rsidR="00B45418" w:rsidRPr="00DA15A4">
        <w:rPr>
          <w:rFonts w:ascii="Times New Roman" w:hAnsi="Times New Roman" w:cs="Times New Roman"/>
          <w:sz w:val="24"/>
          <w:szCs w:val="24"/>
        </w:rPr>
        <w:t xml:space="preserve"> can be drawn upon</w:t>
      </w:r>
      <w:r w:rsidR="007C22E5" w:rsidRPr="00DA15A4">
        <w:rPr>
          <w:rFonts w:ascii="Times New Roman" w:hAnsi="Times New Roman" w:cs="Times New Roman"/>
          <w:sz w:val="24"/>
          <w:szCs w:val="24"/>
        </w:rPr>
        <w:t xml:space="preserve">. </w:t>
      </w:r>
      <w:r w:rsidR="007C22E5" w:rsidRPr="00DA15A4">
        <w:rPr>
          <w:rFonts w:ascii="Times New Roman" w:hAnsi="Times New Roman" w:cs="Times New Roman"/>
          <w:sz w:val="24"/>
          <w:szCs w:val="32"/>
        </w:rPr>
        <w:t>The next section discussed the situation in Thai’s economy and the thorough study of the readiness of Thailand in term of sources of wealth, financing adequacy, along with the justified investment objective and capacity for investing internationally.</w:t>
      </w:r>
      <w:r w:rsidR="00193356" w:rsidRPr="00DA15A4">
        <w:rPr>
          <w:rFonts w:ascii="Times New Roman" w:hAnsi="Times New Roman" w:cs="Times New Roman"/>
          <w:sz w:val="24"/>
          <w:szCs w:val="32"/>
        </w:rPr>
        <w:t xml:space="preserve"> This study can help booth the readers’ understanding about Thailand’s readiness for SWF. </w:t>
      </w:r>
      <w:r w:rsidR="007C22E5" w:rsidRPr="00DA15A4">
        <w:rPr>
          <w:rFonts w:ascii="Times New Roman" w:hAnsi="Times New Roman" w:cs="Times New Roman"/>
          <w:sz w:val="24"/>
          <w:szCs w:val="32"/>
        </w:rPr>
        <w:t xml:space="preserve"> At the last part, Thailand financial data is examined for the purpose of a more sound analysis.</w:t>
      </w:r>
      <w:r w:rsidR="007C22E5" w:rsidRPr="00DA15A4">
        <w:rPr>
          <w:rStyle w:val="Emphasis"/>
          <w:rFonts w:ascii="Times New Roman" w:hAnsi="Times New Roman" w:cs="Times New Roman"/>
          <w:sz w:val="24"/>
          <w:szCs w:val="24"/>
        </w:rPr>
        <w:t xml:space="preserve"> </w:t>
      </w:r>
      <w:r w:rsidR="007C22E5" w:rsidRPr="00DA15A4">
        <w:rPr>
          <w:rStyle w:val="Emphasis"/>
          <w:rFonts w:ascii="Times New Roman" w:hAnsi="Times New Roman" w:cs="Times New Roman"/>
          <w:i w:val="0"/>
          <w:iCs w:val="0"/>
          <w:sz w:val="24"/>
          <w:szCs w:val="24"/>
        </w:rPr>
        <w:t xml:space="preserve">The results of this study will provide some insights and information whether </w:t>
      </w:r>
      <w:r w:rsidR="00B45418" w:rsidRPr="00DA15A4">
        <w:rPr>
          <w:rStyle w:val="Emphasis"/>
          <w:rFonts w:ascii="Times New Roman" w:hAnsi="Times New Roman" w:cs="Times New Roman"/>
          <w:i w:val="0"/>
          <w:iCs w:val="0"/>
          <w:sz w:val="24"/>
          <w:szCs w:val="24"/>
        </w:rPr>
        <w:t>Thailand is ready for SWF</w:t>
      </w:r>
      <w:r w:rsidR="007C22E5" w:rsidRPr="00DA15A4">
        <w:rPr>
          <w:rStyle w:val="Emphasis"/>
          <w:rFonts w:ascii="Times New Roman" w:hAnsi="Times New Roman" w:cs="Times New Roman"/>
          <w:i w:val="0"/>
          <w:iCs w:val="0"/>
          <w:sz w:val="24"/>
          <w:szCs w:val="24"/>
        </w:rPr>
        <w:t>.</w:t>
      </w:r>
    </w:p>
    <w:p w:rsidR="000372DB" w:rsidRDefault="000372DB" w:rsidP="0056614E">
      <w:pPr>
        <w:spacing w:line="360" w:lineRule="auto"/>
        <w:jc w:val="both"/>
        <w:rPr>
          <w:rFonts w:ascii="Times New Roman" w:hAnsi="Times New Roman" w:cs="Times New Roman"/>
          <w:sz w:val="24"/>
          <w:szCs w:val="24"/>
        </w:rPr>
      </w:pPr>
    </w:p>
    <w:p w:rsidR="000372DB" w:rsidRDefault="000372DB" w:rsidP="0056614E">
      <w:pPr>
        <w:spacing w:line="360" w:lineRule="auto"/>
        <w:jc w:val="both"/>
        <w:rPr>
          <w:rFonts w:ascii="Times New Roman" w:hAnsi="Times New Roman" w:cs="Times New Roman"/>
          <w:sz w:val="24"/>
          <w:szCs w:val="24"/>
        </w:rPr>
      </w:pPr>
    </w:p>
    <w:p w:rsidR="000372DB" w:rsidRDefault="000372DB" w:rsidP="0056614E">
      <w:pPr>
        <w:spacing w:line="360" w:lineRule="auto"/>
        <w:jc w:val="both"/>
        <w:rPr>
          <w:rFonts w:ascii="Times New Roman" w:hAnsi="Times New Roman" w:cs="Times New Roman"/>
          <w:sz w:val="24"/>
          <w:szCs w:val="24"/>
        </w:rPr>
      </w:pPr>
    </w:p>
    <w:p w:rsidR="00794127" w:rsidRPr="00DA15A4" w:rsidRDefault="0066710B" w:rsidP="0056614E">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Research D</w:t>
      </w:r>
      <w:r w:rsidR="00D86BE0">
        <w:rPr>
          <w:rFonts w:ascii="Times New Roman" w:hAnsi="Times New Roman" w:cs="Times New Roman"/>
          <w:b/>
          <w:bCs/>
          <w:sz w:val="24"/>
          <w:szCs w:val="24"/>
        </w:rPr>
        <w:t>esign</w:t>
      </w:r>
    </w:p>
    <w:p w:rsidR="00093498" w:rsidRPr="00DA15A4" w:rsidRDefault="00C35D4B" w:rsidP="0056614E">
      <w:pPr>
        <w:spacing w:line="360" w:lineRule="auto"/>
        <w:jc w:val="both"/>
        <w:rPr>
          <w:rFonts w:ascii="Times New Roman" w:hAnsi="Times New Roman" w:cs="Times New Roman"/>
          <w:sz w:val="24"/>
          <w:szCs w:val="24"/>
        </w:rPr>
      </w:pPr>
      <w:r w:rsidRPr="00DA15A4">
        <w:rPr>
          <w:rFonts w:ascii="Times New Roman" w:hAnsi="Times New Roman" w:cs="Times New Roman"/>
          <w:sz w:val="24"/>
          <w:szCs w:val="24"/>
        </w:rPr>
        <w:t>This study</w:t>
      </w:r>
      <w:r w:rsidR="0056614E" w:rsidRPr="00DA15A4">
        <w:rPr>
          <w:rFonts w:ascii="Times New Roman" w:hAnsi="Times New Roman" w:cs="Times New Roman"/>
          <w:sz w:val="24"/>
          <w:szCs w:val="24"/>
        </w:rPr>
        <w:t xml:space="preserve"> will </w:t>
      </w:r>
      <w:r w:rsidR="006C5201" w:rsidRPr="00DA15A4">
        <w:rPr>
          <w:rFonts w:ascii="Times New Roman" w:hAnsi="Times New Roman" w:cs="Times New Roman"/>
          <w:sz w:val="24"/>
          <w:szCs w:val="24"/>
        </w:rPr>
        <w:t xml:space="preserve">make </w:t>
      </w:r>
      <w:r w:rsidR="0056614E" w:rsidRPr="00DA15A4">
        <w:rPr>
          <w:rFonts w:ascii="Times New Roman" w:hAnsi="Times New Roman" w:cs="Times New Roman"/>
          <w:sz w:val="24"/>
          <w:szCs w:val="24"/>
        </w:rPr>
        <w:t>use</w:t>
      </w:r>
      <w:r w:rsidR="006C5201" w:rsidRPr="00DA15A4">
        <w:rPr>
          <w:rFonts w:ascii="Times New Roman" w:hAnsi="Times New Roman" w:cs="Times New Roman"/>
          <w:sz w:val="24"/>
          <w:szCs w:val="24"/>
        </w:rPr>
        <w:t xml:space="preserve"> of</w:t>
      </w:r>
      <w:r w:rsidR="0056614E" w:rsidRPr="00DA15A4">
        <w:rPr>
          <w:rFonts w:ascii="Times New Roman" w:hAnsi="Times New Roman" w:cs="Times New Roman"/>
          <w:sz w:val="24"/>
          <w:szCs w:val="24"/>
        </w:rPr>
        <w:t xml:space="preserve"> data from the credible</w:t>
      </w:r>
      <w:r w:rsidRPr="00DA15A4">
        <w:rPr>
          <w:rFonts w:ascii="Times New Roman" w:hAnsi="Times New Roman" w:cs="Times New Roman"/>
          <w:sz w:val="24"/>
          <w:szCs w:val="24"/>
        </w:rPr>
        <w:t xml:space="preserve"> sources. </w:t>
      </w:r>
      <w:r w:rsidR="00275080" w:rsidRPr="00DA15A4">
        <w:rPr>
          <w:rFonts w:ascii="Times New Roman" w:hAnsi="Times New Roman" w:cs="Times New Roman"/>
          <w:sz w:val="24"/>
          <w:szCs w:val="24"/>
        </w:rPr>
        <w:t>In the case studies</w:t>
      </w:r>
      <w:r w:rsidR="005255AA" w:rsidRPr="00DA15A4">
        <w:rPr>
          <w:rFonts w:ascii="Times New Roman" w:hAnsi="Times New Roman" w:cs="Times New Roman"/>
          <w:sz w:val="24"/>
          <w:szCs w:val="24"/>
        </w:rPr>
        <w:t xml:space="preserve"> part, the information will be retrieve</w:t>
      </w:r>
      <w:r w:rsidR="00275080" w:rsidRPr="00DA15A4">
        <w:rPr>
          <w:rFonts w:ascii="Times New Roman" w:hAnsi="Times New Roman" w:cs="Times New Roman"/>
          <w:sz w:val="24"/>
          <w:szCs w:val="24"/>
        </w:rPr>
        <w:t>d from each country case study</w:t>
      </w:r>
      <w:r w:rsidR="005255AA" w:rsidRPr="00DA15A4">
        <w:rPr>
          <w:rFonts w:ascii="Times New Roman" w:hAnsi="Times New Roman" w:cs="Times New Roman"/>
          <w:sz w:val="24"/>
          <w:szCs w:val="24"/>
        </w:rPr>
        <w:t xml:space="preserve"> website. However, the central pool of data will be from SWF Institute website. </w:t>
      </w:r>
      <w:r w:rsidRPr="00DA15A4">
        <w:rPr>
          <w:rFonts w:ascii="Times New Roman" w:hAnsi="Times New Roman" w:cs="Times New Roman"/>
          <w:sz w:val="24"/>
          <w:szCs w:val="24"/>
        </w:rPr>
        <w:t xml:space="preserve"> </w:t>
      </w:r>
      <w:r w:rsidR="004E4829">
        <w:rPr>
          <w:rFonts w:ascii="Times New Roman" w:hAnsi="Times New Roman" w:cs="Times New Roman"/>
          <w:sz w:val="24"/>
          <w:szCs w:val="24"/>
        </w:rPr>
        <w:t>Statistics for</w:t>
      </w:r>
      <w:r w:rsidRPr="00DA15A4">
        <w:rPr>
          <w:rFonts w:ascii="Times New Roman" w:hAnsi="Times New Roman" w:cs="Times New Roman"/>
          <w:sz w:val="24"/>
          <w:szCs w:val="24"/>
        </w:rPr>
        <w:t xml:space="preserve"> Thailand financial figures will be dra</w:t>
      </w:r>
      <w:r w:rsidR="004E4829">
        <w:rPr>
          <w:rFonts w:ascii="Times New Roman" w:hAnsi="Times New Roman" w:cs="Times New Roman"/>
          <w:sz w:val="24"/>
          <w:szCs w:val="24"/>
        </w:rPr>
        <w:t>wn from five</w:t>
      </w:r>
      <w:r w:rsidRPr="00DA15A4">
        <w:rPr>
          <w:rFonts w:ascii="Times New Roman" w:hAnsi="Times New Roman" w:cs="Times New Roman"/>
          <w:sz w:val="24"/>
          <w:szCs w:val="24"/>
        </w:rPr>
        <w:t xml:space="preserve"> major sources; namely, Bank of Thailand, Ministry of Finance, Stock Exchange of Thailand</w:t>
      </w:r>
      <w:r w:rsidR="008056FF" w:rsidRPr="00DA15A4">
        <w:rPr>
          <w:rFonts w:ascii="Times New Roman" w:hAnsi="Times New Roman" w:cs="Times New Roman"/>
          <w:sz w:val="24"/>
          <w:szCs w:val="24"/>
        </w:rPr>
        <w:t xml:space="preserve">, </w:t>
      </w:r>
      <w:r w:rsidR="006C5201" w:rsidRPr="00DA15A4">
        <w:rPr>
          <w:rFonts w:ascii="Times New Roman" w:hAnsi="Times New Roman" w:cs="Times New Roman"/>
          <w:sz w:val="24"/>
          <w:szCs w:val="24"/>
        </w:rPr>
        <w:t>Asian Development Bank</w:t>
      </w:r>
      <w:r w:rsidR="008056FF" w:rsidRPr="00DA15A4">
        <w:rPr>
          <w:rFonts w:ascii="Times New Roman" w:hAnsi="Times New Roman" w:cs="Times New Roman"/>
          <w:sz w:val="24"/>
          <w:szCs w:val="24"/>
        </w:rPr>
        <w:t xml:space="preserve"> </w:t>
      </w:r>
      <w:r w:rsidR="0056614E" w:rsidRPr="00DA15A4">
        <w:rPr>
          <w:rFonts w:ascii="Times New Roman" w:hAnsi="Times New Roman" w:cs="Times New Roman"/>
          <w:sz w:val="24"/>
          <w:szCs w:val="24"/>
        </w:rPr>
        <w:t xml:space="preserve">and </w:t>
      </w:r>
      <w:r w:rsidR="008056FF" w:rsidRPr="00DA15A4">
        <w:rPr>
          <w:rFonts w:ascii="Times New Roman" w:hAnsi="Times New Roman" w:cs="Times New Roman"/>
          <w:sz w:val="24"/>
          <w:szCs w:val="24"/>
        </w:rPr>
        <w:t>I</w:t>
      </w:r>
      <w:r w:rsidR="006C5201" w:rsidRPr="00DA15A4">
        <w:rPr>
          <w:rFonts w:ascii="Times New Roman" w:hAnsi="Times New Roman" w:cs="Times New Roman"/>
          <w:sz w:val="24"/>
          <w:szCs w:val="24"/>
        </w:rPr>
        <w:t>nternational Monetary Fund</w:t>
      </w:r>
      <w:r w:rsidR="008056FF" w:rsidRPr="00DA15A4">
        <w:rPr>
          <w:rFonts w:ascii="Times New Roman" w:hAnsi="Times New Roman" w:cs="Times New Roman"/>
          <w:sz w:val="24"/>
          <w:szCs w:val="24"/>
        </w:rPr>
        <w:t xml:space="preserve"> country documents</w:t>
      </w:r>
      <w:r w:rsidR="005255AA" w:rsidRPr="00DA15A4">
        <w:rPr>
          <w:rFonts w:ascii="Times New Roman" w:hAnsi="Times New Roman" w:cs="Times New Roman"/>
          <w:sz w:val="24"/>
          <w:szCs w:val="24"/>
        </w:rPr>
        <w:t>.</w:t>
      </w:r>
      <w:r w:rsidR="001C68C1" w:rsidRPr="00DA15A4">
        <w:rPr>
          <w:rFonts w:ascii="Times New Roman" w:hAnsi="Times New Roman" w:cs="Times New Roman"/>
          <w:sz w:val="24"/>
          <w:szCs w:val="24"/>
        </w:rPr>
        <w:t xml:space="preserve"> The prominent publica</w:t>
      </w:r>
      <w:r w:rsidR="004E4829">
        <w:rPr>
          <w:rFonts w:ascii="Times New Roman" w:hAnsi="Times New Roman" w:cs="Times New Roman"/>
          <w:sz w:val="24"/>
          <w:szCs w:val="24"/>
        </w:rPr>
        <w:t>tions, such as, the Economist, t</w:t>
      </w:r>
      <w:r w:rsidR="001C68C1" w:rsidRPr="00DA15A4">
        <w:rPr>
          <w:rFonts w:ascii="Times New Roman" w:hAnsi="Times New Roman" w:cs="Times New Roman"/>
          <w:sz w:val="24"/>
          <w:szCs w:val="24"/>
        </w:rPr>
        <w:t xml:space="preserve">he Nation, Bangkok Post will be presented in the </w:t>
      </w:r>
      <w:r w:rsidR="00AF29E3">
        <w:rPr>
          <w:rFonts w:ascii="Times New Roman" w:hAnsi="Times New Roman" w:cs="Times New Roman"/>
          <w:sz w:val="24"/>
          <w:szCs w:val="24"/>
        </w:rPr>
        <w:t>R</w:t>
      </w:r>
      <w:r w:rsidR="001C68C1" w:rsidRPr="00DA15A4">
        <w:rPr>
          <w:rFonts w:ascii="Times New Roman" w:hAnsi="Times New Roman" w:cs="Times New Roman"/>
          <w:sz w:val="24"/>
          <w:szCs w:val="24"/>
        </w:rPr>
        <w:t xml:space="preserve">eference </w:t>
      </w:r>
      <w:r w:rsidR="004E4829">
        <w:rPr>
          <w:rFonts w:ascii="Times New Roman" w:hAnsi="Times New Roman" w:cs="Times New Roman"/>
          <w:sz w:val="24"/>
          <w:szCs w:val="24"/>
        </w:rPr>
        <w:t>section</w:t>
      </w:r>
      <w:r w:rsidR="001C68C1" w:rsidRPr="00DA15A4">
        <w:rPr>
          <w:rFonts w:ascii="Times New Roman" w:hAnsi="Times New Roman" w:cs="Times New Roman"/>
          <w:sz w:val="24"/>
          <w:szCs w:val="24"/>
        </w:rPr>
        <w:t>.</w:t>
      </w:r>
    </w:p>
    <w:p w:rsidR="00C35D4B" w:rsidRDefault="003E6870" w:rsidP="0056614E">
      <w:pPr>
        <w:spacing w:line="360" w:lineRule="auto"/>
        <w:jc w:val="both"/>
        <w:rPr>
          <w:rFonts w:ascii="Times New Roman" w:hAnsi="Times New Roman" w:cs="Times New Roman"/>
          <w:sz w:val="24"/>
          <w:szCs w:val="24"/>
        </w:rPr>
      </w:pPr>
      <w:r w:rsidRPr="00DA15A4">
        <w:rPr>
          <w:rFonts w:ascii="Times New Roman" w:hAnsi="Times New Roman" w:cs="Times New Roman"/>
          <w:sz w:val="24"/>
          <w:szCs w:val="24"/>
        </w:rPr>
        <w:t>This study will employ two data collection techniques which are qualitative</w:t>
      </w:r>
      <w:r w:rsidR="006A1D0B" w:rsidRPr="00DA15A4">
        <w:rPr>
          <w:rFonts w:ascii="Times New Roman" w:hAnsi="Times New Roman" w:cs="Times New Roman"/>
          <w:sz w:val="24"/>
          <w:szCs w:val="24"/>
        </w:rPr>
        <w:t xml:space="preserve"> te</w:t>
      </w:r>
      <w:r w:rsidR="00E71A6E" w:rsidRPr="00DA15A4">
        <w:rPr>
          <w:rFonts w:ascii="Times New Roman" w:hAnsi="Times New Roman" w:cs="Times New Roman"/>
          <w:sz w:val="24"/>
          <w:szCs w:val="24"/>
        </w:rPr>
        <w:t>chnique and secon</w:t>
      </w:r>
      <w:r w:rsidR="0056614E" w:rsidRPr="00DA15A4">
        <w:rPr>
          <w:rFonts w:ascii="Times New Roman" w:hAnsi="Times New Roman" w:cs="Times New Roman"/>
          <w:sz w:val="24"/>
          <w:szCs w:val="24"/>
        </w:rPr>
        <w:t>dary data</w:t>
      </w:r>
      <w:r w:rsidR="009A6010" w:rsidRPr="00DA15A4">
        <w:rPr>
          <w:rFonts w:ascii="Times New Roman" w:hAnsi="Times New Roman" w:cs="Times New Roman"/>
          <w:sz w:val="24"/>
          <w:szCs w:val="24"/>
        </w:rPr>
        <w:t xml:space="preserve">. </w:t>
      </w:r>
      <w:r w:rsidR="000D70D7" w:rsidRPr="00DA15A4">
        <w:rPr>
          <w:rFonts w:ascii="Times New Roman" w:hAnsi="Times New Roman" w:cs="Times New Roman"/>
          <w:sz w:val="24"/>
          <w:szCs w:val="24"/>
        </w:rPr>
        <w:t>Cross-sectional studies will be present</w:t>
      </w:r>
      <w:r w:rsidR="00AB044D" w:rsidRPr="00DA15A4">
        <w:rPr>
          <w:rFonts w:ascii="Times New Roman" w:hAnsi="Times New Roman" w:cs="Times New Roman"/>
          <w:sz w:val="24"/>
          <w:szCs w:val="24"/>
        </w:rPr>
        <w:t>ed</w:t>
      </w:r>
      <w:r w:rsidR="000D70D7" w:rsidRPr="00DA15A4">
        <w:rPr>
          <w:rFonts w:ascii="Times New Roman" w:hAnsi="Times New Roman" w:cs="Times New Roman"/>
          <w:sz w:val="24"/>
          <w:szCs w:val="24"/>
        </w:rPr>
        <w:t xml:space="preserve"> in the Thai finan</w:t>
      </w:r>
      <w:r w:rsidR="0056614E" w:rsidRPr="00DA15A4">
        <w:rPr>
          <w:rFonts w:ascii="Times New Roman" w:hAnsi="Times New Roman" w:cs="Times New Roman"/>
          <w:sz w:val="24"/>
          <w:szCs w:val="24"/>
        </w:rPr>
        <w:t>cial information section</w:t>
      </w:r>
      <w:r w:rsidR="000D70D7" w:rsidRPr="00DA15A4">
        <w:rPr>
          <w:rFonts w:ascii="Times New Roman" w:hAnsi="Times New Roman" w:cs="Times New Roman"/>
          <w:sz w:val="24"/>
          <w:szCs w:val="24"/>
        </w:rPr>
        <w:t xml:space="preserve"> on </w:t>
      </w:r>
      <w:r w:rsidR="0056614E" w:rsidRPr="00DA15A4">
        <w:rPr>
          <w:rFonts w:ascii="Times New Roman" w:hAnsi="Times New Roman" w:cs="Times New Roman"/>
          <w:sz w:val="24"/>
          <w:szCs w:val="24"/>
        </w:rPr>
        <w:t xml:space="preserve">a </w:t>
      </w:r>
      <w:r w:rsidR="000D70D7" w:rsidRPr="00DA15A4">
        <w:rPr>
          <w:rFonts w:ascii="Times New Roman" w:hAnsi="Times New Roman" w:cs="Times New Roman"/>
          <w:sz w:val="24"/>
          <w:szCs w:val="24"/>
        </w:rPr>
        <w:t xml:space="preserve">yearly basis. </w:t>
      </w:r>
      <w:r w:rsidR="00AB044D" w:rsidRPr="00DA15A4">
        <w:rPr>
          <w:rFonts w:ascii="Times New Roman" w:hAnsi="Times New Roman" w:cs="Times New Roman"/>
          <w:sz w:val="24"/>
          <w:szCs w:val="24"/>
        </w:rPr>
        <w:t>Descriptive and case studies are core methodologies which are employed in this proposal.</w:t>
      </w:r>
      <w:r w:rsidR="005077BB" w:rsidRPr="00DA15A4">
        <w:rPr>
          <w:rFonts w:ascii="Times New Roman" w:hAnsi="Times New Roman" w:cs="Times New Roman"/>
          <w:sz w:val="24"/>
          <w:szCs w:val="24"/>
        </w:rPr>
        <w:t xml:space="preserve"> Within the scope of study</w:t>
      </w:r>
      <w:r w:rsidR="00AB044D" w:rsidRPr="00DA15A4">
        <w:rPr>
          <w:rFonts w:ascii="Times New Roman" w:hAnsi="Times New Roman" w:cs="Times New Roman"/>
          <w:sz w:val="24"/>
          <w:szCs w:val="24"/>
        </w:rPr>
        <w:t>, the unit of analysis is based</w:t>
      </w:r>
      <w:r w:rsidR="005077BB" w:rsidRPr="00DA15A4">
        <w:rPr>
          <w:rFonts w:ascii="Times New Roman" w:hAnsi="Times New Roman" w:cs="Times New Roman"/>
          <w:sz w:val="24"/>
          <w:szCs w:val="24"/>
        </w:rPr>
        <w:t xml:space="preserve"> on countries as SWF is the state-owned </w:t>
      </w:r>
      <w:r w:rsidR="00AB044D" w:rsidRPr="00DA15A4">
        <w:rPr>
          <w:rFonts w:ascii="Times New Roman" w:hAnsi="Times New Roman" w:cs="Times New Roman"/>
          <w:sz w:val="24"/>
          <w:szCs w:val="24"/>
        </w:rPr>
        <w:t>fund usually having</w:t>
      </w:r>
      <w:r w:rsidR="005077BB" w:rsidRPr="00DA15A4">
        <w:rPr>
          <w:rFonts w:ascii="Times New Roman" w:hAnsi="Times New Roman" w:cs="Times New Roman"/>
          <w:sz w:val="24"/>
          <w:szCs w:val="24"/>
        </w:rPr>
        <w:t xml:space="preserve"> one SWF per nation.</w:t>
      </w:r>
      <w:r w:rsidR="009A6010" w:rsidRPr="00DA15A4">
        <w:rPr>
          <w:rFonts w:ascii="Times New Roman" w:hAnsi="Times New Roman" w:cs="Times New Roman"/>
          <w:sz w:val="24"/>
          <w:szCs w:val="24"/>
        </w:rPr>
        <w:t xml:space="preserve"> </w:t>
      </w:r>
    </w:p>
    <w:p w:rsidR="00A276B8" w:rsidRPr="00DA15A4" w:rsidRDefault="00A276B8" w:rsidP="0056614E">
      <w:pPr>
        <w:spacing w:line="360" w:lineRule="auto"/>
        <w:jc w:val="both"/>
        <w:rPr>
          <w:rFonts w:ascii="Times New Roman" w:hAnsi="Times New Roman" w:cs="Times New Roman"/>
          <w:sz w:val="24"/>
          <w:szCs w:val="24"/>
        </w:rPr>
      </w:pPr>
    </w:p>
    <w:p w:rsidR="00727B5A" w:rsidRPr="00DA15A4" w:rsidRDefault="00D86BE0" w:rsidP="0056614E">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Data A</w:t>
      </w:r>
      <w:r w:rsidR="00C35D4B" w:rsidRPr="00DA15A4">
        <w:rPr>
          <w:rFonts w:ascii="Times New Roman" w:hAnsi="Times New Roman" w:cs="Times New Roman"/>
          <w:b/>
          <w:bCs/>
          <w:sz w:val="24"/>
          <w:szCs w:val="24"/>
        </w:rPr>
        <w:t>nalysis</w:t>
      </w:r>
    </w:p>
    <w:p w:rsidR="000D70D7" w:rsidRDefault="0025664B" w:rsidP="0056614E">
      <w:pPr>
        <w:spacing w:line="360" w:lineRule="auto"/>
        <w:jc w:val="both"/>
        <w:rPr>
          <w:rFonts w:ascii="Times New Roman" w:hAnsi="Times New Roman" w:cs="Times New Roman"/>
          <w:sz w:val="24"/>
          <w:szCs w:val="24"/>
        </w:rPr>
      </w:pPr>
      <w:r w:rsidRPr="00DA15A4">
        <w:rPr>
          <w:rFonts w:ascii="Times New Roman" w:hAnsi="Times New Roman" w:cs="Times New Roman"/>
          <w:sz w:val="24"/>
          <w:szCs w:val="24"/>
        </w:rPr>
        <w:t xml:space="preserve">The analysis of data </w:t>
      </w:r>
      <w:r w:rsidR="00301B9B" w:rsidRPr="00DA15A4">
        <w:rPr>
          <w:rFonts w:ascii="Times New Roman" w:hAnsi="Times New Roman" w:cs="Times New Roman"/>
          <w:sz w:val="24"/>
          <w:szCs w:val="24"/>
        </w:rPr>
        <w:t xml:space="preserve">will be demonstrated into two </w:t>
      </w:r>
      <w:r w:rsidR="00301B9B" w:rsidRPr="00DA15A4">
        <w:rPr>
          <w:rFonts w:ascii="Times New Roman" w:hAnsi="Times New Roman"/>
          <w:sz w:val="24"/>
          <w:szCs w:val="24"/>
        </w:rPr>
        <w:t>formats:</w:t>
      </w:r>
      <w:r w:rsidR="000D70D7" w:rsidRPr="00DA15A4">
        <w:rPr>
          <w:rFonts w:ascii="Times New Roman" w:hAnsi="Times New Roman" w:cs="Times New Roman"/>
          <w:sz w:val="24"/>
          <w:szCs w:val="24"/>
        </w:rPr>
        <w:t xml:space="preserve"> graph</w:t>
      </w:r>
      <w:r w:rsidR="00AF29E3">
        <w:rPr>
          <w:rFonts w:ascii="Times New Roman" w:hAnsi="Times New Roman" w:cs="Times New Roman"/>
          <w:sz w:val="24"/>
          <w:szCs w:val="24"/>
        </w:rPr>
        <w:t>ical and tabular</w:t>
      </w:r>
      <w:r w:rsidR="000D70D7" w:rsidRPr="00DA15A4">
        <w:rPr>
          <w:rFonts w:ascii="Times New Roman" w:hAnsi="Times New Roman" w:cs="Times New Roman"/>
          <w:sz w:val="24"/>
          <w:szCs w:val="24"/>
        </w:rPr>
        <w:t xml:space="preserve"> format</w:t>
      </w:r>
      <w:r w:rsidR="00301B9B" w:rsidRPr="00DA15A4">
        <w:rPr>
          <w:rFonts w:ascii="Times New Roman" w:hAnsi="Times New Roman" w:cs="Times New Roman"/>
          <w:sz w:val="24"/>
          <w:szCs w:val="24"/>
        </w:rPr>
        <w:t>.</w:t>
      </w:r>
      <w:r w:rsidR="008056FF" w:rsidRPr="00DA15A4">
        <w:rPr>
          <w:rFonts w:ascii="Times New Roman" w:hAnsi="Times New Roman" w:cs="Times New Roman"/>
          <w:sz w:val="24"/>
          <w:szCs w:val="24"/>
        </w:rPr>
        <w:t xml:space="preserve"> </w:t>
      </w:r>
      <w:r w:rsidR="008408E7" w:rsidRPr="00DA15A4">
        <w:rPr>
          <w:rFonts w:ascii="Times New Roman" w:hAnsi="Times New Roman" w:cs="Times New Roman"/>
          <w:sz w:val="24"/>
          <w:szCs w:val="24"/>
        </w:rPr>
        <w:t>A bar graph will be displayed with t</w:t>
      </w:r>
      <w:r w:rsidR="00AF29E3">
        <w:rPr>
          <w:rFonts w:ascii="Times New Roman" w:hAnsi="Times New Roman" w:cs="Times New Roman"/>
          <w:sz w:val="24"/>
          <w:szCs w:val="24"/>
        </w:rPr>
        <w:t>he Thai financial data</w:t>
      </w:r>
      <w:r w:rsidR="00AB044D" w:rsidRPr="00DA15A4">
        <w:rPr>
          <w:rFonts w:ascii="Times New Roman" w:hAnsi="Times New Roman" w:cs="Times New Roman"/>
          <w:sz w:val="24"/>
          <w:szCs w:val="24"/>
        </w:rPr>
        <w:t xml:space="preserve">. </w:t>
      </w:r>
      <w:r w:rsidR="0072064A" w:rsidRPr="00DA15A4">
        <w:rPr>
          <w:rFonts w:ascii="Times New Roman" w:hAnsi="Times New Roman" w:cs="Times New Roman"/>
          <w:sz w:val="24"/>
          <w:szCs w:val="24"/>
        </w:rPr>
        <w:t xml:space="preserve">The time-series graph is another tool that will be found in this study. </w:t>
      </w:r>
      <w:r w:rsidR="00CB4E7E" w:rsidRPr="00DA15A4">
        <w:rPr>
          <w:rFonts w:ascii="Times New Roman" w:hAnsi="Times New Roman" w:cs="Times New Roman"/>
          <w:sz w:val="24"/>
          <w:szCs w:val="24"/>
        </w:rPr>
        <w:t xml:space="preserve">The data will be set </w:t>
      </w:r>
      <w:r w:rsidR="002F5083">
        <w:rPr>
          <w:rFonts w:ascii="Times New Roman" w:hAnsi="Times New Roman" w:cs="Times New Roman"/>
          <w:sz w:val="24"/>
          <w:szCs w:val="24"/>
        </w:rPr>
        <w:t xml:space="preserve">in the tabular form </w:t>
      </w:r>
      <w:r w:rsidR="00CB4E7E" w:rsidRPr="00DA15A4">
        <w:rPr>
          <w:rFonts w:ascii="Times New Roman" w:hAnsi="Times New Roman" w:cs="Times New Roman"/>
          <w:sz w:val="24"/>
          <w:szCs w:val="24"/>
        </w:rPr>
        <w:t xml:space="preserve">to </w:t>
      </w:r>
      <w:r w:rsidR="002F5083">
        <w:rPr>
          <w:rFonts w:ascii="Times New Roman" w:hAnsi="Times New Roman" w:cs="Times New Roman"/>
          <w:sz w:val="24"/>
          <w:szCs w:val="24"/>
        </w:rPr>
        <w:t>provide readers with meaningful information</w:t>
      </w:r>
      <w:r w:rsidR="00CB4E7E" w:rsidRPr="00DA15A4">
        <w:rPr>
          <w:rFonts w:ascii="Times New Roman" w:hAnsi="Times New Roman" w:cs="Times New Roman"/>
          <w:sz w:val="24"/>
          <w:szCs w:val="24"/>
        </w:rPr>
        <w:t xml:space="preserve">. </w:t>
      </w:r>
      <w:r w:rsidR="008056FF" w:rsidRPr="00DA15A4">
        <w:rPr>
          <w:rFonts w:ascii="Times New Roman" w:hAnsi="Times New Roman" w:cs="Times New Roman"/>
          <w:sz w:val="24"/>
          <w:szCs w:val="24"/>
        </w:rPr>
        <w:t xml:space="preserve">The objective variables are international reserve, short-term external debt, </w:t>
      </w:r>
      <w:r w:rsidR="00081442">
        <w:rPr>
          <w:rFonts w:ascii="Times New Roman" w:hAnsi="Times New Roman" w:cs="Times New Roman"/>
          <w:sz w:val="24"/>
          <w:szCs w:val="24"/>
        </w:rPr>
        <w:t xml:space="preserve">BOT’s balance of payments, </w:t>
      </w:r>
      <w:r w:rsidR="008056FF" w:rsidRPr="00DA15A4">
        <w:rPr>
          <w:rFonts w:ascii="Times New Roman" w:hAnsi="Times New Roman" w:cs="Times New Roman"/>
          <w:sz w:val="24"/>
          <w:szCs w:val="24"/>
        </w:rPr>
        <w:t>cur</w:t>
      </w:r>
      <w:r w:rsidR="002A63F6">
        <w:rPr>
          <w:rFonts w:ascii="Times New Roman" w:hAnsi="Times New Roman" w:cs="Times New Roman"/>
          <w:sz w:val="24"/>
          <w:szCs w:val="24"/>
        </w:rPr>
        <w:t>rent account balance, ratio of foreign exchange</w:t>
      </w:r>
      <w:r w:rsidR="008056FF" w:rsidRPr="00DA15A4">
        <w:rPr>
          <w:rFonts w:ascii="Times New Roman" w:hAnsi="Times New Roman" w:cs="Times New Roman"/>
          <w:sz w:val="24"/>
          <w:szCs w:val="24"/>
        </w:rPr>
        <w:t xml:space="preserve"> to GDP</w:t>
      </w:r>
      <w:r w:rsidR="00CB4E7E" w:rsidRPr="00DA15A4">
        <w:rPr>
          <w:rFonts w:ascii="Times New Roman" w:hAnsi="Times New Roman" w:cs="Times New Roman"/>
          <w:sz w:val="24"/>
          <w:szCs w:val="24"/>
        </w:rPr>
        <w:t>, to name a few.</w:t>
      </w:r>
      <w:r w:rsidR="000D70D7" w:rsidRPr="00DA15A4">
        <w:rPr>
          <w:rFonts w:ascii="Times New Roman" w:hAnsi="Times New Roman" w:cs="Times New Roman"/>
          <w:sz w:val="24"/>
          <w:szCs w:val="24"/>
        </w:rPr>
        <w:t xml:space="preserve"> </w:t>
      </w:r>
    </w:p>
    <w:p w:rsidR="00A276B8" w:rsidRPr="00DA15A4" w:rsidRDefault="00A276B8" w:rsidP="0056614E">
      <w:pPr>
        <w:spacing w:line="360" w:lineRule="auto"/>
        <w:jc w:val="both"/>
        <w:rPr>
          <w:rFonts w:ascii="Times New Roman" w:hAnsi="Times New Roman" w:cs="Times New Roman"/>
          <w:sz w:val="24"/>
          <w:szCs w:val="24"/>
        </w:rPr>
      </w:pPr>
    </w:p>
    <w:p w:rsidR="00794127" w:rsidRPr="00DA15A4" w:rsidRDefault="00A276B8" w:rsidP="0056614E">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Bibliography</w:t>
      </w:r>
    </w:p>
    <w:sdt>
      <w:sdtPr>
        <w:id w:val="111145805"/>
        <w:bibliography/>
      </w:sdtPr>
      <w:sdtContent>
        <w:p w:rsidR="00301B9B" w:rsidRPr="00AF29E3" w:rsidRDefault="006935E4" w:rsidP="0056614E">
          <w:pPr>
            <w:pStyle w:val="Bibliography"/>
            <w:spacing w:line="360" w:lineRule="auto"/>
            <w:ind w:left="113" w:right="113" w:firstLine="0"/>
            <w:jc w:val="both"/>
            <w:rPr>
              <w:rFonts w:ascii="Times New Roman" w:hAnsi="Times New Roman" w:cs="Times New Roman"/>
              <w:noProof/>
              <w:sz w:val="24"/>
              <w:szCs w:val="24"/>
            </w:rPr>
          </w:pPr>
          <w:r w:rsidRPr="00AF29E3">
            <w:rPr>
              <w:rFonts w:ascii="Times New Roman" w:hAnsi="Times New Roman" w:cs="Times New Roman"/>
              <w:sz w:val="24"/>
              <w:szCs w:val="24"/>
            </w:rPr>
            <w:fldChar w:fldCharType="begin"/>
          </w:r>
          <w:r w:rsidR="00301B9B" w:rsidRPr="00AF29E3">
            <w:rPr>
              <w:rFonts w:ascii="Times New Roman" w:hAnsi="Times New Roman" w:cs="Times New Roman"/>
              <w:sz w:val="24"/>
              <w:szCs w:val="24"/>
            </w:rPr>
            <w:instrText xml:space="preserve"> BIBLIOGRAPHY </w:instrText>
          </w:r>
          <w:r w:rsidRPr="00AF29E3">
            <w:rPr>
              <w:rFonts w:ascii="Times New Roman" w:hAnsi="Times New Roman" w:cs="Times New Roman"/>
              <w:sz w:val="24"/>
              <w:szCs w:val="24"/>
            </w:rPr>
            <w:fldChar w:fldCharType="separate"/>
          </w:r>
          <w:r w:rsidR="00301B9B" w:rsidRPr="00AF29E3">
            <w:rPr>
              <w:rFonts w:ascii="Times New Roman" w:hAnsi="Times New Roman" w:cs="Times New Roman"/>
              <w:noProof/>
              <w:sz w:val="24"/>
              <w:szCs w:val="24"/>
            </w:rPr>
            <w:t xml:space="preserve">Ang, Andrew. "The Four Benchmarks of </w:t>
          </w:r>
          <w:r w:rsidR="00BB2578" w:rsidRPr="00AF29E3">
            <w:rPr>
              <w:rFonts w:ascii="Times New Roman" w:hAnsi="Times New Roman" w:cs="Times New Roman"/>
              <w:noProof/>
              <w:sz w:val="24"/>
              <w:szCs w:val="24"/>
            </w:rPr>
            <w:t>SWFs</w:t>
          </w:r>
          <w:r w:rsidR="00301B9B" w:rsidRPr="00AF29E3">
            <w:rPr>
              <w:rFonts w:ascii="Times New Roman" w:hAnsi="Times New Roman" w:cs="Times New Roman"/>
              <w:noProof/>
              <w:sz w:val="24"/>
              <w:szCs w:val="24"/>
            </w:rPr>
            <w:t>s." 2010.</w:t>
          </w:r>
        </w:p>
        <w:p w:rsidR="00301B9B" w:rsidRPr="00AF29E3" w:rsidRDefault="00301B9B" w:rsidP="0056614E">
          <w:pPr>
            <w:pStyle w:val="Bibliography"/>
            <w:spacing w:line="360" w:lineRule="auto"/>
            <w:ind w:left="113" w:right="113" w:firstLine="0"/>
            <w:jc w:val="both"/>
            <w:rPr>
              <w:rFonts w:ascii="Times New Roman" w:hAnsi="Times New Roman" w:cs="Times New Roman"/>
              <w:noProof/>
              <w:sz w:val="24"/>
              <w:szCs w:val="24"/>
            </w:rPr>
          </w:pPr>
          <w:r w:rsidRPr="00AF29E3">
            <w:rPr>
              <w:rFonts w:ascii="Times New Roman" w:hAnsi="Times New Roman" w:cs="Times New Roman"/>
              <w:noProof/>
              <w:sz w:val="24"/>
              <w:szCs w:val="24"/>
            </w:rPr>
            <w:t>Balin, Bryan J. "</w:t>
          </w:r>
          <w:r w:rsidR="00BB2578" w:rsidRPr="00AF29E3">
            <w:rPr>
              <w:rFonts w:ascii="Times New Roman" w:hAnsi="Times New Roman" w:cs="Times New Roman"/>
              <w:noProof/>
              <w:sz w:val="24"/>
              <w:szCs w:val="24"/>
            </w:rPr>
            <w:t>SWFs</w:t>
          </w:r>
          <w:r w:rsidRPr="00AF29E3">
            <w:rPr>
              <w:rFonts w:ascii="Times New Roman" w:hAnsi="Times New Roman" w:cs="Times New Roman"/>
              <w:noProof/>
              <w:sz w:val="24"/>
              <w:szCs w:val="24"/>
            </w:rPr>
            <w:t>s: A Critical Analysis." 2008.</w:t>
          </w:r>
        </w:p>
        <w:p w:rsidR="00301B9B" w:rsidRPr="00AF29E3" w:rsidRDefault="00301B9B" w:rsidP="0056614E">
          <w:pPr>
            <w:pStyle w:val="Bibliography"/>
            <w:spacing w:line="360" w:lineRule="auto"/>
            <w:ind w:left="113" w:right="113" w:firstLine="0"/>
            <w:jc w:val="both"/>
            <w:rPr>
              <w:rFonts w:ascii="Times New Roman" w:hAnsi="Times New Roman" w:cs="Times New Roman"/>
              <w:noProof/>
              <w:sz w:val="24"/>
              <w:szCs w:val="24"/>
            </w:rPr>
          </w:pPr>
          <w:r w:rsidRPr="00AF29E3">
            <w:rPr>
              <w:rFonts w:ascii="Times New Roman" w:hAnsi="Times New Roman" w:cs="Times New Roman"/>
              <w:noProof/>
              <w:sz w:val="24"/>
              <w:szCs w:val="24"/>
            </w:rPr>
            <w:t>Curto, Stefano. "</w:t>
          </w:r>
          <w:r w:rsidR="00BB2578" w:rsidRPr="00AF29E3">
            <w:rPr>
              <w:rFonts w:ascii="Times New Roman" w:hAnsi="Times New Roman" w:cs="Times New Roman"/>
              <w:noProof/>
              <w:sz w:val="24"/>
              <w:szCs w:val="24"/>
            </w:rPr>
            <w:t>SWFs</w:t>
          </w:r>
          <w:r w:rsidRPr="00AF29E3">
            <w:rPr>
              <w:rFonts w:ascii="Times New Roman" w:hAnsi="Times New Roman" w:cs="Times New Roman"/>
              <w:noProof/>
              <w:sz w:val="24"/>
              <w:szCs w:val="24"/>
            </w:rPr>
            <w:t>s in the Next Decade." 2010.</w:t>
          </w:r>
        </w:p>
        <w:p w:rsidR="00301B9B" w:rsidRPr="00AF29E3" w:rsidRDefault="00301B9B" w:rsidP="0056614E">
          <w:pPr>
            <w:pStyle w:val="Bibliography"/>
            <w:spacing w:line="360" w:lineRule="auto"/>
            <w:ind w:left="113" w:right="113" w:firstLine="0"/>
            <w:jc w:val="both"/>
            <w:rPr>
              <w:rFonts w:ascii="Times New Roman" w:hAnsi="Times New Roman" w:cs="Times New Roman"/>
              <w:noProof/>
              <w:sz w:val="24"/>
              <w:szCs w:val="24"/>
            </w:rPr>
          </w:pPr>
          <w:r w:rsidRPr="00AF29E3">
            <w:rPr>
              <w:rFonts w:ascii="Times New Roman" w:hAnsi="Times New Roman" w:cs="Times New Roman"/>
              <w:noProof/>
              <w:sz w:val="24"/>
              <w:szCs w:val="24"/>
            </w:rPr>
            <w:t>Eric Le Borgne, Paulo Medas. "</w:t>
          </w:r>
          <w:r w:rsidR="00BB2578" w:rsidRPr="00AF29E3">
            <w:rPr>
              <w:rFonts w:ascii="Times New Roman" w:hAnsi="Times New Roman" w:cs="Times New Roman"/>
              <w:noProof/>
              <w:sz w:val="24"/>
              <w:szCs w:val="24"/>
            </w:rPr>
            <w:t>SWFs</w:t>
          </w:r>
          <w:r w:rsidRPr="00AF29E3">
            <w:rPr>
              <w:rFonts w:ascii="Times New Roman" w:hAnsi="Times New Roman" w:cs="Times New Roman"/>
              <w:noProof/>
              <w:sz w:val="24"/>
              <w:szCs w:val="24"/>
            </w:rPr>
            <w:t>s in the Pacific Island Countries: Macro-Fiscal Linkages." 2007.</w:t>
          </w:r>
        </w:p>
        <w:p w:rsidR="00301B9B" w:rsidRPr="00AF29E3" w:rsidRDefault="00301B9B" w:rsidP="0056614E">
          <w:pPr>
            <w:pStyle w:val="Bibliography"/>
            <w:spacing w:line="360" w:lineRule="auto"/>
            <w:ind w:left="113" w:right="113" w:firstLine="0"/>
            <w:jc w:val="both"/>
            <w:rPr>
              <w:rFonts w:ascii="Times New Roman" w:hAnsi="Times New Roman" w:cs="Times New Roman"/>
              <w:noProof/>
              <w:sz w:val="24"/>
              <w:szCs w:val="24"/>
            </w:rPr>
          </w:pPr>
          <w:r w:rsidRPr="00AF29E3">
            <w:rPr>
              <w:rFonts w:ascii="Times New Roman" w:hAnsi="Times New Roman" w:cs="Times New Roman"/>
              <w:noProof/>
              <w:sz w:val="24"/>
              <w:szCs w:val="24"/>
            </w:rPr>
            <w:lastRenderedPageBreak/>
            <w:t>Phuvanatnaranubala, Thirachai. "</w:t>
          </w:r>
          <w:r w:rsidR="00BB2578" w:rsidRPr="00AF29E3">
            <w:rPr>
              <w:rFonts w:ascii="Times New Roman" w:hAnsi="Times New Roman" w:cs="Times New Roman"/>
              <w:noProof/>
              <w:sz w:val="24"/>
              <w:szCs w:val="24"/>
            </w:rPr>
            <w:t>SWFs</w:t>
          </w:r>
          <w:r w:rsidRPr="00AF29E3">
            <w:rPr>
              <w:rFonts w:ascii="Times New Roman" w:hAnsi="Times New Roman" w:cs="Times New Roman"/>
              <w:noProof/>
              <w:sz w:val="24"/>
              <w:szCs w:val="24"/>
            </w:rPr>
            <w:t xml:space="preserve"> for Thailand? - Speech by Thirachai Phuvanatnaranubala." Securities and Exchange Commission , 2008.</w:t>
          </w:r>
        </w:p>
        <w:p w:rsidR="00301B9B" w:rsidRPr="00AF29E3" w:rsidRDefault="00301B9B" w:rsidP="0056614E">
          <w:pPr>
            <w:pStyle w:val="Bibliography"/>
            <w:spacing w:line="360" w:lineRule="auto"/>
            <w:ind w:left="113" w:right="113" w:firstLine="0"/>
            <w:jc w:val="both"/>
            <w:rPr>
              <w:rFonts w:ascii="Times New Roman" w:hAnsi="Times New Roman" w:cs="Times New Roman"/>
              <w:noProof/>
              <w:sz w:val="24"/>
              <w:szCs w:val="24"/>
            </w:rPr>
          </w:pPr>
          <w:r w:rsidRPr="00AF29E3">
            <w:rPr>
              <w:rFonts w:ascii="Times New Roman" w:hAnsi="Times New Roman" w:cs="Times New Roman"/>
              <w:noProof/>
              <w:sz w:val="24"/>
              <w:szCs w:val="24"/>
            </w:rPr>
            <w:t>Sarkar, Rumu. "</w:t>
          </w:r>
          <w:r w:rsidR="00BB2578" w:rsidRPr="00AF29E3">
            <w:rPr>
              <w:rFonts w:ascii="Times New Roman" w:hAnsi="Times New Roman" w:cs="Times New Roman"/>
              <w:noProof/>
              <w:sz w:val="24"/>
              <w:szCs w:val="24"/>
            </w:rPr>
            <w:t>SWFs</w:t>
          </w:r>
          <w:r w:rsidR="00A276B8">
            <w:rPr>
              <w:rFonts w:ascii="Times New Roman" w:hAnsi="Times New Roman" w:cs="Times New Roman"/>
              <w:noProof/>
              <w:sz w:val="24"/>
              <w:szCs w:val="24"/>
            </w:rPr>
            <w:t xml:space="preserve"> as a Development Tool f</w:t>
          </w:r>
          <w:r w:rsidRPr="00AF29E3">
            <w:rPr>
              <w:rFonts w:ascii="Times New Roman" w:hAnsi="Times New Roman" w:cs="Times New Roman"/>
              <w:noProof/>
              <w:sz w:val="24"/>
              <w:szCs w:val="24"/>
            </w:rPr>
            <w:t>or Asean Nations: From Social Wealth to Social Responsibility." 2009.</w:t>
          </w:r>
        </w:p>
        <w:p w:rsidR="00301B9B" w:rsidRPr="00AF29E3" w:rsidRDefault="00301B9B" w:rsidP="0056614E">
          <w:pPr>
            <w:pStyle w:val="Bibliography"/>
            <w:spacing w:line="360" w:lineRule="auto"/>
            <w:ind w:left="113" w:right="113" w:firstLine="0"/>
            <w:jc w:val="both"/>
            <w:rPr>
              <w:rFonts w:ascii="Times New Roman" w:hAnsi="Times New Roman" w:cs="Times New Roman"/>
              <w:noProof/>
              <w:sz w:val="24"/>
              <w:szCs w:val="24"/>
            </w:rPr>
          </w:pPr>
          <w:r w:rsidRPr="00AF29E3">
            <w:rPr>
              <w:rFonts w:ascii="Times New Roman" w:hAnsi="Times New Roman" w:cs="Times New Roman"/>
              <w:noProof/>
              <w:sz w:val="24"/>
              <w:szCs w:val="24"/>
            </w:rPr>
            <w:t>United States Government Accountability Office. "</w:t>
          </w:r>
          <w:r w:rsidR="00A276B8">
            <w:rPr>
              <w:rFonts w:ascii="Times New Roman" w:hAnsi="Times New Roman" w:cs="Times New Roman"/>
              <w:noProof/>
              <w:sz w:val="24"/>
              <w:szCs w:val="24"/>
            </w:rPr>
            <w:t>SWF</w:t>
          </w:r>
          <w:r w:rsidRPr="00AF29E3">
            <w:rPr>
              <w:rFonts w:ascii="Times New Roman" w:hAnsi="Times New Roman" w:cs="Times New Roman"/>
              <w:noProof/>
              <w:sz w:val="24"/>
              <w:szCs w:val="24"/>
            </w:rPr>
            <w:t xml:space="preserve">s: Publicly Available Data on Sizes </w:t>
          </w:r>
          <w:r w:rsidR="00A276B8">
            <w:rPr>
              <w:rFonts w:ascii="Times New Roman" w:hAnsi="Times New Roman" w:cs="Times New Roman"/>
              <w:noProof/>
              <w:sz w:val="24"/>
              <w:szCs w:val="24"/>
            </w:rPr>
            <w:t>and Investments for Some Funds a</w:t>
          </w:r>
          <w:r w:rsidRPr="00AF29E3">
            <w:rPr>
              <w:rFonts w:ascii="Times New Roman" w:hAnsi="Times New Roman" w:cs="Times New Roman"/>
              <w:noProof/>
              <w:sz w:val="24"/>
              <w:szCs w:val="24"/>
            </w:rPr>
            <w:t>re Limited ." 2008.</w:t>
          </w:r>
        </w:p>
        <w:p w:rsidR="00301B9B" w:rsidRPr="00AF29E3" w:rsidRDefault="00301B9B" w:rsidP="0056614E">
          <w:pPr>
            <w:pStyle w:val="Bibliography"/>
            <w:spacing w:line="360" w:lineRule="auto"/>
            <w:ind w:left="113" w:right="113" w:firstLine="0"/>
            <w:jc w:val="both"/>
            <w:rPr>
              <w:rFonts w:ascii="Times New Roman" w:hAnsi="Times New Roman" w:cs="Times New Roman"/>
              <w:noProof/>
              <w:sz w:val="24"/>
              <w:szCs w:val="24"/>
            </w:rPr>
          </w:pPr>
          <w:r w:rsidRPr="00AF29E3">
            <w:rPr>
              <w:rFonts w:ascii="Times New Roman" w:hAnsi="Times New Roman" w:cs="Times New Roman"/>
              <w:noProof/>
              <w:sz w:val="24"/>
              <w:szCs w:val="24"/>
            </w:rPr>
            <w:t>Victoria Barbary, Bernardo Bortolotti, Veljko Fotak, William Miracky. "</w:t>
          </w:r>
          <w:r w:rsidR="00BB2578" w:rsidRPr="00AF29E3">
            <w:rPr>
              <w:rFonts w:ascii="Times New Roman" w:hAnsi="Times New Roman" w:cs="Times New Roman"/>
              <w:noProof/>
              <w:sz w:val="24"/>
              <w:szCs w:val="24"/>
            </w:rPr>
            <w:t>SWFs</w:t>
          </w:r>
          <w:r w:rsidRPr="00AF29E3">
            <w:rPr>
              <w:rFonts w:ascii="Times New Roman" w:hAnsi="Times New Roman" w:cs="Times New Roman"/>
              <w:noProof/>
              <w:sz w:val="24"/>
              <w:szCs w:val="24"/>
            </w:rPr>
            <w:t xml:space="preserve"> Investment Behavior ." 2010.</w:t>
          </w:r>
        </w:p>
        <w:p w:rsidR="00666CEF" w:rsidRDefault="006935E4" w:rsidP="00666CEF">
          <w:pPr>
            <w:spacing w:line="360" w:lineRule="auto"/>
            <w:ind w:right="113"/>
            <w:jc w:val="both"/>
            <w:rPr>
              <w:rFonts w:ascii="Times New Roman" w:hAnsi="Times New Roman" w:cs="Times New Roman"/>
              <w:b/>
              <w:bCs/>
              <w:sz w:val="24"/>
              <w:szCs w:val="24"/>
            </w:rPr>
          </w:pPr>
          <w:r w:rsidRPr="00AF29E3">
            <w:rPr>
              <w:rFonts w:ascii="Times New Roman" w:hAnsi="Times New Roman" w:cs="Times New Roman"/>
              <w:sz w:val="24"/>
              <w:szCs w:val="24"/>
            </w:rPr>
            <w:fldChar w:fldCharType="end"/>
          </w:r>
        </w:p>
      </w:sdtContent>
    </w:sdt>
    <w:p w:rsidR="00794127" w:rsidRPr="00DA15A4" w:rsidRDefault="005F52A2" w:rsidP="0056614E">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Appendices</w:t>
      </w:r>
    </w:p>
    <w:p w:rsidR="0028764C" w:rsidRPr="00DA15A4" w:rsidRDefault="0028764C" w:rsidP="0056614E">
      <w:pPr>
        <w:spacing w:line="360" w:lineRule="auto"/>
        <w:jc w:val="both"/>
        <w:rPr>
          <w:rFonts w:ascii="Times New Roman" w:hAnsi="Times New Roman" w:cs="Times New Roman"/>
          <w:sz w:val="24"/>
          <w:szCs w:val="24"/>
        </w:rPr>
      </w:pPr>
      <w:r w:rsidRPr="00DA15A4">
        <w:rPr>
          <w:rFonts w:ascii="Times New Roman" w:hAnsi="Times New Roman" w:cs="Times New Roman"/>
          <w:b/>
          <w:bCs/>
          <w:sz w:val="24"/>
          <w:szCs w:val="24"/>
        </w:rPr>
        <w:t>Foreign Exchange Intervention</w:t>
      </w:r>
      <w:r w:rsidR="00C741B8" w:rsidRPr="00DA15A4">
        <w:rPr>
          <w:rFonts w:ascii="Times New Roman" w:hAnsi="Times New Roman" w:cs="Times New Roman"/>
          <w:b/>
          <w:bCs/>
          <w:sz w:val="24"/>
          <w:szCs w:val="24"/>
        </w:rPr>
        <w:t>:</w:t>
      </w:r>
      <w:r w:rsidR="00C741B8" w:rsidRPr="00DA15A4">
        <w:rPr>
          <w:rFonts w:ascii="Times New Roman" w:hAnsi="Times New Roman" w:cs="Times New Roman"/>
          <w:sz w:val="24"/>
          <w:szCs w:val="24"/>
        </w:rPr>
        <w:t xml:space="preserve"> </w:t>
      </w:r>
      <w:r w:rsidR="00C741B8" w:rsidRPr="00DA15A4">
        <w:rPr>
          <w:rFonts w:ascii="Times New Roman" w:hAnsi="Times New Roman" w:cs="Times New Roman"/>
          <w:sz w:val="24"/>
          <w:szCs w:val="24"/>
          <w:shd w:val="clear" w:color="auto" w:fill="FFFFFF"/>
        </w:rPr>
        <w:t xml:space="preserve">A monetary policy tool in which a central bank takes an active participatory role in influencing the monetary funds transfer rate of the national currency. </w:t>
      </w:r>
    </w:p>
    <w:p w:rsidR="0064140A" w:rsidRPr="00DA15A4" w:rsidRDefault="004F5364" w:rsidP="004F5364">
      <w:pPr>
        <w:shd w:val="clear" w:color="auto" w:fill="FFFFFF"/>
        <w:spacing w:before="36" w:after="36" w:line="360" w:lineRule="auto"/>
        <w:jc w:val="both"/>
        <w:outlineLvl w:val="1"/>
        <w:rPr>
          <w:rFonts w:ascii="Times New Roman" w:hAnsi="Times New Roman" w:cs="Times New Roman"/>
          <w:sz w:val="24"/>
          <w:szCs w:val="24"/>
        </w:rPr>
      </w:pPr>
      <w:r>
        <w:rPr>
          <w:rFonts w:ascii="Times New Roman" w:eastAsia="Times New Roman" w:hAnsi="Times New Roman" w:cs="Times New Roman"/>
          <w:b/>
          <w:bCs/>
          <w:sz w:val="24"/>
          <w:szCs w:val="24"/>
        </w:rPr>
        <w:t>Repurchase Agreement (</w:t>
      </w:r>
      <w:r w:rsidR="0056614E" w:rsidRPr="00DA15A4">
        <w:rPr>
          <w:rFonts w:ascii="Times New Roman" w:eastAsia="Times New Roman" w:hAnsi="Times New Roman" w:cs="Times New Roman"/>
          <w:b/>
          <w:bCs/>
          <w:sz w:val="24"/>
          <w:szCs w:val="24"/>
        </w:rPr>
        <w:t>Repo</w:t>
      </w:r>
      <w:r>
        <w:rPr>
          <w:rFonts w:ascii="Times New Roman" w:eastAsia="Times New Roman" w:hAnsi="Times New Roman" w:cs="Times New Roman"/>
          <w:b/>
          <w:bCs/>
          <w:sz w:val="24"/>
          <w:szCs w:val="24"/>
        </w:rPr>
        <w:t>)</w:t>
      </w:r>
      <w:r w:rsidRPr="004F5364">
        <w:rPr>
          <w:rFonts w:ascii="Times New Roman" w:eastAsia="Times New Roman" w:hAnsi="Times New Roman" w:cs="Times New Roman"/>
          <w:b/>
          <w:bCs/>
          <w:sz w:val="24"/>
          <w:szCs w:val="24"/>
          <w:shd w:val="clear" w:color="auto" w:fill="FFFFFF"/>
        </w:rPr>
        <w:t>:</w:t>
      </w:r>
      <w:r>
        <w:rPr>
          <w:rFonts w:ascii="Times New Roman" w:eastAsia="Times New Roman" w:hAnsi="Times New Roman" w:cs="Times New Roman"/>
          <w:sz w:val="24"/>
          <w:szCs w:val="24"/>
          <w:shd w:val="clear" w:color="auto" w:fill="FFFFFF"/>
        </w:rPr>
        <w:t xml:space="preserve"> </w:t>
      </w:r>
      <w:r w:rsidR="0064140A" w:rsidRPr="00DA15A4">
        <w:rPr>
          <w:rFonts w:ascii="Times New Roman" w:eastAsia="Times New Roman" w:hAnsi="Times New Roman" w:cs="Times New Roman"/>
          <w:sz w:val="24"/>
          <w:szCs w:val="24"/>
          <w:shd w:val="clear" w:color="auto" w:fill="FFFFFF"/>
        </w:rPr>
        <w:t>A form of short-term borrowing for dealers in government securities. The dealer sells the government securities to investors, usually on an overnight basis, a</w:t>
      </w:r>
      <w:r w:rsidR="00AB044D" w:rsidRPr="00DA15A4">
        <w:rPr>
          <w:rFonts w:ascii="Times New Roman" w:eastAsia="Times New Roman" w:hAnsi="Times New Roman" w:cs="Times New Roman"/>
          <w:sz w:val="24"/>
          <w:szCs w:val="24"/>
          <w:shd w:val="clear" w:color="auto" w:fill="FFFFFF"/>
        </w:rPr>
        <w:t>nd buys them back the following day.</w:t>
      </w:r>
      <w:r w:rsidR="0064140A" w:rsidRPr="00DA15A4">
        <w:rPr>
          <w:rFonts w:ascii="Times New Roman" w:eastAsia="Times New Roman" w:hAnsi="Times New Roman" w:cs="Times New Roman"/>
          <w:sz w:val="24"/>
          <w:szCs w:val="24"/>
        </w:rPr>
        <w:t> </w:t>
      </w:r>
      <w:r w:rsidR="0064140A" w:rsidRPr="00DA15A4">
        <w:rPr>
          <w:rFonts w:ascii="Times New Roman" w:eastAsia="Times New Roman" w:hAnsi="Times New Roman" w:cs="Times New Roman"/>
          <w:sz w:val="24"/>
          <w:szCs w:val="24"/>
        </w:rPr>
        <w:br/>
      </w:r>
      <w:r w:rsidR="0064140A" w:rsidRPr="00DA15A4">
        <w:rPr>
          <w:rFonts w:ascii="Times New Roman" w:eastAsia="Times New Roman" w:hAnsi="Times New Roman" w:cs="Times New Roman"/>
          <w:sz w:val="24"/>
          <w:szCs w:val="24"/>
          <w:shd w:val="clear" w:color="auto" w:fill="FFFFFF"/>
        </w:rPr>
        <w:br/>
      </w:r>
      <w:r w:rsidR="0056614E" w:rsidRPr="00DA15A4">
        <w:rPr>
          <w:rFonts w:ascii="Times New Roman" w:eastAsia="Times New Roman" w:hAnsi="Times New Roman" w:cs="Times New Roman"/>
          <w:b/>
          <w:bCs/>
          <w:sz w:val="24"/>
          <w:szCs w:val="24"/>
        </w:rPr>
        <w:t>Foreign Currency Swap</w:t>
      </w:r>
      <w:r w:rsidRPr="004F5364">
        <w:rPr>
          <w:rFonts w:ascii="Times New Roman" w:eastAsia="Times New Roman" w:hAnsi="Times New Roman" w:cs="Times New Roman"/>
          <w:b/>
          <w:bCs/>
          <w:sz w:val="24"/>
          <w:szCs w:val="24"/>
          <w:shd w:val="clear" w:color="auto" w:fill="FFFFFF"/>
        </w:rPr>
        <w:t>:</w:t>
      </w:r>
      <w:r>
        <w:rPr>
          <w:rFonts w:ascii="Times New Roman" w:eastAsia="Times New Roman" w:hAnsi="Times New Roman" w:cs="Times New Roman"/>
          <w:sz w:val="24"/>
          <w:szCs w:val="24"/>
          <w:shd w:val="clear" w:color="auto" w:fill="FFFFFF"/>
        </w:rPr>
        <w:t xml:space="preserve"> </w:t>
      </w:r>
      <w:r w:rsidR="00C741B8" w:rsidRPr="00DA15A4">
        <w:rPr>
          <w:rFonts w:ascii="Times New Roman" w:eastAsia="Times New Roman" w:hAnsi="Times New Roman" w:cs="Times New Roman"/>
          <w:sz w:val="24"/>
          <w:szCs w:val="24"/>
          <w:shd w:val="clear" w:color="auto" w:fill="FFFFFF"/>
        </w:rPr>
        <w:t xml:space="preserve">An agreement to make a currency exchange between two foreign parties. The agreement consists of swapping principal and interest payments on a loan made in one currency for principal and interest payments of a loan of equal value in another currency. </w:t>
      </w:r>
      <w:r w:rsidR="00C741B8" w:rsidRPr="00DA15A4">
        <w:rPr>
          <w:rFonts w:ascii="Times New Roman" w:eastAsia="Times New Roman" w:hAnsi="Times New Roman" w:cs="Times New Roman"/>
          <w:sz w:val="24"/>
          <w:szCs w:val="24"/>
          <w:shd w:val="clear" w:color="auto" w:fill="FFFFFF"/>
        </w:rPr>
        <w:br/>
      </w:r>
      <w:r w:rsidR="00C741B8" w:rsidRPr="00DA15A4">
        <w:rPr>
          <w:rFonts w:ascii="Times New Roman" w:eastAsia="Times New Roman" w:hAnsi="Times New Roman" w:cs="Times New Roman"/>
          <w:sz w:val="24"/>
          <w:szCs w:val="24"/>
          <w:shd w:val="clear" w:color="auto" w:fill="FFFFFF"/>
        </w:rPr>
        <w:br/>
      </w:r>
      <w:r w:rsidR="0028764C" w:rsidRPr="00DA15A4">
        <w:rPr>
          <w:rFonts w:ascii="Times New Roman" w:hAnsi="Times New Roman" w:cs="Times New Roman"/>
          <w:b/>
          <w:bCs/>
          <w:sz w:val="24"/>
          <w:szCs w:val="24"/>
        </w:rPr>
        <w:t xml:space="preserve">Ad </w:t>
      </w:r>
      <w:proofErr w:type="spellStart"/>
      <w:r w:rsidR="0028764C" w:rsidRPr="00DA15A4">
        <w:rPr>
          <w:rFonts w:ascii="Times New Roman" w:hAnsi="Times New Roman" w:cs="Times New Roman"/>
          <w:b/>
          <w:bCs/>
          <w:sz w:val="24"/>
          <w:szCs w:val="24"/>
        </w:rPr>
        <w:t>Populum</w:t>
      </w:r>
      <w:proofErr w:type="spellEnd"/>
      <w:r w:rsidR="0028764C" w:rsidRPr="00DA15A4">
        <w:rPr>
          <w:rFonts w:ascii="Times New Roman" w:hAnsi="Times New Roman" w:cs="Times New Roman"/>
          <w:b/>
          <w:bCs/>
          <w:sz w:val="24"/>
          <w:szCs w:val="24"/>
        </w:rPr>
        <w:t xml:space="preserve"> Fallacy</w:t>
      </w:r>
      <w:r w:rsidR="0064140A" w:rsidRPr="004F5364">
        <w:rPr>
          <w:rFonts w:ascii="Times New Roman" w:hAnsi="Times New Roman" w:cs="Times New Roman"/>
          <w:b/>
          <w:bCs/>
          <w:sz w:val="24"/>
          <w:szCs w:val="24"/>
        </w:rPr>
        <w:t>:</w:t>
      </w:r>
      <w:r w:rsidR="00D86BE0">
        <w:rPr>
          <w:rFonts w:ascii="Times New Roman" w:hAnsi="Times New Roman" w:cs="Times New Roman"/>
          <w:sz w:val="24"/>
          <w:szCs w:val="24"/>
          <w:shd w:val="clear" w:color="auto" w:fill="FFFFFF"/>
        </w:rPr>
        <w:t xml:space="preserve"> The appeal to the popularity of a claim as a reason for accepting it.</w:t>
      </w:r>
      <w:r w:rsidR="00C741B8" w:rsidRPr="00DA15A4">
        <w:rPr>
          <w:rFonts w:ascii="Times New Roman" w:hAnsi="Times New Roman" w:cs="Times New Roman"/>
          <w:sz w:val="24"/>
          <w:szCs w:val="24"/>
          <w:shd w:val="clear" w:color="auto" w:fill="FFFFFF"/>
        </w:rPr>
        <w:br/>
      </w:r>
      <w:r w:rsidR="00C741B8" w:rsidRPr="00DA15A4">
        <w:rPr>
          <w:rFonts w:ascii="Times New Roman" w:hAnsi="Times New Roman" w:cs="Times New Roman"/>
          <w:sz w:val="24"/>
          <w:szCs w:val="24"/>
          <w:shd w:val="clear" w:color="auto" w:fill="FFFFFF"/>
        </w:rPr>
        <w:lastRenderedPageBreak/>
        <w:br/>
      </w:r>
      <w:r w:rsidR="00666CEF" w:rsidRPr="00666CEF">
        <w:rPr>
          <w:rFonts w:ascii="Times New Roman" w:hAnsi="Times New Roman" w:cs="Times New Roman"/>
          <w:noProof/>
          <w:sz w:val="24"/>
          <w:szCs w:val="24"/>
        </w:rPr>
        <w:drawing>
          <wp:inline distT="0" distB="0" distL="0" distR="0">
            <wp:extent cx="5731510" cy="3438947"/>
            <wp:effectExtent l="19050" t="0" r="21590" b="9103"/>
            <wp:docPr id="1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666CEF" w:rsidRPr="00202D89" w:rsidRDefault="00666CEF" w:rsidP="00666CEF">
      <w:pPr>
        <w:jc w:val="both"/>
        <w:rPr>
          <w:rFonts w:ascii="Times New Roman" w:hAnsi="Times New Roman" w:cs="Times New Roman"/>
          <w:szCs w:val="22"/>
        </w:rPr>
      </w:pPr>
      <w:r w:rsidRPr="00202D89">
        <w:rPr>
          <w:rFonts w:ascii="Times New Roman" w:hAnsi="Times New Roman" w:cs="Times New Roman"/>
          <w:szCs w:val="22"/>
        </w:rPr>
        <w:t>Source: Bank of Thailand</w:t>
      </w:r>
    </w:p>
    <w:p w:rsidR="00916D3F" w:rsidRDefault="00666CEF" w:rsidP="0056614E">
      <w:pPr>
        <w:spacing w:line="360" w:lineRule="auto"/>
        <w:jc w:val="both"/>
        <w:rPr>
          <w:rFonts w:ascii="Times New Roman" w:hAnsi="Times New Roman" w:cs="Times New Roman"/>
          <w:sz w:val="24"/>
          <w:szCs w:val="24"/>
        </w:rPr>
      </w:pPr>
      <w:r w:rsidRPr="00666CEF">
        <w:rPr>
          <w:rFonts w:ascii="Times New Roman" w:hAnsi="Times New Roman" w:cs="Times New Roman"/>
          <w:noProof/>
          <w:sz w:val="24"/>
          <w:szCs w:val="24"/>
        </w:rPr>
        <w:drawing>
          <wp:inline distT="0" distB="0" distL="0" distR="0">
            <wp:extent cx="5724525" cy="3733800"/>
            <wp:effectExtent l="19050" t="0" r="9525" b="0"/>
            <wp:docPr id="18"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666CEF" w:rsidRDefault="00666CEF" w:rsidP="0056614E">
      <w:pPr>
        <w:spacing w:line="360" w:lineRule="auto"/>
        <w:jc w:val="both"/>
        <w:rPr>
          <w:rFonts w:ascii="Times New Roman" w:hAnsi="Times New Roman" w:cs="Times New Roman"/>
          <w:sz w:val="24"/>
          <w:szCs w:val="24"/>
        </w:rPr>
      </w:pPr>
      <w:r w:rsidRPr="00202D89">
        <w:rPr>
          <w:rFonts w:ascii="Times New Roman" w:hAnsi="Times New Roman" w:cs="Times New Roman"/>
          <w:szCs w:val="22"/>
        </w:rPr>
        <w:t>Source: Bank of Thailand</w:t>
      </w:r>
    </w:p>
    <w:p w:rsidR="00666CEF" w:rsidRDefault="00666CEF" w:rsidP="0056614E">
      <w:pPr>
        <w:spacing w:line="360" w:lineRule="auto"/>
        <w:jc w:val="both"/>
        <w:rPr>
          <w:rFonts w:ascii="Times New Roman" w:hAnsi="Times New Roman" w:cs="Times New Roman"/>
          <w:sz w:val="24"/>
          <w:szCs w:val="24"/>
        </w:rPr>
      </w:pPr>
    </w:p>
    <w:p w:rsidR="00666CEF" w:rsidRPr="005F52A2" w:rsidRDefault="00666CEF" w:rsidP="005F52A2">
      <w:pPr>
        <w:spacing w:line="360" w:lineRule="auto"/>
        <w:ind w:firstLine="720"/>
        <w:jc w:val="center"/>
        <w:rPr>
          <w:rFonts w:ascii="Times New Roman" w:hAnsi="Times New Roman" w:cs="Times New Roman"/>
          <w:b/>
          <w:bCs/>
          <w:sz w:val="24"/>
          <w:szCs w:val="24"/>
        </w:rPr>
      </w:pPr>
      <w:r w:rsidRPr="005F52A2">
        <w:rPr>
          <w:rFonts w:ascii="Times New Roman" w:hAnsi="Times New Roman" w:cs="Times New Roman"/>
          <w:b/>
          <w:bCs/>
          <w:sz w:val="24"/>
          <w:szCs w:val="24"/>
        </w:rPr>
        <w:lastRenderedPageBreak/>
        <w:t>Sovereign Wealth Fund Ranking by Assets under Management</w:t>
      </w:r>
    </w:p>
    <w:tbl>
      <w:tblPr>
        <w:tblW w:w="9700" w:type="dxa"/>
        <w:tblInd w:w="91" w:type="dxa"/>
        <w:tblLook w:val="04A0"/>
      </w:tblPr>
      <w:tblGrid>
        <w:gridCol w:w="777"/>
        <w:gridCol w:w="1953"/>
        <w:gridCol w:w="2639"/>
        <w:gridCol w:w="1311"/>
        <w:gridCol w:w="1300"/>
        <w:gridCol w:w="1720"/>
      </w:tblGrid>
      <w:tr w:rsidR="00666CEF" w:rsidRPr="00FE34C5" w:rsidTr="005F52A2">
        <w:trPr>
          <w:trHeight w:val="855"/>
        </w:trPr>
        <w:tc>
          <w:tcPr>
            <w:tcW w:w="700" w:type="dxa"/>
            <w:tcBorders>
              <w:top w:val="nil"/>
              <w:left w:val="nil"/>
              <w:bottom w:val="nil"/>
              <w:right w:val="nil"/>
            </w:tcBorders>
            <w:shd w:val="clear" w:color="000000" w:fill="632523"/>
            <w:noWrap/>
            <w:vAlign w:val="center"/>
            <w:hideMark/>
          </w:tcPr>
          <w:p w:rsidR="00666CEF" w:rsidRPr="005F52A2" w:rsidRDefault="00666CEF" w:rsidP="005F52A2">
            <w:pPr>
              <w:spacing w:after="0" w:line="240" w:lineRule="auto"/>
              <w:jc w:val="center"/>
              <w:rPr>
                <w:rFonts w:ascii="Times New Roman" w:eastAsia="Times New Roman" w:hAnsi="Times New Roman" w:cs="Times New Roman"/>
                <w:b/>
                <w:bCs/>
                <w:color w:val="FFFFFF"/>
                <w:sz w:val="24"/>
                <w:szCs w:val="24"/>
              </w:rPr>
            </w:pPr>
            <w:r w:rsidRPr="005F52A2">
              <w:rPr>
                <w:rFonts w:ascii="Times New Roman" w:eastAsia="Times New Roman" w:hAnsi="Times New Roman" w:cs="Times New Roman"/>
                <w:b/>
                <w:bCs/>
                <w:color w:val="FFFFFF"/>
                <w:sz w:val="24"/>
                <w:szCs w:val="24"/>
              </w:rPr>
              <w:t>Rank</w:t>
            </w:r>
          </w:p>
        </w:tc>
        <w:tc>
          <w:tcPr>
            <w:tcW w:w="1980" w:type="dxa"/>
            <w:tcBorders>
              <w:top w:val="single" w:sz="8" w:space="0" w:color="CCCCCC"/>
              <w:left w:val="single" w:sz="8" w:space="0" w:color="CCCCCC"/>
              <w:bottom w:val="single" w:sz="8" w:space="0" w:color="CCCCCC"/>
              <w:right w:val="single" w:sz="8" w:space="0" w:color="CCCCCC"/>
            </w:tcBorders>
            <w:shd w:val="clear" w:color="000000" w:fill="660000"/>
            <w:vAlign w:val="center"/>
            <w:hideMark/>
          </w:tcPr>
          <w:p w:rsidR="00666CEF" w:rsidRPr="005F52A2" w:rsidRDefault="00666CEF" w:rsidP="005F52A2">
            <w:pPr>
              <w:spacing w:after="0" w:line="240" w:lineRule="auto"/>
              <w:jc w:val="center"/>
              <w:rPr>
                <w:rFonts w:ascii="Times New Roman" w:eastAsia="Times New Roman" w:hAnsi="Times New Roman" w:cs="Times New Roman"/>
                <w:b/>
                <w:bCs/>
                <w:color w:val="FFFFFF"/>
                <w:sz w:val="24"/>
                <w:szCs w:val="24"/>
              </w:rPr>
            </w:pPr>
            <w:r w:rsidRPr="005F52A2">
              <w:rPr>
                <w:rFonts w:ascii="Times New Roman" w:eastAsia="Times New Roman" w:hAnsi="Times New Roman" w:cs="Times New Roman"/>
                <w:b/>
                <w:bCs/>
                <w:color w:val="FFFFFF"/>
                <w:sz w:val="24"/>
                <w:szCs w:val="24"/>
              </w:rPr>
              <w:t>Country</w:t>
            </w:r>
          </w:p>
        </w:tc>
        <w:tc>
          <w:tcPr>
            <w:tcW w:w="2680" w:type="dxa"/>
            <w:tcBorders>
              <w:top w:val="single" w:sz="8" w:space="0" w:color="CCCCCC"/>
              <w:left w:val="single" w:sz="8" w:space="0" w:color="CCCCCC"/>
              <w:bottom w:val="single" w:sz="8" w:space="0" w:color="CCCCCC"/>
              <w:right w:val="single" w:sz="8" w:space="0" w:color="CCCCCC"/>
            </w:tcBorders>
            <w:shd w:val="clear" w:color="000000" w:fill="660000"/>
            <w:vAlign w:val="center"/>
            <w:hideMark/>
          </w:tcPr>
          <w:p w:rsidR="00666CEF" w:rsidRPr="005F52A2" w:rsidRDefault="00666CEF" w:rsidP="005F52A2">
            <w:pPr>
              <w:spacing w:after="0" w:line="240" w:lineRule="auto"/>
              <w:jc w:val="center"/>
              <w:rPr>
                <w:rFonts w:ascii="Times New Roman" w:eastAsia="Times New Roman" w:hAnsi="Times New Roman" w:cs="Times New Roman"/>
                <w:b/>
                <w:bCs/>
                <w:color w:val="FFFFFF"/>
                <w:sz w:val="24"/>
                <w:szCs w:val="24"/>
              </w:rPr>
            </w:pPr>
            <w:r w:rsidRPr="005F52A2">
              <w:rPr>
                <w:rFonts w:ascii="Times New Roman" w:eastAsia="Times New Roman" w:hAnsi="Times New Roman" w:cs="Times New Roman"/>
                <w:b/>
                <w:bCs/>
                <w:color w:val="FFFFFF"/>
                <w:sz w:val="24"/>
                <w:szCs w:val="24"/>
              </w:rPr>
              <w:t>Fund Name</w:t>
            </w:r>
          </w:p>
        </w:tc>
        <w:tc>
          <w:tcPr>
            <w:tcW w:w="1320" w:type="dxa"/>
            <w:tcBorders>
              <w:top w:val="single" w:sz="8" w:space="0" w:color="CCCCCC"/>
              <w:left w:val="single" w:sz="8" w:space="0" w:color="CCCCCC"/>
              <w:bottom w:val="single" w:sz="8" w:space="0" w:color="CCCCCC"/>
              <w:right w:val="single" w:sz="8" w:space="0" w:color="CCCCCC"/>
            </w:tcBorders>
            <w:shd w:val="clear" w:color="000000" w:fill="660000"/>
            <w:vAlign w:val="center"/>
            <w:hideMark/>
          </w:tcPr>
          <w:p w:rsidR="00666CEF" w:rsidRPr="005F52A2" w:rsidRDefault="00666CEF" w:rsidP="005F52A2">
            <w:pPr>
              <w:spacing w:after="0" w:line="240" w:lineRule="auto"/>
              <w:jc w:val="center"/>
              <w:rPr>
                <w:rFonts w:ascii="Times New Roman" w:eastAsia="Times New Roman" w:hAnsi="Times New Roman" w:cs="Times New Roman"/>
                <w:b/>
                <w:bCs/>
                <w:color w:val="FFFFFF"/>
                <w:sz w:val="24"/>
                <w:szCs w:val="24"/>
              </w:rPr>
            </w:pPr>
            <w:r w:rsidRPr="005F52A2">
              <w:rPr>
                <w:rFonts w:ascii="Times New Roman" w:eastAsia="Times New Roman" w:hAnsi="Times New Roman" w:cs="Times New Roman"/>
                <w:b/>
                <w:bCs/>
                <w:color w:val="FFFFFF"/>
                <w:sz w:val="24"/>
                <w:szCs w:val="24"/>
              </w:rPr>
              <w:t>Assets  $Billion</w:t>
            </w:r>
          </w:p>
        </w:tc>
        <w:tc>
          <w:tcPr>
            <w:tcW w:w="1300" w:type="dxa"/>
            <w:tcBorders>
              <w:top w:val="single" w:sz="8" w:space="0" w:color="CCCCCC"/>
              <w:left w:val="single" w:sz="8" w:space="0" w:color="CCCCCC"/>
              <w:bottom w:val="single" w:sz="8" w:space="0" w:color="CCCCCC"/>
              <w:right w:val="single" w:sz="8" w:space="0" w:color="CCCCCC"/>
            </w:tcBorders>
            <w:shd w:val="clear" w:color="000000" w:fill="660000"/>
            <w:vAlign w:val="center"/>
            <w:hideMark/>
          </w:tcPr>
          <w:p w:rsidR="00666CEF" w:rsidRPr="005F52A2" w:rsidRDefault="00666CEF" w:rsidP="005F52A2">
            <w:pPr>
              <w:spacing w:after="0" w:line="240" w:lineRule="auto"/>
              <w:jc w:val="center"/>
              <w:rPr>
                <w:rFonts w:ascii="Times New Roman" w:eastAsia="Times New Roman" w:hAnsi="Times New Roman" w:cs="Times New Roman"/>
                <w:b/>
                <w:bCs/>
                <w:color w:val="FFFFFF"/>
                <w:sz w:val="24"/>
                <w:szCs w:val="24"/>
              </w:rPr>
            </w:pPr>
            <w:r w:rsidRPr="005F52A2">
              <w:rPr>
                <w:rFonts w:ascii="Times New Roman" w:eastAsia="Times New Roman" w:hAnsi="Times New Roman" w:cs="Times New Roman"/>
                <w:b/>
                <w:bCs/>
                <w:color w:val="FFFFFF"/>
                <w:sz w:val="24"/>
                <w:szCs w:val="24"/>
              </w:rPr>
              <w:t>Inception</w:t>
            </w:r>
          </w:p>
        </w:tc>
        <w:tc>
          <w:tcPr>
            <w:tcW w:w="1720" w:type="dxa"/>
            <w:tcBorders>
              <w:top w:val="single" w:sz="8" w:space="0" w:color="CCCCCC"/>
              <w:left w:val="single" w:sz="8" w:space="0" w:color="CCCCCC"/>
              <w:bottom w:val="single" w:sz="8" w:space="0" w:color="CCCCCC"/>
              <w:right w:val="single" w:sz="8" w:space="0" w:color="CCCCCC"/>
            </w:tcBorders>
            <w:shd w:val="clear" w:color="000000" w:fill="660000"/>
            <w:vAlign w:val="center"/>
            <w:hideMark/>
          </w:tcPr>
          <w:p w:rsidR="00666CEF" w:rsidRPr="005F52A2" w:rsidRDefault="00666CEF" w:rsidP="005F52A2">
            <w:pPr>
              <w:spacing w:after="0" w:line="240" w:lineRule="auto"/>
              <w:jc w:val="center"/>
              <w:rPr>
                <w:rFonts w:ascii="Times New Roman" w:eastAsia="Times New Roman" w:hAnsi="Times New Roman" w:cs="Times New Roman"/>
                <w:b/>
                <w:bCs/>
                <w:color w:val="FFFFFF"/>
                <w:sz w:val="24"/>
                <w:szCs w:val="24"/>
              </w:rPr>
            </w:pPr>
            <w:r w:rsidRPr="005F52A2">
              <w:rPr>
                <w:rFonts w:ascii="Times New Roman" w:eastAsia="Times New Roman" w:hAnsi="Times New Roman" w:cs="Times New Roman"/>
                <w:b/>
                <w:bCs/>
                <w:color w:val="FFFFFF"/>
                <w:sz w:val="24"/>
                <w:szCs w:val="24"/>
              </w:rPr>
              <w:t>Origin</w:t>
            </w:r>
          </w:p>
        </w:tc>
      </w:tr>
      <w:tr w:rsidR="00666CEF" w:rsidRPr="00FE34C5" w:rsidTr="005F52A2">
        <w:trPr>
          <w:trHeight w:val="585"/>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1</w:t>
            </w:r>
          </w:p>
        </w:tc>
        <w:tc>
          <w:tcPr>
            <w:tcW w:w="198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UAE – Abu Dhabi</w:t>
            </w:r>
          </w:p>
        </w:tc>
        <w:tc>
          <w:tcPr>
            <w:tcW w:w="2680" w:type="dxa"/>
            <w:tcBorders>
              <w:top w:val="nil"/>
              <w:left w:val="nil"/>
              <w:bottom w:val="single" w:sz="8" w:space="0" w:color="CCCCCC"/>
              <w:right w:val="single" w:sz="8" w:space="0" w:color="CCCCCC"/>
            </w:tcBorders>
            <w:shd w:val="clear" w:color="000000" w:fill="EEEEE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10" w:tooltip="Abu Dhabi Investment Authority" w:history="1">
              <w:r w:rsidR="00666CEF" w:rsidRPr="005F52A2">
                <w:rPr>
                  <w:rFonts w:ascii="Times New Roman" w:eastAsia="Times New Roman" w:hAnsi="Times New Roman" w:cs="Times New Roman"/>
                  <w:sz w:val="24"/>
                  <w:szCs w:val="24"/>
                </w:rPr>
                <w:t>Abu Dhabi Investment Authority</w:t>
              </w:r>
            </w:hyperlink>
          </w:p>
        </w:tc>
        <w:tc>
          <w:tcPr>
            <w:tcW w:w="132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$627</w:t>
            </w:r>
          </w:p>
        </w:tc>
        <w:tc>
          <w:tcPr>
            <w:tcW w:w="130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1976</w:t>
            </w:r>
          </w:p>
        </w:tc>
        <w:tc>
          <w:tcPr>
            <w:tcW w:w="172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Oil</w:t>
            </w:r>
          </w:p>
        </w:tc>
      </w:tr>
      <w:tr w:rsidR="00666CEF" w:rsidRPr="00FE34C5" w:rsidTr="005F52A2">
        <w:trPr>
          <w:trHeight w:val="585"/>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2</w:t>
            </w:r>
          </w:p>
        </w:tc>
        <w:tc>
          <w:tcPr>
            <w:tcW w:w="198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China</w:t>
            </w:r>
          </w:p>
        </w:tc>
        <w:tc>
          <w:tcPr>
            <w:tcW w:w="2680" w:type="dxa"/>
            <w:tcBorders>
              <w:top w:val="nil"/>
              <w:left w:val="nil"/>
              <w:bottom w:val="single" w:sz="8" w:space="0" w:color="CCCCCC"/>
              <w:right w:val="single" w:sz="8" w:space="0" w:color="CCCCCC"/>
            </w:tcBorders>
            <w:shd w:val="clear" w:color="000000" w:fill="FEFEF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11" w:tooltip="SAFE Investment Company" w:history="1">
              <w:r w:rsidR="00666CEF" w:rsidRPr="005F52A2">
                <w:rPr>
                  <w:rFonts w:ascii="Times New Roman" w:eastAsia="Times New Roman" w:hAnsi="Times New Roman" w:cs="Times New Roman"/>
                  <w:sz w:val="24"/>
                  <w:szCs w:val="24"/>
                </w:rPr>
                <w:t>SAFE Investment Company</w:t>
              </w:r>
            </w:hyperlink>
          </w:p>
        </w:tc>
        <w:tc>
          <w:tcPr>
            <w:tcW w:w="132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$567.9**</w:t>
            </w:r>
          </w:p>
        </w:tc>
        <w:tc>
          <w:tcPr>
            <w:tcW w:w="130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1997</w:t>
            </w:r>
          </w:p>
        </w:tc>
        <w:tc>
          <w:tcPr>
            <w:tcW w:w="172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Non-Commodity</w:t>
            </w:r>
          </w:p>
        </w:tc>
      </w:tr>
      <w:tr w:rsidR="00666CEF" w:rsidRPr="00FE34C5" w:rsidTr="005F52A2">
        <w:trPr>
          <w:trHeight w:val="585"/>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3</w:t>
            </w:r>
          </w:p>
        </w:tc>
        <w:tc>
          <w:tcPr>
            <w:tcW w:w="198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Norway</w:t>
            </w:r>
          </w:p>
        </w:tc>
        <w:tc>
          <w:tcPr>
            <w:tcW w:w="2680" w:type="dxa"/>
            <w:tcBorders>
              <w:top w:val="nil"/>
              <w:left w:val="nil"/>
              <w:bottom w:val="single" w:sz="8" w:space="0" w:color="CCCCCC"/>
              <w:right w:val="single" w:sz="8" w:space="0" w:color="CCCCCC"/>
            </w:tcBorders>
            <w:shd w:val="clear" w:color="000000" w:fill="EEEEE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12" w:tooltip="Government Pension Fund – Global" w:history="1">
              <w:r w:rsidR="00666CEF" w:rsidRPr="005F52A2">
                <w:rPr>
                  <w:rFonts w:ascii="Times New Roman" w:eastAsia="Times New Roman" w:hAnsi="Times New Roman" w:cs="Times New Roman"/>
                  <w:sz w:val="24"/>
                  <w:szCs w:val="24"/>
                </w:rPr>
                <w:t>Government Pension Fund – Global</w:t>
              </w:r>
            </w:hyperlink>
          </w:p>
        </w:tc>
        <w:tc>
          <w:tcPr>
            <w:tcW w:w="132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$560</w:t>
            </w:r>
          </w:p>
        </w:tc>
        <w:tc>
          <w:tcPr>
            <w:tcW w:w="130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1990</w:t>
            </w:r>
          </w:p>
        </w:tc>
        <w:tc>
          <w:tcPr>
            <w:tcW w:w="172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Oil</w:t>
            </w:r>
          </w:p>
        </w:tc>
      </w:tr>
      <w:tr w:rsidR="00666CEF" w:rsidRPr="00FE34C5" w:rsidTr="005F52A2">
        <w:trPr>
          <w:trHeight w:val="300"/>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4</w:t>
            </w:r>
          </w:p>
        </w:tc>
        <w:tc>
          <w:tcPr>
            <w:tcW w:w="198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Saudi Arabia</w:t>
            </w:r>
          </w:p>
        </w:tc>
        <w:tc>
          <w:tcPr>
            <w:tcW w:w="2680" w:type="dxa"/>
            <w:tcBorders>
              <w:top w:val="nil"/>
              <w:left w:val="nil"/>
              <w:bottom w:val="single" w:sz="8" w:space="0" w:color="CCCCCC"/>
              <w:right w:val="single" w:sz="8" w:space="0" w:color="CCCCCC"/>
            </w:tcBorders>
            <w:shd w:val="clear" w:color="000000" w:fill="FEFEF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13" w:tooltip="SAMA Foreign Holdings" w:history="1">
              <w:r w:rsidR="00666CEF" w:rsidRPr="005F52A2">
                <w:rPr>
                  <w:rFonts w:ascii="Times New Roman" w:eastAsia="Times New Roman" w:hAnsi="Times New Roman" w:cs="Times New Roman"/>
                  <w:sz w:val="24"/>
                  <w:szCs w:val="24"/>
                </w:rPr>
                <w:t>SAMA Foreign Holdings</w:t>
              </w:r>
            </w:hyperlink>
          </w:p>
        </w:tc>
        <w:tc>
          <w:tcPr>
            <w:tcW w:w="132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$472.5</w:t>
            </w:r>
          </w:p>
        </w:tc>
        <w:tc>
          <w:tcPr>
            <w:tcW w:w="130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n/a</w:t>
            </w:r>
          </w:p>
        </w:tc>
        <w:tc>
          <w:tcPr>
            <w:tcW w:w="172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Oil</w:t>
            </w:r>
          </w:p>
        </w:tc>
      </w:tr>
      <w:tr w:rsidR="00666CEF" w:rsidRPr="00FE34C5" w:rsidTr="005F52A2">
        <w:trPr>
          <w:trHeight w:val="585"/>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5</w:t>
            </w:r>
          </w:p>
        </w:tc>
        <w:tc>
          <w:tcPr>
            <w:tcW w:w="198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China</w:t>
            </w:r>
          </w:p>
        </w:tc>
        <w:tc>
          <w:tcPr>
            <w:tcW w:w="2680" w:type="dxa"/>
            <w:tcBorders>
              <w:top w:val="nil"/>
              <w:left w:val="nil"/>
              <w:bottom w:val="single" w:sz="8" w:space="0" w:color="CCCCCC"/>
              <w:right w:val="single" w:sz="8" w:space="0" w:color="CCCCCC"/>
            </w:tcBorders>
            <w:shd w:val="clear" w:color="000000" w:fill="EEEEE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14" w:tooltip="China Investment Corporation" w:history="1">
              <w:r w:rsidR="00666CEF" w:rsidRPr="005F52A2">
                <w:rPr>
                  <w:rFonts w:ascii="Times New Roman" w:eastAsia="Times New Roman" w:hAnsi="Times New Roman" w:cs="Times New Roman"/>
                  <w:sz w:val="24"/>
                  <w:szCs w:val="24"/>
                </w:rPr>
                <w:t>China Investment Corporation</w:t>
              </w:r>
            </w:hyperlink>
          </w:p>
        </w:tc>
        <w:tc>
          <w:tcPr>
            <w:tcW w:w="132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$409.6</w:t>
            </w:r>
          </w:p>
        </w:tc>
        <w:tc>
          <w:tcPr>
            <w:tcW w:w="130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2007</w:t>
            </w:r>
          </w:p>
        </w:tc>
        <w:tc>
          <w:tcPr>
            <w:tcW w:w="172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Non-Commodity</w:t>
            </w:r>
          </w:p>
        </w:tc>
      </w:tr>
      <w:tr w:rsidR="00666CEF" w:rsidRPr="00FE34C5" w:rsidTr="005F52A2">
        <w:trPr>
          <w:trHeight w:val="585"/>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6</w:t>
            </w:r>
          </w:p>
        </w:tc>
        <w:tc>
          <w:tcPr>
            <w:tcW w:w="198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Kuwait</w:t>
            </w:r>
          </w:p>
        </w:tc>
        <w:tc>
          <w:tcPr>
            <w:tcW w:w="2680" w:type="dxa"/>
            <w:tcBorders>
              <w:top w:val="nil"/>
              <w:left w:val="nil"/>
              <w:bottom w:val="single" w:sz="8" w:space="0" w:color="CCCCCC"/>
              <w:right w:val="single" w:sz="8" w:space="0" w:color="CCCCCC"/>
            </w:tcBorders>
            <w:shd w:val="clear" w:color="000000" w:fill="FEFEF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15" w:tooltip="Kuwait Investment Authority" w:history="1">
              <w:r w:rsidR="00666CEF" w:rsidRPr="005F52A2">
                <w:rPr>
                  <w:rFonts w:ascii="Times New Roman" w:eastAsia="Times New Roman" w:hAnsi="Times New Roman" w:cs="Times New Roman"/>
                  <w:sz w:val="24"/>
                  <w:szCs w:val="24"/>
                </w:rPr>
                <w:t>Kuwait Investment Authority</w:t>
              </w:r>
            </w:hyperlink>
          </w:p>
        </w:tc>
        <w:tc>
          <w:tcPr>
            <w:tcW w:w="132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$296</w:t>
            </w:r>
          </w:p>
        </w:tc>
        <w:tc>
          <w:tcPr>
            <w:tcW w:w="130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1953</w:t>
            </w:r>
          </w:p>
        </w:tc>
        <w:tc>
          <w:tcPr>
            <w:tcW w:w="172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Oil</w:t>
            </w:r>
          </w:p>
        </w:tc>
      </w:tr>
      <w:tr w:rsidR="00666CEF" w:rsidRPr="00FE34C5" w:rsidTr="005F52A2">
        <w:trPr>
          <w:trHeight w:val="870"/>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7</w:t>
            </w:r>
          </w:p>
        </w:tc>
        <w:tc>
          <w:tcPr>
            <w:tcW w:w="198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China – Hong Kong</w:t>
            </w:r>
          </w:p>
        </w:tc>
        <w:tc>
          <w:tcPr>
            <w:tcW w:w="2680" w:type="dxa"/>
            <w:tcBorders>
              <w:top w:val="nil"/>
              <w:left w:val="nil"/>
              <w:bottom w:val="single" w:sz="8" w:space="0" w:color="CCCCCC"/>
              <w:right w:val="single" w:sz="8" w:space="0" w:color="CCCCCC"/>
            </w:tcBorders>
            <w:shd w:val="clear" w:color="000000" w:fill="EEEEE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16" w:tooltip="Hong Kong Monetary Authority Investment Portfolio" w:history="1">
              <w:r w:rsidR="00666CEF" w:rsidRPr="005F52A2">
                <w:rPr>
                  <w:rFonts w:ascii="Times New Roman" w:eastAsia="Times New Roman" w:hAnsi="Times New Roman" w:cs="Times New Roman"/>
                  <w:sz w:val="24"/>
                  <w:szCs w:val="24"/>
                </w:rPr>
                <w:t>Hong Kong Monetary Authority Investment Portfolio</w:t>
              </w:r>
            </w:hyperlink>
          </w:p>
        </w:tc>
        <w:tc>
          <w:tcPr>
            <w:tcW w:w="132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$293.3</w:t>
            </w:r>
          </w:p>
        </w:tc>
        <w:tc>
          <w:tcPr>
            <w:tcW w:w="130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1993</w:t>
            </w:r>
          </w:p>
        </w:tc>
        <w:tc>
          <w:tcPr>
            <w:tcW w:w="172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Non-Commodity</w:t>
            </w:r>
          </w:p>
        </w:tc>
      </w:tr>
      <w:tr w:rsidR="00666CEF" w:rsidRPr="00FE34C5" w:rsidTr="005F52A2">
        <w:trPr>
          <w:trHeight w:val="870"/>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8</w:t>
            </w:r>
          </w:p>
        </w:tc>
        <w:tc>
          <w:tcPr>
            <w:tcW w:w="198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Singapore</w:t>
            </w:r>
          </w:p>
        </w:tc>
        <w:tc>
          <w:tcPr>
            <w:tcW w:w="2680" w:type="dxa"/>
            <w:tcBorders>
              <w:top w:val="nil"/>
              <w:left w:val="nil"/>
              <w:bottom w:val="single" w:sz="8" w:space="0" w:color="CCCCCC"/>
              <w:right w:val="single" w:sz="8" w:space="0" w:color="CCCCCC"/>
            </w:tcBorders>
            <w:shd w:val="clear" w:color="000000" w:fill="FEFEF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17" w:tooltip="Government of Singapore Investment Corporation" w:history="1">
              <w:r w:rsidR="00666CEF" w:rsidRPr="005F52A2">
                <w:rPr>
                  <w:rFonts w:ascii="Times New Roman" w:eastAsia="Times New Roman" w:hAnsi="Times New Roman" w:cs="Times New Roman"/>
                  <w:sz w:val="24"/>
                  <w:szCs w:val="24"/>
                </w:rPr>
                <w:t>Government of Singapore Investment Corporation</w:t>
              </w:r>
            </w:hyperlink>
          </w:p>
        </w:tc>
        <w:tc>
          <w:tcPr>
            <w:tcW w:w="132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$247.5</w:t>
            </w:r>
          </w:p>
        </w:tc>
        <w:tc>
          <w:tcPr>
            <w:tcW w:w="130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1981</w:t>
            </w:r>
          </w:p>
        </w:tc>
        <w:tc>
          <w:tcPr>
            <w:tcW w:w="172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Non-Commodity</w:t>
            </w:r>
          </w:p>
        </w:tc>
      </w:tr>
      <w:tr w:rsidR="00666CEF" w:rsidRPr="00FE34C5" w:rsidTr="005F52A2">
        <w:trPr>
          <w:trHeight w:val="300"/>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9</w:t>
            </w:r>
          </w:p>
        </w:tc>
        <w:tc>
          <w:tcPr>
            <w:tcW w:w="198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Singapore</w:t>
            </w:r>
          </w:p>
        </w:tc>
        <w:tc>
          <w:tcPr>
            <w:tcW w:w="2680" w:type="dxa"/>
            <w:tcBorders>
              <w:top w:val="nil"/>
              <w:left w:val="nil"/>
              <w:bottom w:val="single" w:sz="8" w:space="0" w:color="CCCCCC"/>
              <w:right w:val="single" w:sz="8" w:space="0" w:color="CCCCCC"/>
            </w:tcBorders>
            <w:shd w:val="clear" w:color="000000" w:fill="EEEEE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18" w:tooltip="Temasek Holdings" w:history="1">
              <w:proofErr w:type="spellStart"/>
              <w:r w:rsidR="00666CEF" w:rsidRPr="005F52A2">
                <w:rPr>
                  <w:rFonts w:ascii="Times New Roman" w:eastAsia="Times New Roman" w:hAnsi="Times New Roman" w:cs="Times New Roman"/>
                  <w:sz w:val="24"/>
                  <w:szCs w:val="24"/>
                </w:rPr>
                <w:t>Temasek</w:t>
              </w:r>
              <w:proofErr w:type="spellEnd"/>
              <w:r w:rsidR="00666CEF" w:rsidRPr="005F52A2">
                <w:rPr>
                  <w:rFonts w:ascii="Times New Roman" w:eastAsia="Times New Roman" w:hAnsi="Times New Roman" w:cs="Times New Roman"/>
                  <w:sz w:val="24"/>
                  <w:szCs w:val="24"/>
                </w:rPr>
                <w:t xml:space="preserve"> Holdings</w:t>
              </w:r>
            </w:hyperlink>
          </w:p>
        </w:tc>
        <w:tc>
          <w:tcPr>
            <w:tcW w:w="132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$157.2</w:t>
            </w:r>
          </w:p>
        </w:tc>
        <w:tc>
          <w:tcPr>
            <w:tcW w:w="130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1974</w:t>
            </w:r>
          </w:p>
        </w:tc>
        <w:tc>
          <w:tcPr>
            <w:tcW w:w="172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Non-Commodity</w:t>
            </w:r>
          </w:p>
        </w:tc>
      </w:tr>
      <w:tr w:rsidR="00666CEF" w:rsidRPr="00FE34C5" w:rsidTr="005F52A2">
        <w:trPr>
          <w:trHeight w:val="585"/>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10</w:t>
            </w:r>
          </w:p>
        </w:tc>
        <w:tc>
          <w:tcPr>
            <w:tcW w:w="198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China</w:t>
            </w:r>
          </w:p>
        </w:tc>
        <w:tc>
          <w:tcPr>
            <w:tcW w:w="2680" w:type="dxa"/>
            <w:tcBorders>
              <w:top w:val="nil"/>
              <w:left w:val="nil"/>
              <w:bottom w:val="single" w:sz="8" w:space="0" w:color="CCCCCC"/>
              <w:right w:val="single" w:sz="8" w:space="0" w:color="CCCCCC"/>
            </w:tcBorders>
            <w:shd w:val="clear" w:color="000000" w:fill="FEFEF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19" w:tooltip="National Social Security Fund" w:history="1">
              <w:r w:rsidR="00666CEF" w:rsidRPr="005F52A2">
                <w:rPr>
                  <w:rFonts w:ascii="Times New Roman" w:eastAsia="Times New Roman" w:hAnsi="Times New Roman" w:cs="Times New Roman"/>
                  <w:sz w:val="24"/>
                  <w:szCs w:val="24"/>
                </w:rPr>
                <w:t>National Social Security Fund</w:t>
              </w:r>
            </w:hyperlink>
          </w:p>
        </w:tc>
        <w:tc>
          <w:tcPr>
            <w:tcW w:w="132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$134.5</w:t>
            </w:r>
          </w:p>
        </w:tc>
        <w:tc>
          <w:tcPr>
            <w:tcW w:w="130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2000</w:t>
            </w:r>
          </w:p>
        </w:tc>
        <w:tc>
          <w:tcPr>
            <w:tcW w:w="172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Non-Commodity</w:t>
            </w:r>
          </w:p>
        </w:tc>
      </w:tr>
      <w:tr w:rsidR="00666CEF" w:rsidRPr="00FE34C5" w:rsidTr="005F52A2">
        <w:trPr>
          <w:trHeight w:val="300"/>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11</w:t>
            </w:r>
          </w:p>
        </w:tc>
        <w:tc>
          <w:tcPr>
            <w:tcW w:w="198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Russia</w:t>
            </w:r>
          </w:p>
        </w:tc>
        <w:tc>
          <w:tcPr>
            <w:tcW w:w="2680" w:type="dxa"/>
            <w:tcBorders>
              <w:top w:val="nil"/>
              <w:left w:val="nil"/>
              <w:bottom w:val="single" w:sz="8" w:space="0" w:color="CCCCCC"/>
              <w:right w:val="single" w:sz="8" w:space="0" w:color="CCCCCC"/>
            </w:tcBorders>
            <w:shd w:val="clear" w:color="000000" w:fill="EEEEE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20" w:tooltip="National Welfare Fund" w:history="1">
              <w:r w:rsidR="00666CEF" w:rsidRPr="005F52A2">
                <w:rPr>
                  <w:rFonts w:ascii="Times New Roman" w:eastAsia="Times New Roman" w:hAnsi="Times New Roman" w:cs="Times New Roman"/>
                  <w:sz w:val="24"/>
                  <w:szCs w:val="24"/>
                </w:rPr>
                <w:t>National Welfare Fund</w:t>
              </w:r>
            </w:hyperlink>
          </w:p>
        </w:tc>
        <w:tc>
          <w:tcPr>
            <w:tcW w:w="132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$113.9*</w:t>
            </w:r>
          </w:p>
        </w:tc>
        <w:tc>
          <w:tcPr>
            <w:tcW w:w="130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2008</w:t>
            </w:r>
          </w:p>
        </w:tc>
        <w:tc>
          <w:tcPr>
            <w:tcW w:w="172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Oil</w:t>
            </w:r>
          </w:p>
        </w:tc>
      </w:tr>
      <w:tr w:rsidR="00666CEF" w:rsidRPr="00FE34C5" w:rsidTr="005F52A2">
        <w:trPr>
          <w:trHeight w:val="585"/>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12</w:t>
            </w:r>
          </w:p>
        </w:tc>
        <w:tc>
          <w:tcPr>
            <w:tcW w:w="198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Qatar</w:t>
            </w:r>
          </w:p>
        </w:tc>
        <w:tc>
          <w:tcPr>
            <w:tcW w:w="2680" w:type="dxa"/>
            <w:tcBorders>
              <w:top w:val="nil"/>
              <w:left w:val="nil"/>
              <w:bottom w:val="single" w:sz="8" w:space="0" w:color="CCCCCC"/>
              <w:right w:val="single" w:sz="8" w:space="0" w:color="CCCCCC"/>
            </w:tcBorders>
            <w:shd w:val="clear" w:color="000000" w:fill="FEFEF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21" w:tooltip="Qatar Investment Authority" w:history="1">
              <w:r w:rsidR="00666CEF" w:rsidRPr="005F52A2">
                <w:rPr>
                  <w:rFonts w:ascii="Times New Roman" w:eastAsia="Times New Roman" w:hAnsi="Times New Roman" w:cs="Times New Roman"/>
                  <w:sz w:val="24"/>
                  <w:szCs w:val="24"/>
                </w:rPr>
                <w:t>Qatar Investment Authority</w:t>
              </w:r>
            </w:hyperlink>
          </w:p>
        </w:tc>
        <w:tc>
          <w:tcPr>
            <w:tcW w:w="132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$85</w:t>
            </w:r>
          </w:p>
        </w:tc>
        <w:tc>
          <w:tcPr>
            <w:tcW w:w="130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2005</w:t>
            </w:r>
          </w:p>
        </w:tc>
        <w:tc>
          <w:tcPr>
            <w:tcW w:w="172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Oil</w:t>
            </w:r>
          </w:p>
        </w:tc>
      </w:tr>
      <w:tr w:rsidR="00666CEF" w:rsidRPr="00FE34C5" w:rsidTr="005F52A2">
        <w:trPr>
          <w:trHeight w:val="300"/>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13</w:t>
            </w:r>
          </w:p>
        </w:tc>
        <w:tc>
          <w:tcPr>
            <w:tcW w:w="198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Australia</w:t>
            </w:r>
          </w:p>
        </w:tc>
        <w:tc>
          <w:tcPr>
            <w:tcW w:w="2680" w:type="dxa"/>
            <w:tcBorders>
              <w:top w:val="nil"/>
              <w:left w:val="nil"/>
              <w:bottom w:val="single" w:sz="8" w:space="0" w:color="CCCCCC"/>
              <w:right w:val="single" w:sz="8" w:space="0" w:color="CCCCCC"/>
            </w:tcBorders>
            <w:shd w:val="clear" w:color="000000" w:fill="EEEEE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22" w:tooltip="Australian Future Fund" w:history="1">
              <w:r w:rsidR="00666CEF" w:rsidRPr="005F52A2">
                <w:rPr>
                  <w:rFonts w:ascii="Times New Roman" w:eastAsia="Times New Roman" w:hAnsi="Times New Roman" w:cs="Times New Roman"/>
                  <w:sz w:val="24"/>
                  <w:szCs w:val="24"/>
                </w:rPr>
                <w:t>Australian Future Fund</w:t>
              </w:r>
            </w:hyperlink>
          </w:p>
        </w:tc>
        <w:tc>
          <w:tcPr>
            <w:tcW w:w="132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$73</w:t>
            </w:r>
          </w:p>
        </w:tc>
        <w:tc>
          <w:tcPr>
            <w:tcW w:w="130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2004</w:t>
            </w:r>
          </w:p>
        </w:tc>
        <w:tc>
          <w:tcPr>
            <w:tcW w:w="172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Non-Commodity</w:t>
            </w:r>
          </w:p>
        </w:tc>
      </w:tr>
      <w:tr w:rsidR="00666CEF" w:rsidRPr="00FE34C5" w:rsidTr="005F52A2">
        <w:trPr>
          <w:trHeight w:val="585"/>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14</w:t>
            </w:r>
          </w:p>
        </w:tc>
        <w:tc>
          <w:tcPr>
            <w:tcW w:w="198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UAE – Dubai</w:t>
            </w:r>
          </w:p>
        </w:tc>
        <w:tc>
          <w:tcPr>
            <w:tcW w:w="2680" w:type="dxa"/>
            <w:tcBorders>
              <w:top w:val="nil"/>
              <w:left w:val="nil"/>
              <w:bottom w:val="single" w:sz="8" w:space="0" w:color="CCCCCC"/>
              <w:right w:val="single" w:sz="8" w:space="0" w:color="CCCCCC"/>
            </w:tcBorders>
            <w:shd w:val="clear" w:color="000000" w:fill="FEFEF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23" w:tooltip="Investment Corporation of Dubai" w:history="1">
              <w:r w:rsidR="00666CEF" w:rsidRPr="005F52A2">
                <w:rPr>
                  <w:rFonts w:ascii="Times New Roman" w:eastAsia="Times New Roman" w:hAnsi="Times New Roman" w:cs="Times New Roman"/>
                  <w:sz w:val="24"/>
                  <w:szCs w:val="24"/>
                </w:rPr>
                <w:t>Investment Corporation of Dubai</w:t>
              </w:r>
            </w:hyperlink>
          </w:p>
        </w:tc>
        <w:tc>
          <w:tcPr>
            <w:tcW w:w="132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$70</w:t>
            </w:r>
          </w:p>
        </w:tc>
        <w:tc>
          <w:tcPr>
            <w:tcW w:w="130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2006</w:t>
            </w:r>
          </w:p>
        </w:tc>
        <w:tc>
          <w:tcPr>
            <w:tcW w:w="172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Oil</w:t>
            </w:r>
          </w:p>
        </w:tc>
      </w:tr>
      <w:tr w:rsidR="00666CEF" w:rsidRPr="00FE34C5" w:rsidTr="005F52A2">
        <w:trPr>
          <w:trHeight w:val="585"/>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15</w:t>
            </w:r>
          </w:p>
        </w:tc>
        <w:tc>
          <w:tcPr>
            <w:tcW w:w="198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Libya</w:t>
            </w:r>
          </w:p>
        </w:tc>
        <w:tc>
          <w:tcPr>
            <w:tcW w:w="2680" w:type="dxa"/>
            <w:tcBorders>
              <w:top w:val="nil"/>
              <w:left w:val="nil"/>
              <w:bottom w:val="single" w:sz="8" w:space="0" w:color="CCCCCC"/>
              <w:right w:val="single" w:sz="8" w:space="0" w:color="CCCCCC"/>
            </w:tcBorders>
            <w:shd w:val="clear" w:color="000000" w:fill="EEEEE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24" w:tooltip="Libyan Investment Authority" w:history="1">
              <w:r w:rsidR="00666CEF" w:rsidRPr="005F52A2">
                <w:rPr>
                  <w:rFonts w:ascii="Times New Roman" w:eastAsia="Times New Roman" w:hAnsi="Times New Roman" w:cs="Times New Roman"/>
                  <w:sz w:val="24"/>
                  <w:szCs w:val="24"/>
                </w:rPr>
                <w:t>Libyan Investment Authority</w:t>
              </w:r>
            </w:hyperlink>
          </w:p>
        </w:tc>
        <w:tc>
          <w:tcPr>
            <w:tcW w:w="132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$65</w:t>
            </w:r>
          </w:p>
        </w:tc>
        <w:tc>
          <w:tcPr>
            <w:tcW w:w="130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2006</w:t>
            </w:r>
          </w:p>
        </w:tc>
        <w:tc>
          <w:tcPr>
            <w:tcW w:w="172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Oil</w:t>
            </w:r>
          </w:p>
        </w:tc>
      </w:tr>
      <w:tr w:rsidR="00666CEF" w:rsidRPr="00FE34C5" w:rsidTr="005F52A2">
        <w:trPr>
          <w:trHeight w:val="585"/>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16</w:t>
            </w:r>
          </w:p>
        </w:tc>
        <w:tc>
          <w:tcPr>
            <w:tcW w:w="198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UAE – Abu Dhabi</w:t>
            </w:r>
          </w:p>
        </w:tc>
        <w:tc>
          <w:tcPr>
            <w:tcW w:w="2680" w:type="dxa"/>
            <w:tcBorders>
              <w:top w:val="nil"/>
              <w:left w:val="nil"/>
              <w:bottom w:val="single" w:sz="8" w:space="0" w:color="CCCCCC"/>
              <w:right w:val="single" w:sz="8" w:space="0" w:color="CCCCCC"/>
            </w:tcBorders>
            <w:shd w:val="clear" w:color="000000" w:fill="FEFEF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25" w:tooltip="IPIC" w:history="1">
              <w:r w:rsidR="00666CEF" w:rsidRPr="005F52A2">
                <w:rPr>
                  <w:rFonts w:ascii="Times New Roman" w:eastAsia="Times New Roman" w:hAnsi="Times New Roman" w:cs="Times New Roman"/>
                  <w:sz w:val="24"/>
                  <w:szCs w:val="24"/>
                </w:rPr>
                <w:t>International Petroleum Investment Company</w:t>
              </w:r>
            </w:hyperlink>
          </w:p>
        </w:tc>
        <w:tc>
          <w:tcPr>
            <w:tcW w:w="132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$58</w:t>
            </w:r>
          </w:p>
        </w:tc>
        <w:tc>
          <w:tcPr>
            <w:tcW w:w="130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1984</w:t>
            </w:r>
          </w:p>
        </w:tc>
        <w:tc>
          <w:tcPr>
            <w:tcW w:w="172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Oil</w:t>
            </w:r>
          </w:p>
        </w:tc>
      </w:tr>
      <w:tr w:rsidR="00666CEF" w:rsidRPr="00FE34C5" w:rsidTr="005F52A2">
        <w:trPr>
          <w:trHeight w:val="300"/>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17</w:t>
            </w:r>
          </w:p>
        </w:tc>
        <w:tc>
          <w:tcPr>
            <w:tcW w:w="198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Algeria</w:t>
            </w:r>
          </w:p>
        </w:tc>
        <w:tc>
          <w:tcPr>
            <w:tcW w:w="2680" w:type="dxa"/>
            <w:tcBorders>
              <w:top w:val="nil"/>
              <w:left w:val="nil"/>
              <w:bottom w:val="single" w:sz="8" w:space="0" w:color="CCCCCC"/>
              <w:right w:val="single" w:sz="8" w:space="0" w:color="CCCCCC"/>
            </w:tcBorders>
            <w:shd w:val="clear" w:color="000000" w:fill="EEEEE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26" w:tooltip="Revenue Regulation Fund" w:history="1">
              <w:r w:rsidR="00666CEF" w:rsidRPr="005F52A2">
                <w:rPr>
                  <w:rFonts w:ascii="Times New Roman" w:eastAsia="Times New Roman" w:hAnsi="Times New Roman" w:cs="Times New Roman"/>
                  <w:sz w:val="24"/>
                  <w:szCs w:val="24"/>
                </w:rPr>
                <w:t>Revenue Regulation Fund</w:t>
              </w:r>
            </w:hyperlink>
          </w:p>
        </w:tc>
        <w:tc>
          <w:tcPr>
            <w:tcW w:w="132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$56.7</w:t>
            </w:r>
          </w:p>
        </w:tc>
        <w:tc>
          <w:tcPr>
            <w:tcW w:w="130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2000</w:t>
            </w:r>
          </w:p>
        </w:tc>
        <w:tc>
          <w:tcPr>
            <w:tcW w:w="172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Oil</w:t>
            </w:r>
          </w:p>
        </w:tc>
      </w:tr>
      <w:tr w:rsidR="00666CEF" w:rsidRPr="00FE34C5" w:rsidTr="005F52A2">
        <w:trPr>
          <w:trHeight w:val="300"/>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18</w:t>
            </w:r>
          </w:p>
        </w:tc>
        <w:tc>
          <w:tcPr>
            <w:tcW w:w="198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US – Alaska</w:t>
            </w:r>
          </w:p>
        </w:tc>
        <w:tc>
          <w:tcPr>
            <w:tcW w:w="2680" w:type="dxa"/>
            <w:tcBorders>
              <w:top w:val="nil"/>
              <w:left w:val="nil"/>
              <w:bottom w:val="single" w:sz="8" w:space="0" w:color="CCCCCC"/>
              <w:right w:val="single" w:sz="8" w:space="0" w:color="CCCCCC"/>
            </w:tcBorders>
            <w:shd w:val="clear" w:color="000000" w:fill="FEFEF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27" w:tooltip="Alaska Permanent Fund" w:history="1">
              <w:r w:rsidR="00666CEF" w:rsidRPr="005F52A2">
                <w:rPr>
                  <w:rFonts w:ascii="Times New Roman" w:eastAsia="Times New Roman" w:hAnsi="Times New Roman" w:cs="Times New Roman"/>
                  <w:sz w:val="24"/>
                  <w:szCs w:val="24"/>
                </w:rPr>
                <w:t>Alaska Permanent Fund</w:t>
              </w:r>
            </w:hyperlink>
          </w:p>
        </w:tc>
        <w:tc>
          <w:tcPr>
            <w:tcW w:w="132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$40.3</w:t>
            </w:r>
          </w:p>
        </w:tc>
        <w:tc>
          <w:tcPr>
            <w:tcW w:w="130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1976</w:t>
            </w:r>
          </w:p>
        </w:tc>
        <w:tc>
          <w:tcPr>
            <w:tcW w:w="172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Oil</w:t>
            </w:r>
          </w:p>
        </w:tc>
      </w:tr>
      <w:tr w:rsidR="00666CEF" w:rsidRPr="00FE34C5" w:rsidTr="005F52A2">
        <w:trPr>
          <w:trHeight w:val="300"/>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19</w:t>
            </w:r>
          </w:p>
        </w:tc>
        <w:tc>
          <w:tcPr>
            <w:tcW w:w="198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Kazakhstan</w:t>
            </w:r>
          </w:p>
        </w:tc>
        <w:tc>
          <w:tcPr>
            <w:tcW w:w="2680" w:type="dxa"/>
            <w:tcBorders>
              <w:top w:val="nil"/>
              <w:left w:val="nil"/>
              <w:bottom w:val="single" w:sz="8" w:space="0" w:color="CCCCCC"/>
              <w:right w:val="single" w:sz="8" w:space="0" w:color="CCCCCC"/>
            </w:tcBorders>
            <w:shd w:val="clear" w:color="000000" w:fill="EEEEE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28" w:tooltip="Kazakhstan National Fund" w:history="1">
              <w:r w:rsidR="00666CEF" w:rsidRPr="005F52A2">
                <w:rPr>
                  <w:rFonts w:ascii="Times New Roman" w:eastAsia="Times New Roman" w:hAnsi="Times New Roman" w:cs="Times New Roman"/>
                  <w:sz w:val="24"/>
                  <w:szCs w:val="24"/>
                </w:rPr>
                <w:t>Kazakhstan National Fund</w:t>
              </w:r>
            </w:hyperlink>
          </w:p>
        </w:tc>
        <w:tc>
          <w:tcPr>
            <w:tcW w:w="132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$38.6</w:t>
            </w:r>
          </w:p>
        </w:tc>
        <w:tc>
          <w:tcPr>
            <w:tcW w:w="130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2000</w:t>
            </w:r>
          </w:p>
        </w:tc>
        <w:tc>
          <w:tcPr>
            <w:tcW w:w="172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Oil</w:t>
            </w:r>
          </w:p>
        </w:tc>
      </w:tr>
      <w:tr w:rsidR="00666CEF" w:rsidRPr="00FE34C5" w:rsidTr="005F52A2">
        <w:trPr>
          <w:trHeight w:val="585"/>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20</w:t>
            </w:r>
          </w:p>
        </w:tc>
        <w:tc>
          <w:tcPr>
            <w:tcW w:w="198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South Korea</w:t>
            </w:r>
          </w:p>
        </w:tc>
        <w:tc>
          <w:tcPr>
            <w:tcW w:w="2680" w:type="dxa"/>
            <w:tcBorders>
              <w:top w:val="nil"/>
              <w:left w:val="nil"/>
              <w:bottom w:val="single" w:sz="8" w:space="0" w:color="CCCCCC"/>
              <w:right w:val="single" w:sz="8" w:space="0" w:color="CCCCCC"/>
            </w:tcBorders>
            <w:shd w:val="clear" w:color="000000" w:fill="FEFEF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29" w:tooltip="Korea Investment Corporation" w:history="1">
              <w:r w:rsidR="00666CEF" w:rsidRPr="005F52A2">
                <w:rPr>
                  <w:rFonts w:ascii="Times New Roman" w:eastAsia="Times New Roman" w:hAnsi="Times New Roman" w:cs="Times New Roman"/>
                  <w:sz w:val="24"/>
                  <w:szCs w:val="24"/>
                </w:rPr>
                <w:t>Korea Investment Corporation</w:t>
              </w:r>
            </w:hyperlink>
          </w:p>
        </w:tc>
        <w:tc>
          <w:tcPr>
            <w:tcW w:w="132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$37</w:t>
            </w:r>
          </w:p>
        </w:tc>
        <w:tc>
          <w:tcPr>
            <w:tcW w:w="130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2005</w:t>
            </w:r>
          </w:p>
        </w:tc>
        <w:tc>
          <w:tcPr>
            <w:tcW w:w="172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Non-Commodity</w:t>
            </w:r>
          </w:p>
        </w:tc>
      </w:tr>
      <w:tr w:rsidR="00666CEF" w:rsidRPr="00FE34C5" w:rsidTr="005F52A2">
        <w:trPr>
          <w:trHeight w:val="300"/>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21</w:t>
            </w:r>
          </w:p>
        </w:tc>
        <w:tc>
          <w:tcPr>
            <w:tcW w:w="198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Malaysia</w:t>
            </w:r>
          </w:p>
        </w:tc>
        <w:tc>
          <w:tcPr>
            <w:tcW w:w="2680" w:type="dxa"/>
            <w:tcBorders>
              <w:top w:val="nil"/>
              <w:left w:val="nil"/>
              <w:bottom w:val="single" w:sz="8" w:space="0" w:color="CCCCCC"/>
              <w:right w:val="single" w:sz="8" w:space="0" w:color="CCCCCC"/>
            </w:tcBorders>
            <w:shd w:val="clear" w:color="000000" w:fill="EEEEE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30" w:tooltip="Khazanah Nasional" w:history="1">
              <w:proofErr w:type="spellStart"/>
              <w:r w:rsidR="00666CEF" w:rsidRPr="005F52A2">
                <w:rPr>
                  <w:rFonts w:ascii="Times New Roman" w:eastAsia="Times New Roman" w:hAnsi="Times New Roman" w:cs="Times New Roman"/>
                  <w:sz w:val="24"/>
                  <w:szCs w:val="24"/>
                </w:rPr>
                <w:t>Khazanah</w:t>
              </w:r>
              <w:proofErr w:type="spellEnd"/>
              <w:r w:rsidR="00666CEF" w:rsidRPr="005F52A2">
                <w:rPr>
                  <w:rFonts w:ascii="Times New Roman" w:eastAsia="Times New Roman" w:hAnsi="Times New Roman" w:cs="Times New Roman"/>
                  <w:sz w:val="24"/>
                  <w:szCs w:val="24"/>
                </w:rPr>
                <w:t xml:space="preserve"> </w:t>
              </w:r>
              <w:proofErr w:type="spellStart"/>
              <w:r w:rsidR="00666CEF" w:rsidRPr="005F52A2">
                <w:rPr>
                  <w:rFonts w:ascii="Times New Roman" w:eastAsia="Times New Roman" w:hAnsi="Times New Roman" w:cs="Times New Roman"/>
                  <w:sz w:val="24"/>
                  <w:szCs w:val="24"/>
                </w:rPr>
                <w:t>Nasional</w:t>
              </w:r>
              <w:proofErr w:type="spellEnd"/>
            </w:hyperlink>
          </w:p>
        </w:tc>
        <w:tc>
          <w:tcPr>
            <w:tcW w:w="132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$36.8</w:t>
            </w:r>
          </w:p>
        </w:tc>
        <w:tc>
          <w:tcPr>
            <w:tcW w:w="130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1993</w:t>
            </w:r>
          </w:p>
        </w:tc>
        <w:tc>
          <w:tcPr>
            <w:tcW w:w="172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Non-</w:t>
            </w:r>
            <w:r w:rsidRPr="005F52A2">
              <w:rPr>
                <w:rFonts w:ascii="Times New Roman" w:eastAsia="Times New Roman" w:hAnsi="Times New Roman" w:cs="Times New Roman"/>
                <w:sz w:val="24"/>
                <w:szCs w:val="24"/>
              </w:rPr>
              <w:lastRenderedPageBreak/>
              <w:t>Commodity</w:t>
            </w:r>
          </w:p>
        </w:tc>
      </w:tr>
      <w:tr w:rsidR="00666CEF" w:rsidRPr="00FE34C5" w:rsidTr="005F52A2">
        <w:trPr>
          <w:trHeight w:val="300"/>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lastRenderedPageBreak/>
              <w:t>22</w:t>
            </w:r>
          </w:p>
        </w:tc>
        <w:tc>
          <w:tcPr>
            <w:tcW w:w="198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Azerbaijan</w:t>
            </w:r>
          </w:p>
        </w:tc>
        <w:tc>
          <w:tcPr>
            <w:tcW w:w="2680" w:type="dxa"/>
            <w:tcBorders>
              <w:top w:val="nil"/>
              <w:left w:val="nil"/>
              <w:bottom w:val="single" w:sz="8" w:space="0" w:color="CCCCCC"/>
              <w:right w:val="single" w:sz="8" w:space="0" w:color="CCCCCC"/>
            </w:tcBorders>
            <w:shd w:val="clear" w:color="000000" w:fill="FEFEF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31" w:tooltip="Reserve Fund" w:history="1">
              <w:r w:rsidR="00666CEF" w:rsidRPr="005F52A2">
                <w:rPr>
                  <w:rFonts w:ascii="Times New Roman" w:eastAsia="Times New Roman" w:hAnsi="Times New Roman" w:cs="Times New Roman"/>
                  <w:sz w:val="24"/>
                  <w:szCs w:val="24"/>
                </w:rPr>
                <w:t>State Oil Fund</w:t>
              </w:r>
            </w:hyperlink>
          </w:p>
        </w:tc>
        <w:tc>
          <w:tcPr>
            <w:tcW w:w="132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$30.2</w:t>
            </w:r>
          </w:p>
        </w:tc>
        <w:tc>
          <w:tcPr>
            <w:tcW w:w="130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1999</w:t>
            </w:r>
          </w:p>
        </w:tc>
        <w:tc>
          <w:tcPr>
            <w:tcW w:w="172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Oil</w:t>
            </w:r>
          </w:p>
        </w:tc>
      </w:tr>
      <w:tr w:rsidR="00666CEF" w:rsidRPr="00FE34C5" w:rsidTr="005F52A2">
        <w:trPr>
          <w:trHeight w:val="585"/>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23</w:t>
            </w:r>
          </w:p>
        </w:tc>
        <w:tc>
          <w:tcPr>
            <w:tcW w:w="198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Ireland</w:t>
            </w:r>
          </w:p>
        </w:tc>
        <w:tc>
          <w:tcPr>
            <w:tcW w:w="2680" w:type="dxa"/>
            <w:tcBorders>
              <w:top w:val="nil"/>
              <w:left w:val="nil"/>
              <w:bottom w:val="single" w:sz="8" w:space="0" w:color="CCCCCC"/>
              <w:right w:val="single" w:sz="8" w:space="0" w:color="CCCCCC"/>
            </w:tcBorders>
            <w:shd w:val="clear" w:color="000000" w:fill="EEEEE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32" w:tooltip="National Pensions Reserve Fund" w:history="1">
              <w:r w:rsidR="00666CEF" w:rsidRPr="005F52A2">
                <w:rPr>
                  <w:rFonts w:ascii="Times New Roman" w:eastAsia="Times New Roman" w:hAnsi="Times New Roman" w:cs="Times New Roman"/>
                  <w:sz w:val="24"/>
                  <w:szCs w:val="24"/>
                </w:rPr>
                <w:t>National Pensions Reserve Fund</w:t>
              </w:r>
            </w:hyperlink>
          </w:p>
        </w:tc>
        <w:tc>
          <w:tcPr>
            <w:tcW w:w="132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$30</w:t>
            </w:r>
          </w:p>
        </w:tc>
        <w:tc>
          <w:tcPr>
            <w:tcW w:w="130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2001</w:t>
            </w:r>
          </w:p>
        </w:tc>
        <w:tc>
          <w:tcPr>
            <w:tcW w:w="172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Non-Commodity</w:t>
            </w:r>
          </w:p>
        </w:tc>
      </w:tr>
      <w:tr w:rsidR="00666CEF" w:rsidRPr="00FE34C5" w:rsidTr="005F52A2">
        <w:trPr>
          <w:trHeight w:val="585"/>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24</w:t>
            </w:r>
          </w:p>
        </w:tc>
        <w:tc>
          <w:tcPr>
            <w:tcW w:w="198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Brunei</w:t>
            </w:r>
          </w:p>
        </w:tc>
        <w:tc>
          <w:tcPr>
            <w:tcW w:w="2680" w:type="dxa"/>
            <w:tcBorders>
              <w:top w:val="nil"/>
              <w:left w:val="nil"/>
              <w:bottom w:val="single" w:sz="8" w:space="0" w:color="CCCCCC"/>
              <w:right w:val="single" w:sz="8" w:space="0" w:color="CCCCCC"/>
            </w:tcBorders>
            <w:shd w:val="clear" w:color="000000" w:fill="FEFEF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33" w:tooltip="Brunei Investment Agency" w:history="1">
              <w:r w:rsidR="00666CEF" w:rsidRPr="005F52A2">
                <w:rPr>
                  <w:rFonts w:ascii="Times New Roman" w:eastAsia="Times New Roman" w:hAnsi="Times New Roman" w:cs="Times New Roman"/>
                  <w:sz w:val="24"/>
                  <w:szCs w:val="24"/>
                </w:rPr>
                <w:t>Brunei Investment Agency</w:t>
              </w:r>
            </w:hyperlink>
          </w:p>
        </w:tc>
        <w:tc>
          <w:tcPr>
            <w:tcW w:w="132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$30</w:t>
            </w:r>
          </w:p>
        </w:tc>
        <w:tc>
          <w:tcPr>
            <w:tcW w:w="130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1983</w:t>
            </w:r>
          </w:p>
        </w:tc>
        <w:tc>
          <w:tcPr>
            <w:tcW w:w="172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Oil</w:t>
            </w:r>
          </w:p>
        </w:tc>
      </w:tr>
      <w:tr w:rsidR="00666CEF" w:rsidRPr="00FE34C5" w:rsidTr="005F52A2">
        <w:trPr>
          <w:trHeight w:val="585"/>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25</w:t>
            </w:r>
          </w:p>
        </w:tc>
        <w:tc>
          <w:tcPr>
            <w:tcW w:w="198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France</w:t>
            </w:r>
          </w:p>
        </w:tc>
        <w:tc>
          <w:tcPr>
            <w:tcW w:w="2680" w:type="dxa"/>
            <w:tcBorders>
              <w:top w:val="nil"/>
              <w:left w:val="nil"/>
              <w:bottom w:val="single" w:sz="8" w:space="0" w:color="CCCCCC"/>
              <w:right w:val="single" w:sz="8" w:space="0" w:color="CCCCCC"/>
            </w:tcBorders>
            <w:shd w:val="clear" w:color="000000" w:fill="EEEEE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34" w:tooltip="Strategic Investment Fund" w:history="1">
              <w:r w:rsidR="00666CEF" w:rsidRPr="005F52A2">
                <w:rPr>
                  <w:rFonts w:ascii="Times New Roman" w:eastAsia="Times New Roman" w:hAnsi="Times New Roman" w:cs="Times New Roman"/>
                  <w:sz w:val="24"/>
                  <w:szCs w:val="24"/>
                </w:rPr>
                <w:t>Strategic Investment Fund</w:t>
              </w:r>
            </w:hyperlink>
          </w:p>
        </w:tc>
        <w:tc>
          <w:tcPr>
            <w:tcW w:w="132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$28</w:t>
            </w:r>
          </w:p>
        </w:tc>
        <w:tc>
          <w:tcPr>
            <w:tcW w:w="130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2008</w:t>
            </w:r>
          </w:p>
        </w:tc>
        <w:tc>
          <w:tcPr>
            <w:tcW w:w="172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Non-Commodity</w:t>
            </w:r>
          </w:p>
        </w:tc>
      </w:tr>
      <w:tr w:rsidR="00666CEF" w:rsidRPr="00FE34C5" w:rsidTr="005F52A2">
        <w:trPr>
          <w:trHeight w:val="585"/>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26</w:t>
            </w:r>
          </w:p>
        </w:tc>
        <w:tc>
          <w:tcPr>
            <w:tcW w:w="198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UAE – Abu Dhabi</w:t>
            </w:r>
          </w:p>
        </w:tc>
        <w:tc>
          <w:tcPr>
            <w:tcW w:w="2680" w:type="dxa"/>
            <w:tcBorders>
              <w:top w:val="nil"/>
              <w:left w:val="nil"/>
              <w:bottom w:val="single" w:sz="8" w:space="0" w:color="CCCCCC"/>
              <w:right w:val="single" w:sz="8" w:space="0" w:color="CCCCCC"/>
            </w:tcBorders>
            <w:shd w:val="clear" w:color="000000" w:fill="FEFEF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35" w:tooltip="Mubadala Development Company" w:history="1">
              <w:proofErr w:type="spellStart"/>
              <w:r w:rsidR="00666CEF" w:rsidRPr="005F52A2">
                <w:rPr>
                  <w:rFonts w:ascii="Times New Roman" w:eastAsia="Times New Roman" w:hAnsi="Times New Roman" w:cs="Times New Roman"/>
                  <w:sz w:val="24"/>
                  <w:szCs w:val="24"/>
                </w:rPr>
                <w:t>Mubadala</w:t>
              </w:r>
              <w:proofErr w:type="spellEnd"/>
              <w:r w:rsidR="00666CEF" w:rsidRPr="005F52A2">
                <w:rPr>
                  <w:rFonts w:ascii="Times New Roman" w:eastAsia="Times New Roman" w:hAnsi="Times New Roman" w:cs="Times New Roman"/>
                  <w:sz w:val="24"/>
                  <w:szCs w:val="24"/>
                </w:rPr>
                <w:t xml:space="preserve"> Development Company</w:t>
              </w:r>
            </w:hyperlink>
          </w:p>
        </w:tc>
        <w:tc>
          <w:tcPr>
            <w:tcW w:w="132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$27.1</w:t>
            </w:r>
          </w:p>
        </w:tc>
        <w:tc>
          <w:tcPr>
            <w:tcW w:w="130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2002</w:t>
            </w:r>
          </w:p>
        </w:tc>
        <w:tc>
          <w:tcPr>
            <w:tcW w:w="172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Oil</w:t>
            </w:r>
          </w:p>
        </w:tc>
      </w:tr>
      <w:tr w:rsidR="00666CEF" w:rsidRPr="00FE34C5" w:rsidTr="005F52A2">
        <w:trPr>
          <w:trHeight w:val="585"/>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27</w:t>
            </w:r>
          </w:p>
        </w:tc>
        <w:tc>
          <w:tcPr>
            <w:tcW w:w="198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US – Texas</w:t>
            </w:r>
          </w:p>
        </w:tc>
        <w:tc>
          <w:tcPr>
            <w:tcW w:w="2680" w:type="dxa"/>
            <w:tcBorders>
              <w:top w:val="nil"/>
              <w:left w:val="nil"/>
              <w:bottom w:val="single" w:sz="8" w:space="0" w:color="CCCCCC"/>
              <w:right w:val="single" w:sz="8" w:space="0" w:color="CCCCCC"/>
            </w:tcBorders>
            <w:shd w:val="clear" w:color="000000" w:fill="EEEEE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36" w:tooltip="Oil Stabilisation Fund" w:history="1">
              <w:r w:rsidR="00666CEF" w:rsidRPr="005F52A2">
                <w:rPr>
                  <w:rFonts w:ascii="Times New Roman" w:eastAsia="Times New Roman" w:hAnsi="Times New Roman" w:cs="Times New Roman"/>
                  <w:sz w:val="24"/>
                  <w:szCs w:val="24"/>
                </w:rPr>
                <w:t>Texas Permanent School Fund</w:t>
              </w:r>
            </w:hyperlink>
          </w:p>
        </w:tc>
        <w:tc>
          <w:tcPr>
            <w:tcW w:w="132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$24.4</w:t>
            </w:r>
          </w:p>
        </w:tc>
        <w:tc>
          <w:tcPr>
            <w:tcW w:w="130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1854</w:t>
            </w:r>
          </w:p>
        </w:tc>
        <w:tc>
          <w:tcPr>
            <w:tcW w:w="172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Oil &amp; Other</w:t>
            </w:r>
          </w:p>
        </w:tc>
      </w:tr>
      <w:tr w:rsidR="00666CEF" w:rsidRPr="00FE34C5" w:rsidTr="005F52A2">
        <w:trPr>
          <w:trHeight w:val="300"/>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28</w:t>
            </w:r>
          </w:p>
        </w:tc>
        <w:tc>
          <w:tcPr>
            <w:tcW w:w="198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Iran</w:t>
            </w:r>
          </w:p>
        </w:tc>
        <w:tc>
          <w:tcPr>
            <w:tcW w:w="2680" w:type="dxa"/>
            <w:tcBorders>
              <w:top w:val="nil"/>
              <w:left w:val="nil"/>
              <w:bottom w:val="single" w:sz="8" w:space="0" w:color="CCCCCC"/>
              <w:right w:val="single" w:sz="8" w:space="0" w:color="CCCCCC"/>
            </w:tcBorders>
            <w:shd w:val="clear" w:color="000000" w:fill="FEFEF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37" w:tooltip="Oil Stabilisation Fund" w:history="1">
              <w:r w:rsidR="00666CEF" w:rsidRPr="005F52A2">
                <w:rPr>
                  <w:rFonts w:ascii="Times New Roman" w:eastAsia="Times New Roman" w:hAnsi="Times New Roman" w:cs="Times New Roman"/>
                  <w:sz w:val="24"/>
                  <w:szCs w:val="24"/>
                </w:rPr>
                <w:t xml:space="preserve">Oil </w:t>
              </w:r>
              <w:proofErr w:type="spellStart"/>
              <w:r w:rsidR="00666CEF" w:rsidRPr="005F52A2">
                <w:rPr>
                  <w:rFonts w:ascii="Times New Roman" w:eastAsia="Times New Roman" w:hAnsi="Times New Roman" w:cs="Times New Roman"/>
                  <w:sz w:val="24"/>
                  <w:szCs w:val="24"/>
                </w:rPr>
                <w:t>Stabilisation</w:t>
              </w:r>
              <w:proofErr w:type="spellEnd"/>
              <w:r w:rsidR="00666CEF" w:rsidRPr="005F52A2">
                <w:rPr>
                  <w:rFonts w:ascii="Times New Roman" w:eastAsia="Times New Roman" w:hAnsi="Times New Roman" w:cs="Times New Roman"/>
                  <w:sz w:val="24"/>
                  <w:szCs w:val="24"/>
                </w:rPr>
                <w:t xml:space="preserve"> Fund</w:t>
              </w:r>
            </w:hyperlink>
          </w:p>
        </w:tc>
        <w:tc>
          <w:tcPr>
            <w:tcW w:w="132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$23</w:t>
            </w:r>
          </w:p>
        </w:tc>
        <w:tc>
          <w:tcPr>
            <w:tcW w:w="130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1999</w:t>
            </w:r>
          </w:p>
        </w:tc>
        <w:tc>
          <w:tcPr>
            <w:tcW w:w="172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Oil</w:t>
            </w:r>
          </w:p>
        </w:tc>
      </w:tr>
      <w:tr w:rsidR="00666CEF" w:rsidRPr="00FE34C5" w:rsidTr="005F52A2">
        <w:trPr>
          <w:trHeight w:val="585"/>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29</w:t>
            </w:r>
          </w:p>
        </w:tc>
        <w:tc>
          <w:tcPr>
            <w:tcW w:w="198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Chile</w:t>
            </w:r>
          </w:p>
        </w:tc>
        <w:tc>
          <w:tcPr>
            <w:tcW w:w="2680" w:type="dxa"/>
            <w:tcBorders>
              <w:top w:val="nil"/>
              <w:left w:val="nil"/>
              <w:bottom w:val="single" w:sz="8" w:space="0" w:color="CCCCCC"/>
              <w:right w:val="single" w:sz="8" w:space="0" w:color="CCCCCC"/>
            </w:tcBorders>
            <w:shd w:val="clear" w:color="000000" w:fill="EEEEE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38" w:tooltip="Copper Fund" w:history="1">
              <w:r w:rsidR="00666CEF" w:rsidRPr="005F52A2">
                <w:rPr>
                  <w:rFonts w:ascii="Times New Roman" w:eastAsia="Times New Roman" w:hAnsi="Times New Roman" w:cs="Times New Roman"/>
                  <w:sz w:val="24"/>
                  <w:szCs w:val="24"/>
                </w:rPr>
                <w:t>Social and Economic Stabilization Fund</w:t>
              </w:r>
            </w:hyperlink>
          </w:p>
        </w:tc>
        <w:tc>
          <w:tcPr>
            <w:tcW w:w="132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$21.8</w:t>
            </w:r>
          </w:p>
        </w:tc>
        <w:tc>
          <w:tcPr>
            <w:tcW w:w="130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1985</w:t>
            </w:r>
          </w:p>
        </w:tc>
        <w:tc>
          <w:tcPr>
            <w:tcW w:w="172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Copper</w:t>
            </w:r>
          </w:p>
        </w:tc>
      </w:tr>
      <w:tr w:rsidR="00666CEF" w:rsidRPr="00FE34C5" w:rsidTr="005F52A2">
        <w:trPr>
          <w:trHeight w:val="300"/>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30</w:t>
            </w:r>
          </w:p>
        </w:tc>
        <w:tc>
          <w:tcPr>
            <w:tcW w:w="198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Canada</w:t>
            </w:r>
          </w:p>
        </w:tc>
        <w:tc>
          <w:tcPr>
            <w:tcW w:w="2680" w:type="dxa"/>
            <w:tcBorders>
              <w:top w:val="nil"/>
              <w:left w:val="nil"/>
              <w:bottom w:val="single" w:sz="8" w:space="0" w:color="CCCCCC"/>
              <w:right w:val="single" w:sz="8" w:space="0" w:color="CCCCCC"/>
            </w:tcBorders>
            <w:shd w:val="clear" w:color="000000" w:fill="FEFEF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39" w:tooltip="Alberta's Heritage Fund " w:history="1">
              <w:r w:rsidR="00666CEF" w:rsidRPr="005F52A2">
                <w:rPr>
                  <w:rFonts w:ascii="Times New Roman" w:eastAsia="Times New Roman" w:hAnsi="Times New Roman" w:cs="Times New Roman"/>
                  <w:sz w:val="24"/>
                  <w:szCs w:val="24"/>
                </w:rPr>
                <w:t>Alberta’s Heritage Fund</w:t>
              </w:r>
            </w:hyperlink>
          </w:p>
        </w:tc>
        <w:tc>
          <w:tcPr>
            <w:tcW w:w="132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$15.1</w:t>
            </w:r>
          </w:p>
        </w:tc>
        <w:tc>
          <w:tcPr>
            <w:tcW w:w="130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1976</w:t>
            </w:r>
          </w:p>
        </w:tc>
        <w:tc>
          <w:tcPr>
            <w:tcW w:w="172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Oil</w:t>
            </w:r>
          </w:p>
        </w:tc>
      </w:tr>
      <w:tr w:rsidR="00666CEF" w:rsidRPr="00FE34C5" w:rsidTr="005F52A2">
        <w:trPr>
          <w:trHeight w:val="585"/>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31</w:t>
            </w:r>
          </w:p>
        </w:tc>
        <w:tc>
          <w:tcPr>
            <w:tcW w:w="198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US – New Mexico</w:t>
            </w:r>
          </w:p>
        </w:tc>
        <w:tc>
          <w:tcPr>
            <w:tcW w:w="2680" w:type="dxa"/>
            <w:tcBorders>
              <w:top w:val="nil"/>
              <w:left w:val="nil"/>
              <w:bottom w:val="single" w:sz="8" w:space="0" w:color="CCCCCC"/>
              <w:right w:val="single" w:sz="8" w:space="0" w:color="CCCCCC"/>
            </w:tcBorders>
            <w:shd w:val="clear" w:color="000000" w:fill="EEEEE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40" w:tooltip="New Mexico State Investment Council" w:history="1">
              <w:r w:rsidR="00666CEF" w:rsidRPr="005F52A2">
                <w:rPr>
                  <w:rFonts w:ascii="Times New Roman" w:eastAsia="Times New Roman" w:hAnsi="Times New Roman" w:cs="Times New Roman"/>
                  <w:sz w:val="24"/>
                  <w:szCs w:val="24"/>
                </w:rPr>
                <w:t>New Mexico State Investment Council</w:t>
              </w:r>
            </w:hyperlink>
          </w:p>
        </w:tc>
        <w:tc>
          <w:tcPr>
            <w:tcW w:w="132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$14.3</w:t>
            </w:r>
          </w:p>
        </w:tc>
        <w:tc>
          <w:tcPr>
            <w:tcW w:w="130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1958</w:t>
            </w:r>
          </w:p>
        </w:tc>
        <w:tc>
          <w:tcPr>
            <w:tcW w:w="172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Non-Commodity</w:t>
            </w:r>
          </w:p>
        </w:tc>
      </w:tr>
      <w:tr w:rsidR="00666CEF" w:rsidRPr="00FE34C5" w:rsidTr="005F52A2">
        <w:trPr>
          <w:trHeight w:val="585"/>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32</w:t>
            </w:r>
          </w:p>
        </w:tc>
        <w:tc>
          <w:tcPr>
            <w:tcW w:w="198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New Zealand</w:t>
            </w:r>
          </w:p>
        </w:tc>
        <w:tc>
          <w:tcPr>
            <w:tcW w:w="2680" w:type="dxa"/>
            <w:tcBorders>
              <w:top w:val="nil"/>
              <w:left w:val="nil"/>
              <w:bottom w:val="single" w:sz="8" w:space="0" w:color="CCCCCC"/>
              <w:right w:val="single" w:sz="8" w:space="0" w:color="CCCCCC"/>
            </w:tcBorders>
            <w:shd w:val="clear" w:color="000000" w:fill="FEFEF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41" w:tooltip="New Zealand Superannuation Fund" w:history="1">
              <w:r w:rsidR="00666CEF" w:rsidRPr="005F52A2">
                <w:rPr>
                  <w:rFonts w:ascii="Times New Roman" w:eastAsia="Times New Roman" w:hAnsi="Times New Roman" w:cs="Times New Roman"/>
                  <w:sz w:val="24"/>
                  <w:szCs w:val="24"/>
                </w:rPr>
                <w:t>New Zealand Superannuation Fund</w:t>
              </w:r>
            </w:hyperlink>
          </w:p>
        </w:tc>
        <w:tc>
          <w:tcPr>
            <w:tcW w:w="132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$13.5</w:t>
            </w:r>
          </w:p>
        </w:tc>
        <w:tc>
          <w:tcPr>
            <w:tcW w:w="130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2003</w:t>
            </w:r>
          </w:p>
        </w:tc>
        <w:tc>
          <w:tcPr>
            <w:tcW w:w="172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Non-Commodity</w:t>
            </w:r>
          </w:p>
        </w:tc>
      </w:tr>
      <w:tr w:rsidR="00666CEF" w:rsidRPr="00FE34C5" w:rsidTr="005F52A2">
        <w:trPr>
          <w:trHeight w:val="300"/>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33</w:t>
            </w:r>
          </w:p>
        </w:tc>
        <w:tc>
          <w:tcPr>
            <w:tcW w:w="198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Brazil</w:t>
            </w:r>
          </w:p>
        </w:tc>
        <w:tc>
          <w:tcPr>
            <w:tcW w:w="2680" w:type="dxa"/>
            <w:tcBorders>
              <w:top w:val="nil"/>
              <w:left w:val="nil"/>
              <w:bottom w:val="single" w:sz="8" w:space="0" w:color="CCCCCC"/>
              <w:right w:val="single" w:sz="8" w:space="0" w:color="CCCCCC"/>
            </w:tcBorders>
            <w:shd w:val="clear" w:color="000000" w:fill="EEEEE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42" w:tooltip="Sovereign Fund of Brazil" w:history="1">
              <w:r w:rsidR="00666CEF" w:rsidRPr="005F52A2">
                <w:rPr>
                  <w:rFonts w:ascii="Times New Roman" w:eastAsia="Times New Roman" w:hAnsi="Times New Roman" w:cs="Times New Roman"/>
                  <w:sz w:val="24"/>
                  <w:szCs w:val="24"/>
                </w:rPr>
                <w:t>Sovereign Fund of Brazil</w:t>
              </w:r>
            </w:hyperlink>
          </w:p>
        </w:tc>
        <w:tc>
          <w:tcPr>
            <w:tcW w:w="132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$11.3</w:t>
            </w:r>
          </w:p>
        </w:tc>
        <w:tc>
          <w:tcPr>
            <w:tcW w:w="130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2008</w:t>
            </w:r>
          </w:p>
        </w:tc>
        <w:tc>
          <w:tcPr>
            <w:tcW w:w="172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Non-Commodity</w:t>
            </w:r>
          </w:p>
        </w:tc>
      </w:tr>
      <w:tr w:rsidR="00666CEF" w:rsidRPr="00FE34C5" w:rsidTr="005F52A2">
        <w:trPr>
          <w:trHeight w:val="585"/>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34</w:t>
            </w:r>
          </w:p>
        </w:tc>
        <w:tc>
          <w:tcPr>
            <w:tcW w:w="198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Bahrain</w:t>
            </w:r>
          </w:p>
        </w:tc>
        <w:tc>
          <w:tcPr>
            <w:tcW w:w="2680" w:type="dxa"/>
            <w:tcBorders>
              <w:top w:val="nil"/>
              <w:left w:val="nil"/>
              <w:bottom w:val="single" w:sz="8" w:space="0" w:color="CCCCCC"/>
              <w:right w:val="single" w:sz="8" w:space="0" w:color="CCCCCC"/>
            </w:tcBorders>
            <w:shd w:val="clear" w:color="000000" w:fill="FEFEF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43" w:tooltip="Mumtalakat Holding Company" w:history="1">
              <w:proofErr w:type="spellStart"/>
              <w:r w:rsidR="00666CEF" w:rsidRPr="005F52A2">
                <w:rPr>
                  <w:rFonts w:ascii="Times New Roman" w:eastAsia="Times New Roman" w:hAnsi="Times New Roman" w:cs="Times New Roman"/>
                  <w:sz w:val="24"/>
                  <w:szCs w:val="24"/>
                </w:rPr>
                <w:t>Mumtalakat</w:t>
              </w:r>
              <w:proofErr w:type="spellEnd"/>
              <w:r w:rsidR="00666CEF" w:rsidRPr="005F52A2">
                <w:rPr>
                  <w:rFonts w:ascii="Times New Roman" w:eastAsia="Times New Roman" w:hAnsi="Times New Roman" w:cs="Times New Roman"/>
                  <w:sz w:val="24"/>
                  <w:szCs w:val="24"/>
                </w:rPr>
                <w:t xml:space="preserve"> Holding Company</w:t>
              </w:r>
            </w:hyperlink>
          </w:p>
        </w:tc>
        <w:tc>
          <w:tcPr>
            <w:tcW w:w="132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$9.1</w:t>
            </w:r>
          </w:p>
        </w:tc>
        <w:tc>
          <w:tcPr>
            <w:tcW w:w="130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2006</w:t>
            </w:r>
          </w:p>
        </w:tc>
        <w:tc>
          <w:tcPr>
            <w:tcW w:w="172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Non-Commodity</w:t>
            </w:r>
          </w:p>
        </w:tc>
      </w:tr>
      <w:tr w:rsidR="00666CEF" w:rsidRPr="00FE34C5" w:rsidTr="005F52A2">
        <w:trPr>
          <w:trHeight w:val="585"/>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35</w:t>
            </w:r>
          </w:p>
        </w:tc>
        <w:tc>
          <w:tcPr>
            <w:tcW w:w="198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Oman</w:t>
            </w:r>
          </w:p>
        </w:tc>
        <w:tc>
          <w:tcPr>
            <w:tcW w:w="2680" w:type="dxa"/>
            <w:tcBorders>
              <w:top w:val="nil"/>
              <w:left w:val="nil"/>
              <w:bottom w:val="single" w:sz="8" w:space="0" w:color="CCCCCC"/>
              <w:right w:val="single" w:sz="8" w:space="0" w:color="CCCCCC"/>
            </w:tcBorders>
            <w:shd w:val="clear" w:color="000000" w:fill="EEEEE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44" w:tooltip="Oman Reserve Fund" w:history="1">
              <w:r w:rsidR="00666CEF" w:rsidRPr="005F52A2">
                <w:rPr>
                  <w:rFonts w:ascii="Times New Roman" w:eastAsia="Times New Roman" w:hAnsi="Times New Roman" w:cs="Times New Roman"/>
                  <w:sz w:val="24"/>
                  <w:szCs w:val="24"/>
                </w:rPr>
                <w:t>State General Reserve Fund</w:t>
              </w:r>
            </w:hyperlink>
          </w:p>
        </w:tc>
        <w:tc>
          <w:tcPr>
            <w:tcW w:w="132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$8.2</w:t>
            </w:r>
          </w:p>
        </w:tc>
        <w:tc>
          <w:tcPr>
            <w:tcW w:w="130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1980</w:t>
            </w:r>
          </w:p>
        </w:tc>
        <w:tc>
          <w:tcPr>
            <w:tcW w:w="172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Oil &amp; Gas</w:t>
            </w:r>
          </w:p>
        </w:tc>
      </w:tr>
      <w:tr w:rsidR="00666CEF" w:rsidRPr="00FE34C5" w:rsidTr="005F52A2">
        <w:trPr>
          <w:trHeight w:val="585"/>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36</w:t>
            </w:r>
          </w:p>
        </w:tc>
        <w:tc>
          <w:tcPr>
            <w:tcW w:w="198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Botswana</w:t>
            </w:r>
          </w:p>
        </w:tc>
        <w:tc>
          <w:tcPr>
            <w:tcW w:w="2680" w:type="dxa"/>
            <w:tcBorders>
              <w:top w:val="nil"/>
              <w:left w:val="nil"/>
              <w:bottom w:val="single" w:sz="8" w:space="0" w:color="CCCCCC"/>
              <w:right w:val="single" w:sz="8" w:space="0" w:color="CCCCCC"/>
            </w:tcBorders>
            <w:shd w:val="clear" w:color="000000" w:fill="FEFEF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45" w:tooltip="Pula" w:history="1">
              <w:r w:rsidR="00666CEF" w:rsidRPr="005F52A2">
                <w:rPr>
                  <w:rFonts w:ascii="Times New Roman" w:eastAsia="Times New Roman" w:hAnsi="Times New Roman" w:cs="Times New Roman"/>
                  <w:sz w:val="24"/>
                  <w:szCs w:val="24"/>
                </w:rPr>
                <w:t>Pula Fund</w:t>
              </w:r>
            </w:hyperlink>
          </w:p>
        </w:tc>
        <w:tc>
          <w:tcPr>
            <w:tcW w:w="132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$6.9</w:t>
            </w:r>
          </w:p>
        </w:tc>
        <w:tc>
          <w:tcPr>
            <w:tcW w:w="130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1994</w:t>
            </w:r>
          </w:p>
        </w:tc>
        <w:tc>
          <w:tcPr>
            <w:tcW w:w="172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Diamonds &amp; Minerals</w:t>
            </w:r>
          </w:p>
        </w:tc>
      </w:tr>
      <w:tr w:rsidR="00666CEF" w:rsidRPr="00FE34C5" w:rsidTr="005F52A2">
        <w:trPr>
          <w:trHeight w:val="585"/>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37</w:t>
            </w:r>
          </w:p>
        </w:tc>
        <w:tc>
          <w:tcPr>
            <w:tcW w:w="198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East Timor</w:t>
            </w:r>
          </w:p>
        </w:tc>
        <w:tc>
          <w:tcPr>
            <w:tcW w:w="2680" w:type="dxa"/>
            <w:tcBorders>
              <w:top w:val="nil"/>
              <w:left w:val="nil"/>
              <w:bottom w:val="single" w:sz="8" w:space="0" w:color="CCCCCC"/>
              <w:right w:val="single" w:sz="8" w:space="0" w:color="CCCCCC"/>
            </w:tcBorders>
            <w:shd w:val="clear" w:color="000000" w:fill="EEEEE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46" w:tooltip="Timor-Leste Petroleum Fund" w:history="1">
              <w:r w:rsidR="00666CEF" w:rsidRPr="005F52A2">
                <w:rPr>
                  <w:rFonts w:ascii="Times New Roman" w:eastAsia="Times New Roman" w:hAnsi="Times New Roman" w:cs="Times New Roman"/>
                  <w:sz w:val="24"/>
                  <w:szCs w:val="24"/>
                </w:rPr>
                <w:t>Timor-Leste Petroleum Fund</w:t>
              </w:r>
            </w:hyperlink>
          </w:p>
        </w:tc>
        <w:tc>
          <w:tcPr>
            <w:tcW w:w="132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$6.3</w:t>
            </w:r>
          </w:p>
        </w:tc>
        <w:tc>
          <w:tcPr>
            <w:tcW w:w="130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2005</w:t>
            </w:r>
          </w:p>
        </w:tc>
        <w:tc>
          <w:tcPr>
            <w:tcW w:w="172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Oil &amp; Gas</w:t>
            </w:r>
          </w:p>
        </w:tc>
      </w:tr>
      <w:tr w:rsidR="00666CEF" w:rsidRPr="00FE34C5" w:rsidTr="005F52A2">
        <w:trPr>
          <w:trHeight w:val="585"/>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38</w:t>
            </w:r>
          </w:p>
        </w:tc>
        <w:tc>
          <w:tcPr>
            <w:tcW w:w="198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Mexico</w:t>
            </w:r>
          </w:p>
        </w:tc>
        <w:tc>
          <w:tcPr>
            <w:tcW w:w="2680" w:type="dxa"/>
            <w:tcBorders>
              <w:top w:val="nil"/>
              <w:left w:val="nil"/>
              <w:bottom w:val="single" w:sz="8" w:space="0" w:color="CCCCCC"/>
              <w:right w:val="single" w:sz="8" w:space="0" w:color="CCCCCC"/>
            </w:tcBorders>
            <w:shd w:val="clear" w:color="000000" w:fill="FEFEF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47" w:tooltip="Mexico Oil Stabilization Fund" w:history="1">
              <w:r w:rsidR="00666CEF" w:rsidRPr="005F52A2">
                <w:rPr>
                  <w:rFonts w:ascii="Times New Roman" w:eastAsia="Times New Roman" w:hAnsi="Times New Roman" w:cs="Times New Roman"/>
                  <w:sz w:val="24"/>
                  <w:szCs w:val="24"/>
                </w:rPr>
                <w:t>Oil Revenues Stabilization Fund of Mexico</w:t>
              </w:r>
            </w:hyperlink>
          </w:p>
        </w:tc>
        <w:tc>
          <w:tcPr>
            <w:tcW w:w="132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$6.0</w:t>
            </w:r>
          </w:p>
        </w:tc>
        <w:tc>
          <w:tcPr>
            <w:tcW w:w="130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2000</w:t>
            </w:r>
          </w:p>
        </w:tc>
        <w:tc>
          <w:tcPr>
            <w:tcW w:w="172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Oil</w:t>
            </w:r>
          </w:p>
        </w:tc>
      </w:tr>
      <w:tr w:rsidR="00666CEF" w:rsidRPr="00FE34C5" w:rsidTr="005F52A2">
        <w:trPr>
          <w:trHeight w:val="300"/>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39</w:t>
            </w:r>
          </w:p>
        </w:tc>
        <w:tc>
          <w:tcPr>
            <w:tcW w:w="198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Saudi Arabia</w:t>
            </w:r>
          </w:p>
        </w:tc>
        <w:tc>
          <w:tcPr>
            <w:tcW w:w="2680" w:type="dxa"/>
            <w:tcBorders>
              <w:top w:val="nil"/>
              <w:left w:val="nil"/>
              <w:bottom w:val="single" w:sz="8" w:space="0" w:color="CCCCCC"/>
              <w:right w:val="single" w:sz="8" w:space="0" w:color="CCCCCC"/>
            </w:tcBorders>
            <w:shd w:val="clear" w:color="000000" w:fill="EEEEE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48" w:tooltip="Public Investment Fund" w:history="1">
              <w:r w:rsidR="00666CEF" w:rsidRPr="005F52A2">
                <w:rPr>
                  <w:rFonts w:ascii="Times New Roman" w:eastAsia="Times New Roman" w:hAnsi="Times New Roman" w:cs="Times New Roman"/>
                  <w:sz w:val="24"/>
                  <w:szCs w:val="24"/>
                </w:rPr>
                <w:t>Public Investment Fund</w:t>
              </w:r>
            </w:hyperlink>
          </w:p>
        </w:tc>
        <w:tc>
          <w:tcPr>
            <w:tcW w:w="132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$5.3</w:t>
            </w:r>
          </w:p>
        </w:tc>
        <w:tc>
          <w:tcPr>
            <w:tcW w:w="130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2008</w:t>
            </w:r>
          </w:p>
        </w:tc>
        <w:tc>
          <w:tcPr>
            <w:tcW w:w="172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Oil</w:t>
            </w:r>
          </w:p>
        </w:tc>
      </w:tr>
      <w:tr w:rsidR="00666CEF" w:rsidRPr="00FE34C5" w:rsidTr="005F52A2">
        <w:trPr>
          <w:trHeight w:val="585"/>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40</w:t>
            </w:r>
          </w:p>
        </w:tc>
        <w:tc>
          <w:tcPr>
            <w:tcW w:w="198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China</w:t>
            </w:r>
          </w:p>
        </w:tc>
        <w:tc>
          <w:tcPr>
            <w:tcW w:w="2680" w:type="dxa"/>
            <w:tcBorders>
              <w:top w:val="nil"/>
              <w:left w:val="nil"/>
              <w:bottom w:val="single" w:sz="8" w:space="0" w:color="CCCCCC"/>
              <w:right w:val="single" w:sz="8" w:space="0" w:color="CCCCCC"/>
            </w:tcBorders>
            <w:shd w:val="clear" w:color="000000" w:fill="FEFEF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49" w:tooltip="China-Africa Development Fund" w:history="1">
              <w:r w:rsidR="00666CEF" w:rsidRPr="005F52A2">
                <w:rPr>
                  <w:rFonts w:ascii="Times New Roman" w:eastAsia="Times New Roman" w:hAnsi="Times New Roman" w:cs="Times New Roman"/>
                  <w:sz w:val="24"/>
                  <w:szCs w:val="24"/>
                </w:rPr>
                <w:t>China-Africa Development Fund</w:t>
              </w:r>
            </w:hyperlink>
          </w:p>
        </w:tc>
        <w:tc>
          <w:tcPr>
            <w:tcW w:w="132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$5.0</w:t>
            </w:r>
          </w:p>
        </w:tc>
        <w:tc>
          <w:tcPr>
            <w:tcW w:w="130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2007</w:t>
            </w:r>
          </w:p>
        </w:tc>
        <w:tc>
          <w:tcPr>
            <w:tcW w:w="172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Non-Commodity</w:t>
            </w:r>
          </w:p>
        </w:tc>
      </w:tr>
      <w:tr w:rsidR="00666CEF" w:rsidRPr="00FE34C5" w:rsidTr="005F52A2">
        <w:trPr>
          <w:trHeight w:val="585"/>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41</w:t>
            </w:r>
          </w:p>
        </w:tc>
        <w:tc>
          <w:tcPr>
            <w:tcW w:w="198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US – Wyoming</w:t>
            </w:r>
          </w:p>
        </w:tc>
        <w:tc>
          <w:tcPr>
            <w:tcW w:w="2680" w:type="dxa"/>
            <w:tcBorders>
              <w:top w:val="nil"/>
              <w:left w:val="nil"/>
              <w:bottom w:val="single" w:sz="8" w:space="0" w:color="CCCCCC"/>
              <w:right w:val="single" w:sz="8" w:space="0" w:color="CCCCCC"/>
            </w:tcBorders>
            <w:shd w:val="clear" w:color="000000" w:fill="EEEEE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50" w:tooltip="Mineral Trust Fund" w:history="1">
              <w:r w:rsidR="00666CEF" w:rsidRPr="005F52A2">
                <w:rPr>
                  <w:rFonts w:ascii="Times New Roman" w:eastAsia="Times New Roman" w:hAnsi="Times New Roman" w:cs="Times New Roman"/>
                  <w:sz w:val="24"/>
                  <w:szCs w:val="24"/>
                </w:rPr>
                <w:t>Permanent Wyoming Mineral Trust Fund</w:t>
              </w:r>
            </w:hyperlink>
          </w:p>
        </w:tc>
        <w:tc>
          <w:tcPr>
            <w:tcW w:w="132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$4.7</w:t>
            </w:r>
          </w:p>
        </w:tc>
        <w:tc>
          <w:tcPr>
            <w:tcW w:w="130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1974</w:t>
            </w:r>
          </w:p>
        </w:tc>
        <w:tc>
          <w:tcPr>
            <w:tcW w:w="172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Minerals</w:t>
            </w:r>
          </w:p>
        </w:tc>
      </w:tr>
      <w:tr w:rsidR="00666CEF" w:rsidRPr="00FE34C5" w:rsidTr="005F52A2">
        <w:trPr>
          <w:trHeight w:val="585"/>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42</w:t>
            </w:r>
          </w:p>
        </w:tc>
        <w:tc>
          <w:tcPr>
            <w:tcW w:w="198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Trinidad &amp; Tobago</w:t>
            </w:r>
          </w:p>
        </w:tc>
        <w:tc>
          <w:tcPr>
            <w:tcW w:w="2680" w:type="dxa"/>
            <w:tcBorders>
              <w:top w:val="nil"/>
              <w:left w:val="nil"/>
              <w:bottom w:val="single" w:sz="8" w:space="0" w:color="CCCCCC"/>
              <w:right w:val="single" w:sz="8" w:space="0" w:color="CCCCCC"/>
            </w:tcBorders>
            <w:shd w:val="clear" w:color="000000" w:fill="FEFEF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51" w:tooltip="Heritage and Stabilization Fund" w:history="1">
              <w:r w:rsidR="00666CEF" w:rsidRPr="005F52A2">
                <w:rPr>
                  <w:rFonts w:ascii="Times New Roman" w:eastAsia="Times New Roman" w:hAnsi="Times New Roman" w:cs="Times New Roman"/>
                  <w:sz w:val="24"/>
                  <w:szCs w:val="24"/>
                </w:rPr>
                <w:t>Heritage and Stabilization Fund</w:t>
              </w:r>
            </w:hyperlink>
          </w:p>
        </w:tc>
        <w:tc>
          <w:tcPr>
            <w:tcW w:w="132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$2.9</w:t>
            </w:r>
          </w:p>
        </w:tc>
        <w:tc>
          <w:tcPr>
            <w:tcW w:w="130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2000</w:t>
            </w:r>
          </w:p>
        </w:tc>
        <w:tc>
          <w:tcPr>
            <w:tcW w:w="172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Oil</w:t>
            </w:r>
          </w:p>
        </w:tc>
      </w:tr>
      <w:tr w:rsidR="00666CEF" w:rsidRPr="00FE34C5" w:rsidTr="005F52A2">
        <w:trPr>
          <w:trHeight w:val="300"/>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43</w:t>
            </w:r>
          </w:p>
        </w:tc>
        <w:tc>
          <w:tcPr>
            <w:tcW w:w="198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US – Alabama</w:t>
            </w:r>
          </w:p>
        </w:tc>
        <w:tc>
          <w:tcPr>
            <w:tcW w:w="2680" w:type="dxa"/>
            <w:tcBorders>
              <w:top w:val="nil"/>
              <w:left w:val="nil"/>
              <w:bottom w:val="single" w:sz="8" w:space="0" w:color="CCCCCC"/>
              <w:right w:val="single" w:sz="8" w:space="0" w:color="CCCCCC"/>
            </w:tcBorders>
            <w:shd w:val="clear" w:color="000000" w:fill="EEEEE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52" w:tooltip="Alabama Trust Fund" w:history="1">
              <w:r w:rsidR="00666CEF" w:rsidRPr="005F52A2">
                <w:rPr>
                  <w:rFonts w:ascii="Times New Roman" w:eastAsia="Times New Roman" w:hAnsi="Times New Roman" w:cs="Times New Roman"/>
                  <w:sz w:val="24"/>
                  <w:szCs w:val="24"/>
                </w:rPr>
                <w:t>Alabama Trust Fund</w:t>
              </w:r>
            </w:hyperlink>
          </w:p>
        </w:tc>
        <w:tc>
          <w:tcPr>
            <w:tcW w:w="132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$2.5</w:t>
            </w:r>
          </w:p>
        </w:tc>
        <w:tc>
          <w:tcPr>
            <w:tcW w:w="130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1985</w:t>
            </w:r>
          </w:p>
        </w:tc>
        <w:tc>
          <w:tcPr>
            <w:tcW w:w="172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Oil &amp; Gas</w:t>
            </w:r>
          </w:p>
        </w:tc>
      </w:tr>
      <w:tr w:rsidR="00666CEF" w:rsidRPr="00FE34C5" w:rsidTr="005F52A2">
        <w:trPr>
          <w:trHeight w:val="300"/>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44</w:t>
            </w:r>
          </w:p>
        </w:tc>
        <w:tc>
          <w:tcPr>
            <w:tcW w:w="198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Italy</w:t>
            </w:r>
          </w:p>
        </w:tc>
        <w:tc>
          <w:tcPr>
            <w:tcW w:w="2680" w:type="dxa"/>
            <w:tcBorders>
              <w:top w:val="nil"/>
              <w:left w:val="nil"/>
              <w:bottom w:val="single" w:sz="8" w:space="0" w:color="CCCCCC"/>
              <w:right w:val="single" w:sz="8" w:space="0" w:color="CCCCCC"/>
            </w:tcBorders>
            <w:shd w:val="clear" w:color="000000" w:fill="FEFEF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53" w:tooltip="Italian Strategic Fund" w:history="1">
              <w:r w:rsidR="00666CEF" w:rsidRPr="005F52A2">
                <w:rPr>
                  <w:rFonts w:ascii="Times New Roman" w:eastAsia="Times New Roman" w:hAnsi="Times New Roman" w:cs="Times New Roman"/>
                  <w:sz w:val="24"/>
                  <w:szCs w:val="24"/>
                </w:rPr>
                <w:t>Italian Strategic Fund</w:t>
              </w:r>
            </w:hyperlink>
          </w:p>
        </w:tc>
        <w:tc>
          <w:tcPr>
            <w:tcW w:w="132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$1.4</w:t>
            </w:r>
          </w:p>
        </w:tc>
        <w:tc>
          <w:tcPr>
            <w:tcW w:w="130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2011</w:t>
            </w:r>
          </w:p>
        </w:tc>
        <w:tc>
          <w:tcPr>
            <w:tcW w:w="172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Non-Commodity</w:t>
            </w:r>
          </w:p>
        </w:tc>
      </w:tr>
      <w:tr w:rsidR="00666CEF" w:rsidRPr="00FE34C5" w:rsidTr="005F52A2">
        <w:trPr>
          <w:trHeight w:val="585"/>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45</w:t>
            </w:r>
          </w:p>
        </w:tc>
        <w:tc>
          <w:tcPr>
            <w:tcW w:w="198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 xml:space="preserve">UAE – </w:t>
            </w:r>
            <w:proofErr w:type="spellStart"/>
            <w:r w:rsidRPr="005F52A2">
              <w:rPr>
                <w:rFonts w:ascii="Times New Roman" w:eastAsia="Times New Roman" w:hAnsi="Times New Roman" w:cs="Times New Roman"/>
                <w:sz w:val="24"/>
                <w:szCs w:val="24"/>
              </w:rPr>
              <w:t>Ras</w:t>
            </w:r>
            <w:proofErr w:type="spellEnd"/>
            <w:r w:rsidRPr="005F52A2">
              <w:rPr>
                <w:rFonts w:ascii="Times New Roman" w:eastAsia="Times New Roman" w:hAnsi="Times New Roman" w:cs="Times New Roman"/>
                <w:sz w:val="24"/>
                <w:szCs w:val="24"/>
              </w:rPr>
              <w:t xml:space="preserve"> Al </w:t>
            </w:r>
            <w:proofErr w:type="spellStart"/>
            <w:r w:rsidRPr="005F52A2">
              <w:rPr>
                <w:rFonts w:ascii="Times New Roman" w:eastAsia="Times New Roman" w:hAnsi="Times New Roman" w:cs="Times New Roman"/>
                <w:sz w:val="24"/>
                <w:szCs w:val="24"/>
              </w:rPr>
              <w:t>Khaimah</w:t>
            </w:r>
            <w:proofErr w:type="spellEnd"/>
          </w:p>
        </w:tc>
        <w:tc>
          <w:tcPr>
            <w:tcW w:w="2680" w:type="dxa"/>
            <w:tcBorders>
              <w:top w:val="nil"/>
              <w:left w:val="nil"/>
              <w:bottom w:val="single" w:sz="8" w:space="0" w:color="CCCCCC"/>
              <w:right w:val="single" w:sz="8" w:space="0" w:color="CCCCCC"/>
            </w:tcBorders>
            <w:shd w:val="clear" w:color="000000" w:fill="EEEEE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54" w:tooltip="RAK Investment Authority" w:history="1">
              <w:r w:rsidR="00666CEF" w:rsidRPr="005F52A2">
                <w:rPr>
                  <w:rFonts w:ascii="Times New Roman" w:eastAsia="Times New Roman" w:hAnsi="Times New Roman" w:cs="Times New Roman"/>
                  <w:sz w:val="24"/>
                  <w:szCs w:val="24"/>
                </w:rPr>
                <w:t>RAK Investment Authority</w:t>
              </w:r>
            </w:hyperlink>
          </w:p>
        </w:tc>
        <w:tc>
          <w:tcPr>
            <w:tcW w:w="132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$1.2</w:t>
            </w:r>
          </w:p>
        </w:tc>
        <w:tc>
          <w:tcPr>
            <w:tcW w:w="130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2005</w:t>
            </w:r>
          </w:p>
        </w:tc>
        <w:tc>
          <w:tcPr>
            <w:tcW w:w="172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Oil</w:t>
            </w:r>
          </w:p>
        </w:tc>
      </w:tr>
      <w:tr w:rsidR="00666CEF" w:rsidRPr="00FE34C5" w:rsidTr="005F52A2">
        <w:trPr>
          <w:trHeight w:val="585"/>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lastRenderedPageBreak/>
              <w:t>46</w:t>
            </w:r>
          </w:p>
        </w:tc>
        <w:tc>
          <w:tcPr>
            <w:tcW w:w="198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Nigeria</w:t>
            </w:r>
          </w:p>
        </w:tc>
        <w:tc>
          <w:tcPr>
            <w:tcW w:w="2680" w:type="dxa"/>
            <w:tcBorders>
              <w:top w:val="nil"/>
              <w:left w:val="nil"/>
              <w:bottom w:val="single" w:sz="8" w:space="0" w:color="CCCCCC"/>
              <w:right w:val="single" w:sz="8" w:space="0" w:color="CCCCCC"/>
            </w:tcBorders>
            <w:shd w:val="clear" w:color="000000" w:fill="FEFEF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55" w:tooltip="Nigerian Sovereign Investment Authority" w:history="1">
              <w:r w:rsidR="00666CEF" w:rsidRPr="005F52A2">
                <w:rPr>
                  <w:rFonts w:ascii="Times New Roman" w:eastAsia="Times New Roman" w:hAnsi="Times New Roman" w:cs="Times New Roman"/>
                  <w:sz w:val="24"/>
                  <w:szCs w:val="24"/>
                </w:rPr>
                <w:t>Nigerian Sovereign Investment Authority</w:t>
              </w:r>
            </w:hyperlink>
          </w:p>
        </w:tc>
        <w:tc>
          <w:tcPr>
            <w:tcW w:w="132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$1</w:t>
            </w:r>
          </w:p>
        </w:tc>
        <w:tc>
          <w:tcPr>
            <w:tcW w:w="130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2011</w:t>
            </w:r>
          </w:p>
        </w:tc>
        <w:tc>
          <w:tcPr>
            <w:tcW w:w="172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Oil</w:t>
            </w:r>
          </w:p>
        </w:tc>
      </w:tr>
      <w:tr w:rsidR="00666CEF" w:rsidRPr="00FE34C5" w:rsidTr="005F52A2">
        <w:trPr>
          <w:trHeight w:val="300"/>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47</w:t>
            </w:r>
          </w:p>
        </w:tc>
        <w:tc>
          <w:tcPr>
            <w:tcW w:w="198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Venezuela</w:t>
            </w:r>
          </w:p>
        </w:tc>
        <w:tc>
          <w:tcPr>
            <w:tcW w:w="2680" w:type="dxa"/>
            <w:tcBorders>
              <w:top w:val="nil"/>
              <w:left w:val="nil"/>
              <w:bottom w:val="single" w:sz="8" w:space="0" w:color="CCCCCC"/>
              <w:right w:val="single" w:sz="8" w:space="0" w:color="CCCCCC"/>
            </w:tcBorders>
            <w:shd w:val="clear" w:color="000000" w:fill="EEEEE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56" w:tooltip="FEM" w:history="1">
              <w:r w:rsidR="00666CEF" w:rsidRPr="005F52A2">
                <w:rPr>
                  <w:rFonts w:ascii="Times New Roman" w:eastAsia="Times New Roman" w:hAnsi="Times New Roman" w:cs="Times New Roman"/>
                  <w:sz w:val="24"/>
                  <w:szCs w:val="24"/>
                </w:rPr>
                <w:t>FEM</w:t>
              </w:r>
            </w:hyperlink>
          </w:p>
        </w:tc>
        <w:tc>
          <w:tcPr>
            <w:tcW w:w="132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$0.8</w:t>
            </w:r>
          </w:p>
        </w:tc>
        <w:tc>
          <w:tcPr>
            <w:tcW w:w="130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1998</w:t>
            </w:r>
          </w:p>
        </w:tc>
        <w:tc>
          <w:tcPr>
            <w:tcW w:w="172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Oil</w:t>
            </w:r>
          </w:p>
        </w:tc>
      </w:tr>
      <w:tr w:rsidR="00666CEF" w:rsidRPr="00FE34C5" w:rsidTr="005F52A2">
        <w:trPr>
          <w:trHeight w:val="585"/>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48</w:t>
            </w:r>
          </w:p>
        </w:tc>
        <w:tc>
          <w:tcPr>
            <w:tcW w:w="198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Vietnam</w:t>
            </w:r>
          </w:p>
        </w:tc>
        <w:tc>
          <w:tcPr>
            <w:tcW w:w="2680" w:type="dxa"/>
            <w:tcBorders>
              <w:top w:val="nil"/>
              <w:left w:val="nil"/>
              <w:bottom w:val="single" w:sz="8" w:space="0" w:color="CCCCCC"/>
              <w:right w:val="single" w:sz="8" w:space="0" w:color="CCCCCC"/>
            </w:tcBorders>
            <w:shd w:val="clear" w:color="000000" w:fill="FEFEF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57" w:tooltip="State Capital Investment Corporation" w:history="1">
              <w:r w:rsidR="00666CEF" w:rsidRPr="005F52A2">
                <w:rPr>
                  <w:rFonts w:ascii="Times New Roman" w:eastAsia="Times New Roman" w:hAnsi="Times New Roman" w:cs="Times New Roman"/>
                  <w:sz w:val="24"/>
                  <w:szCs w:val="24"/>
                </w:rPr>
                <w:t>State Capital Investment Corporation</w:t>
              </w:r>
            </w:hyperlink>
          </w:p>
        </w:tc>
        <w:tc>
          <w:tcPr>
            <w:tcW w:w="132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$0.5</w:t>
            </w:r>
          </w:p>
        </w:tc>
        <w:tc>
          <w:tcPr>
            <w:tcW w:w="130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2006</w:t>
            </w:r>
          </w:p>
        </w:tc>
        <w:tc>
          <w:tcPr>
            <w:tcW w:w="172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Non-Commodity</w:t>
            </w:r>
          </w:p>
        </w:tc>
      </w:tr>
      <w:tr w:rsidR="00666CEF" w:rsidRPr="00FE34C5" w:rsidTr="005F52A2">
        <w:trPr>
          <w:trHeight w:val="585"/>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49</w:t>
            </w:r>
          </w:p>
        </w:tc>
        <w:tc>
          <w:tcPr>
            <w:tcW w:w="198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Kiribati</w:t>
            </w:r>
          </w:p>
        </w:tc>
        <w:tc>
          <w:tcPr>
            <w:tcW w:w="2680" w:type="dxa"/>
            <w:tcBorders>
              <w:top w:val="nil"/>
              <w:left w:val="nil"/>
              <w:bottom w:val="single" w:sz="8" w:space="0" w:color="CCCCCC"/>
              <w:right w:val="single" w:sz="8" w:space="0" w:color="CCCCCC"/>
            </w:tcBorders>
            <w:shd w:val="clear" w:color="000000" w:fill="EEEEE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58" w:tooltip="Revenue Equalization" w:history="1">
              <w:r w:rsidR="00666CEF" w:rsidRPr="005F52A2">
                <w:rPr>
                  <w:rFonts w:ascii="Times New Roman" w:eastAsia="Times New Roman" w:hAnsi="Times New Roman" w:cs="Times New Roman"/>
                  <w:sz w:val="24"/>
                  <w:szCs w:val="24"/>
                </w:rPr>
                <w:t>Revenue Equalization Reserve Fund</w:t>
              </w:r>
            </w:hyperlink>
          </w:p>
        </w:tc>
        <w:tc>
          <w:tcPr>
            <w:tcW w:w="132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$0.4</w:t>
            </w:r>
          </w:p>
        </w:tc>
        <w:tc>
          <w:tcPr>
            <w:tcW w:w="130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1956</w:t>
            </w:r>
          </w:p>
        </w:tc>
        <w:tc>
          <w:tcPr>
            <w:tcW w:w="172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Phosphates</w:t>
            </w:r>
          </w:p>
        </w:tc>
      </w:tr>
      <w:tr w:rsidR="00666CEF" w:rsidRPr="00FE34C5" w:rsidTr="005F52A2">
        <w:trPr>
          <w:trHeight w:val="585"/>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50</w:t>
            </w:r>
          </w:p>
        </w:tc>
        <w:tc>
          <w:tcPr>
            <w:tcW w:w="198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Gabon</w:t>
            </w:r>
          </w:p>
        </w:tc>
        <w:tc>
          <w:tcPr>
            <w:tcW w:w="2680" w:type="dxa"/>
            <w:tcBorders>
              <w:top w:val="nil"/>
              <w:left w:val="nil"/>
              <w:bottom w:val="single" w:sz="8" w:space="0" w:color="CCCCCC"/>
              <w:right w:val="single" w:sz="8" w:space="0" w:color="CCCCCC"/>
            </w:tcBorders>
            <w:shd w:val="clear" w:color="000000" w:fill="FEFEF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59" w:tooltip="Gabon SWF" w:history="1">
              <w:r w:rsidR="00666CEF" w:rsidRPr="005F52A2">
                <w:rPr>
                  <w:rFonts w:ascii="Times New Roman" w:eastAsia="Times New Roman" w:hAnsi="Times New Roman" w:cs="Times New Roman"/>
                  <w:sz w:val="24"/>
                  <w:szCs w:val="24"/>
                </w:rPr>
                <w:t>Gabon Sovereign Wealth Fund</w:t>
              </w:r>
            </w:hyperlink>
          </w:p>
        </w:tc>
        <w:tc>
          <w:tcPr>
            <w:tcW w:w="132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$0.4</w:t>
            </w:r>
          </w:p>
        </w:tc>
        <w:tc>
          <w:tcPr>
            <w:tcW w:w="130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1998</w:t>
            </w:r>
          </w:p>
        </w:tc>
        <w:tc>
          <w:tcPr>
            <w:tcW w:w="172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Oil</w:t>
            </w:r>
          </w:p>
        </w:tc>
      </w:tr>
      <w:tr w:rsidR="00666CEF" w:rsidRPr="00FE34C5" w:rsidTr="005F52A2">
        <w:trPr>
          <w:trHeight w:val="585"/>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51</w:t>
            </w:r>
          </w:p>
        </w:tc>
        <w:tc>
          <w:tcPr>
            <w:tcW w:w="198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Indonesia</w:t>
            </w:r>
          </w:p>
        </w:tc>
        <w:tc>
          <w:tcPr>
            <w:tcW w:w="2680" w:type="dxa"/>
            <w:tcBorders>
              <w:top w:val="nil"/>
              <w:left w:val="nil"/>
              <w:bottom w:val="single" w:sz="8" w:space="0" w:color="CCCCCC"/>
              <w:right w:val="single" w:sz="8" w:space="0" w:color="CCCCCC"/>
            </w:tcBorders>
            <w:shd w:val="clear" w:color="000000" w:fill="EEEEE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60" w:tooltip="Government Investment Unit" w:history="1">
              <w:r w:rsidR="00666CEF" w:rsidRPr="005F52A2">
                <w:rPr>
                  <w:rFonts w:ascii="Times New Roman" w:eastAsia="Times New Roman" w:hAnsi="Times New Roman" w:cs="Times New Roman"/>
                  <w:sz w:val="24"/>
                  <w:szCs w:val="24"/>
                </w:rPr>
                <w:t>Government Investment Unit</w:t>
              </w:r>
            </w:hyperlink>
          </w:p>
        </w:tc>
        <w:tc>
          <w:tcPr>
            <w:tcW w:w="132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$0.3</w:t>
            </w:r>
          </w:p>
        </w:tc>
        <w:tc>
          <w:tcPr>
            <w:tcW w:w="130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2006</w:t>
            </w:r>
          </w:p>
        </w:tc>
        <w:tc>
          <w:tcPr>
            <w:tcW w:w="172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Non-Commodity</w:t>
            </w:r>
          </w:p>
        </w:tc>
      </w:tr>
      <w:tr w:rsidR="00666CEF" w:rsidRPr="00FE34C5" w:rsidTr="005F52A2">
        <w:trPr>
          <w:trHeight w:val="585"/>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52</w:t>
            </w:r>
          </w:p>
        </w:tc>
        <w:tc>
          <w:tcPr>
            <w:tcW w:w="198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Mauritania</w:t>
            </w:r>
          </w:p>
        </w:tc>
        <w:tc>
          <w:tcPr>
            <w:tcW w:w="2680" w:type="dxa"/>
            <w:tcBorders>
              <w:top w:val="nil"/>
              <w:left w:val="nil"/>
              <w:bottom w:val="single" w:sz="8" w:space="0" w:color="CCCCCC"/>
              <w:right w:val="single" w:sz="8" w:space="0" w:color="CCCCCC"/>
            </w:tcBorders>
            <w:shd w:val="clear" w:color="000000" w:fill="FEFEF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61" w:tooltip="National Fund for Hydrocarbon Reserves" w:history="1">
              <w:r w:rsidR="00666CEF" w:rsidRPr="005F52A2">
                <w:rPr>
                  <w:rFonts w:ascii="Times New Roman" w:eastAsia="Times New Roman" w:hAnsi="Times New Roman" w:cs="Times New Roman"/>
                  <w:sz w:val="24"/>
                  <w:szCs w:val="24"/>
                </w:rPr>
                <w:t>National Fund for Hydrocarbon Reserves</w:t>
              </w:r>
            </w:hyperlink>
          </w:p>
        </w:tc>
        <w:tc>
          <w:tcPr>
            <w:tcW w:w="132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$0.3</w:t>
            </w:r>
          </w:p>
        </w:tc>
        <w:tc>
          <w:tcPr>
            <w:tcW w:w="130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2006</w:t>
            </w:r>
          </w:p>
        </w:tc>
        <w:tc>
          <w:tcPr>
            <w:tcW w:w="172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Oil &amp; Gas</w:t>
            </w:r>
          </w:p>
        </w:tc>
      </w:tr>
      <w:tr w:rsidR="00666CEF" w:rsidRPr="00FE34C5" w:rsidTr="005F52A2">
        <w:trPr>
          <w:trHeight w:val="585"/>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53</w:t>
            </w:r>
          </w:p>
        </w:tc>
        <w:tc>
          <w:tcPr>
            <w:tcW w:w="198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US – North Dakota</w:t>
            </w:r>
          </w:p>
        </w:tc>
        <w:tc>
          <w:tcPr>
            <w:tcW w:w="2680" w:type="dxa"/>
            <w:tcBorders>
              <w:top w:val="nil"/>
              <w:left w:val="nil"/>
              <w:bottom w:val="single" w:sz="8" w:space="0" w:color="CCCCCC"/>
              <w:right w:val="single" w:sz="8" w:space="0" w:color="CCCCCC"/>
            </w:tcBorders>
            <w:shd w:val="clear" w:color="000000" w:fill="EEEEE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62" w:tooltip="North Dakota Legacy Fund" w:history="1">
              <w:r w:rsidR="00666CEF" w:rsidRPr="005F52A2">
                <w:rPr>
                  <w:rFonts w:ascii="Times New Roman" w:eastAsia="Times New Roman" w:hAnsi="Times New Roman" w:cs="Times New Roman"/>
                  <w:sz w:val="24"/>
                  <w:szCs w:val="24"/>
                </w:rPr>
                <w:t>North Dakota Legacy Fund</w:t>
              </w:r>
            </w:hyperlink>
          </w:p>
        </w:tc>
        <w:tc>
          <w:tcPr>
            <w:tcW w:w="132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$0.1</w:t>
            </w:r>
          </w:p>
        </w:tc>
        <w:tc>
          <w:tcPr>
            <w:tcW w:w="130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2011</w:t>
            </w:r>
          </w:p>
        </w:tc>
        <w:tc>
          <w:tcPr>
            <w:tcW w:w="172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Oil &amp; Gas</w:t>
            </w:r>
          </w:p>
        </w:tc>
      </w:tr>
      <w:tr w:rsidR="00666CEF" w:rsidRPr="00FE34C5" w:rsidTr="005F52A2">
        <w:trPr>
          <w:trHeight w:val="585"/>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54</w:t>
            </w:r>
          </w:p>
        </w:tc>
        <w:tc>
          <w:tcPr>
            <w:tcW w:w="198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Equatorial Guinea</w:t>
            </w:r>
          </w:p>
        </w:tc>
        <w:tc>
          <w:tcPr>
            <w:tcW w:w="2680" w:type="dxa"/>
            <w:tcBorders>
              <w:top w:val="nil"/>
              <w:left w:val="nil"/>
              <w:bottom w:val="single" w:sz="8" w:space="0" w:color="CCCCCC"/>
              <w:right w:val="single" w:sz="8" w:space="0" w:color="CCCCCC"/>
            </w:tcBorders>
            <w:shd w:val="clear" w:color="000000" w:fill="FEFEF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63" w:tooltip="Equatorial Guinea - Fund for Future Generations" w:history="1">
              <w:r w:rsidR="00666CEF" w:rsidRPr="005F52A2">
                <w:rPr>
                  <w:rFonts w:ascii="Times New Roman" w:eastAsia="Times New Roman" w:hAnsi="Times New Roman" w:cs="Times New Roman"/>
                  <w:sz w:val="24"/>
                  <w:szCs w:val="24"/>
                </w:rPr>
                <w:t>Fund for Future Generations</w:t>
              </w:r>
            </w:hyperlink>
          </w:p>
        </w:tc>
        <w:tc>
          <w:tcPr>
            <w:tcW w:w="132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$0.08</w:t>
            </w:r>
          </w:p>
        </w:tc>
        <w:tc>
          <w:tcPr>
            <w:tcW w:w="130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 </w:t>
            </w:r>
          </w:p>
        </w:tc>
        <w:tc>
          <w:tcPr>
            <w:tcW w:w="172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Oil</w:t>
            </w:r>
          </w:p>
        </w:tc>
      </w:tr>
      <w:tr w:rsidR="00666CEF" w:rsidRPr="00FE34C5" w:rsidTr="005F52A2">
        <w:trPr>
          <w:trHeight w:val="585"/>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55</w:t>
            </w:r>
          </w:p>
        </w:tc>
        <w:tc>
          <w:tcPr>
            <w:tcW w:w="198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UAE – Federal</w:t>
            </w:r>
          </w:p>
        </w:tc>
        <w:tc>
          <w:tcPr>
            <w:tcW w:w="2680" w:type="dxa"/>
            <w:tcBorders>
              <w:top w:val="nil"/>
              <w:left w:val="nil"/>
              <w:bottom w:val="single" w:sz="8" w:space="0" w:color="CCCCCC"/>
              <w:right w:val="single" w:sz="8" w:space="0" w:color="CCCCCC"/>
            </w:tcBorders>
            <w:shd w:val="clear" w:color="000000" w:fill="EEEEE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64" w:tooltip="Emirates Investment Authority" w:history="1">
              <w:r w:rsidR="00666CEF" w:rsidRPr="005F52A2">
                <w:rPr>
                  <w:rFonts w:ascii="Times New Roman" w:eastAsia="Times New Roman" w:hAnsi="Times New Roman" w:cs="Times New Roman"/>
                  <w:sz w:val="24"/>
                  <w:szCs w:val="24"/>
                </w:rPr>
                <w:t>Emirates Investment Authority</w:t>
              </w:r>
            </w:hyperlink>
          </w:p>
        </w:tc>
        <w:tc>
          <w:tcPr>
            <w:tcW w:w="132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n/a</w:t>
            </w:r>
          </w:p>
        </w:tc>
        <w:tc>
          <w:tcPr>
            <w:tcW w:w="130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2007</w:t>
            </w:r>
          </w:p>
        </w:tc>
        <w:tc>
          <w:tcPr>
            <w:tcW w:w="172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Oil</w:t>
            </w:r>
          </w:p>
        </w:tc>
      </w:tr>
      <w:tr w:rsidR="00666CEF" w:rsidRPr="00FE34C5" w:rsidTr="005F52A2">
        <w:trPr>
          <w:trHeight w:val="300"/>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56</w:t>
            </w:r>
          </w:p>
        </w:tc>
        <w:tc>
          <w:tcPr>
            <w:tcW w:w="198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Oman</w:t>
            </w:r>
          </w:p>
        </w:tc>
        <w:tc>
          <w:tcPr>
            <w:tcW w:w="2680" w:type="dxa"/>
            <w:tcBorders>
              <w:top w:val="nil"/>
              <w:left w:val="nil"/>
              <w:bottom w:val="single" w:sz="8" w:space="0" w:color="CCCCCC"/>
              <w:right w:val="single" w:sz="8" w:space="0" w:color="CCCCCC"/>
            </w:tcBorders>
            <w:shd w:val="clear" w:color="000000" w:fill="FEFEF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65" w:tooltip="Oman Investment Fund" w:history="1">
              <w:r w:rsidR="00666CEF" w:rsidRPr="005F52A2">
                <w:rPr>
                  <w:rFonts w:ascii="Times New Roman" w:eastAsia="Times New Roman" w:hAnsi="Times New Roman" w:cs="Times New Roman"/>
                  <w:sz w:val="24"/>
                  <w:szCs w:val="24"/>
                </w:rPr>
                <w:t>Oman Investment Fund</w:t>
              </w:r>
            </w:hyperlink>
          </w:p>
        </w:tc>
        <w:tc>
          <w:tcPr>
            <w:tcW w:w="132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n/a</w:t>
            </w:r>
          </w:p>
        </w:tc>
        <w:tc>
          <w:tcPr>
            <w:tcW w:w="1300" w:type="dxa"/>
            <w:tcBorders>
              <w:top w:val="nil"/>
              <w:left w:val="nil"/>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2006</w:t>
            </w:r>
          </w:p>
        </w:tc>
        <w:tc>
          <w:tcPr>
            <w:tcW w:w="172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Oil</w:t>
            </w:r>
          </w:p>
        </w:tc>
      </w:tr>
      <w:tr w:rsidR="00666CEF" w:rsidRPr="00FE34C5" w:rsidTr="005F52A2">
        <w:trPr>
          <w:trHeight w:val="585"/>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57</w:t>
            </w:r>
          </w:p>
        </w:tc>
        <w:tc>
          <w:tcPr>
            <w:tcW w:w="198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UAE – Abu Dhabi</w:t>
            </w:r>
          </w:p>
        </w:tc>
        <w:tc>
          <w:tcPr>
            <w:tcW w:w="2680" w:type="dxa"/>
            <w:tcBorders>
              <w:top w:val="nil"/>
              <w:left w:val="nil"/>
              <w:bottom w:val="single" w:sz="8" w:space="0" w:color="CCCCCC"/>
              <w:right w:val="single" w:sz="8" w:space="0" w:color="CCCCCC"/>
            </w:tcBorders>
            <w:shd w:val="clear" w:color="000000" w:fill="EEEEE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66" w:tooltip="Abu Dhabi Investment Council" w:history="1">
              <w:r w:rsidR="00666CEF" w:rsidRPr="005F52A2">
                <w:rPr>
                  <w:rFonts w:ascii="Times New Roman" w:eastAsia="Times New Roman" w:hAnsi="Times New Roman" w:cs="Times New Roman"/>
                  <w:sz w:val="24"/>
                  <w:szCs w:val="24"/>
                </w:rPr>
                <w:t>Abu Dhabi Investment Council</w:t>
              </w:r>
            </w:hyperlink>
          </w:p>
        </w:tc>
        <w:tc>
          <w:tcPr>
            <w:tcW w:w="132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n/a</w:t>
            </w:r>
          </w:p>
        </w:tc>
        <w:tc>
          <w:tcPr>
            <w:tcW w:w="130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2007</w:t>
            </w:r>
          </w:p>
        </w:tc>
        <w:tc>
          <w:tcPr>
            <w:tcW w:w="1720" w:type="dxa"/>
            <w:tcBorders>
              <w:top w:val="single" w:sz="8" w:space="0" w:color="CCCCCC"/>
              <w:left w:val="single" w:sz="8" w:space="0" w:color="CCCCCC"/>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Oil</w:t>
            </w:r>
          </w:p>
        </w:tc>
      </w:tr>
      <w:tr w:rsidR="00666CEF" w:rsidRPr="00FE34C5" w:rsidTr="005F52A2">
        <w:trPr>
          <w:trHeight w:val="585"/>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jc w:val="center"/>
              <w:rPr>
                <w:rFonts w:ascii="Times New Roman" w:eastAsia="Times New Roman" w:hAnsi="Times New Roman" w:cs="Times New Roman"/>
                <w:color w:val="000000"/>
                <w:sz w:val="24"/>
                <w:szCs w:val="24"/>
              </w:rPr>
            </w:pPr>
            <w:r w:rsidRPr="005F52A2">
              <w:rPr>
                <w:rFonts w:ascii="Times New Roman" w:eastAsia="Times New Roman" w:hAnsi="Times New Roman" w:cs="Times New Roman"/>
                <w:color w:val="000000"/>
                <w:sz w:val="24"/>
                <w:szCs w:val="24"/>
              </w:rPr>
              <w:t>58</w:t>
            </w:r>
          </w:p>
        </w:tc>
        <w:tc>
          <w:tcPr>
            <w:tcW w:w="198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Papua New Guinea</w:t>
            </w:r>
          </w:p>
        </w:tc>
        <w:tc>
          <w:tcPr>
            <w:tcW w:w="268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935E4" w:rsidP="005F52A2">
            <w:pPr>
              <w:spacing w:after="0" w:line="240" w:lineRule="auto"/>
              <w:rPr>
                <w:rFonts w:ascii="Times New Roman" w:eastAsia="Times New Roman" w:hAnsi="Times New Roman" w:cs="Times New Roman"/>
                <w:sz w:val="24"/>
                <w:szCs w:val="24"/>
              </w:rPr>
            </w:pPr>
            <w:hyperlink r:id="rId67" w:tooltip="Papua New Guinea Sovereign Wealth Fund" w:history="1">
              <w:r w:rsidR="00666CEF" w:rsidRPr="005F52A2">
                <w:rPr>
                  <w:rFonts w:ascii="Times New Roman" w:eastAsia="Times New Roman" w:hAnsi="Times New Roman" w:cs="Times New Roman"/>
                  <w:sz w:val="24"/>
                  <w:szCs w:val="24"/>
                </w:rPr>
                <w:t>Papua New Guinea Sovereign Wealth Fund</w:t>
              </w:r>
            </w:hyperlink>
          </w:p>
        </w:tc>
        <w:tc>
          <w:tcPr>
            <w:tcW w:w="132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n/a</w:t>
            </w:r>
          </w:p>
        </w:tc>
        <w:tc>
          <w:tcPr>
            <w:tcW w:w="130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2011</w:t>
            </w:r>
          </w:p>
        </w:tc>
        <w:tc>
          <w:tcPr>
            <w:tcW w:w="1720" w:type="dxa"/>
            <w:tcBorders>
              <w:top w:val="single" w:sz="8" w:space="0" w:color="CCCCCC"/>
              <w:left w:val="single" w:sz="8" w:space="0" w:color="CCCCCC"/>
              <w:bottom w:val="single" w:sz="8" w:space="0" w:color="CCCCCC"/>
              <w:right w:val="single" w:sz="8" w:space="0" w:color="CCCCCC"/>
            </w:tcBorders>
            <w:shd w:val="clear" w:color="000000" w:fill="FEFEF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Gas</w:t>
            </w:r>
          </w:p>
        </w:tc>
      </w:tr>
      <w:tr w:rsidR="00666CEF" w:rsidRPr="00FE34C5" w:rsidTr="005F52A2">
        <w:trPr>
          <w:trHeight w:val="300"/>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rPr>
                <w:rFonts w:ascii="Times New Roman" w:eastAsia="Times New Roman" w:hAnsi="Times New Roman" w:cs="Times New Roman"/>
                <w:color w:val="000000"/>
                <w:sz w:val="24"/>
                <w:szCs w:val="24"/>
              </w:rPr>
            </w:pPr>
          </w:p>
        </w:tc>
        <w:tc>
          <w:tcPr>
            <w:tcW w:w="1980" w:type="dxa"/>
            <w:tcBorders>
              <w:top w:val="single" w:sz="8" w:space="0" w:color="CCCCCC"/>
              <w:left w:val="single" w:sz="8" w:space="0" w:color="CCCCCC"/>
              <w:bottom w:val="single" w:sz="8" w:space="0" w:color="CCCCCC"/>
              <w:right w:val="single" w:sz="8" w:space="0" w:color="CCCCCC"/>
            </w:tcBorders>
            <w:shd w:val="clear" w:color="000000" w:fill="CCCC99"/>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 </w:t>
            </w:r>
          </w:p>
        </w:tc>
        <w:tc>
          <w:tcPr>
            <w:tcW w:w="2680" w:type="dxa"/>
            <w:tcBorders>
              <w:top w:val="single" w:sz="8" w:space="0" w:color="CCCCCC"/>
              <w:left w:val="nil"/>
              <w:bottom w:val="single" w:sz="8" w:space="0" w:color="CCCCCC"/>
              <w:right w:val="single" w:sz="8" w:space="0" w:color="CCCCCC"/>
            </w:tcBorders>
            <w:shd w:val="clear" w:color="000000" w:fill="CCCC99"/>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Total Oil &amp; Gas Related</w:t>
            </w:r>
          </w:p>
        </w:tc>
        <w:tc>
          <w:tcPr>
            <w:tcW w:w="1320" w:type="dxa"/>
            <w:tcBorders>
              <w:top w:val="single" w:sz="8" w:space="0" w:color="CCCCCC"/>
              <w:left w:val="nil"/>
              <w:bottom w:val="single" w:sz="8" w:space="0" w:color="CCCCCC"/>
              <w:right w:val="single" w:sz="8" w:space="0" w:color="CCCCCC"/>
            </w:tcBorders>
            <w:shd w:val="clear" w:color="000000" w:fill="CCCC99"/>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$2,667.9</w:t>
            </w:r>
          </w:p>
        </w:tc>
        <w:tc>
          <w:tcPr>
            <w:tcW w:w="1300" w:type="dxa"/>
            <w:tcBorders>
              <w:top w:val="single" w:sz="8" w:space="0" w:color="CCCCCC"/>
              <w:left w:val="nil"/>
              <w:bottom w:val="single" w:sz="8" w:space="0" w:color="CCCCCC"/>
              <w:right w:val="single" w:sz="8" w:space="0" w:color="CCCCCC"/>
            </w:tcBorders>
            <w:shd w:val="clear" w:color="000000" w:fill="CCCC99"/>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 </w:t>
            </w:r>
          </w:p>
        </w:tc>
        <w:tc>
          <w:tcPr>
            <w:tcW w:w="1720" w:type="dxa"/>
            <w:tcBorders>
              <w:top w:val="single" w:sz="8" w:space="0" w:color="CCCCCC"/>
              <w:left w:val="nil"/>
              <w:bottom w:val="single" w:sz="8" w:space="0" w:color="CCCCCC"/>
              <w:right w:val="single" w:sz="8" w:space="0" w:color="CCCCCC"/>
            </w:tcBorders>
            <w:shd w:val="clear" w:color="000000" w:fill="CCCC99"/>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 </w:t>
            </w:r>
          </w:p>
        </w:tc>
      </w:tr>
      <w:tr w:rsidR="00666CEF" w:rsidRPr="00FE34C5" w:rsidTr="005F52A2">
        <w:trPr>
          <w:trHeight w:val="300"/>
        </w:trPr>
        <w:tc>
          <w:tcPr>
            <w:tcW w:w="700" w:type="dxa"/>
            <w:tcBorders>
              <w:top w:val="nil"/>
              <w:left w:val="nil"/>
              <w:bottom w:val="nil"/>
              <w:right w:val="nil"/>
            </w:tcBorders>
            <w:shd w:val="clear" w:color="auto" w:fill="auto"/>
            <w:noWrap/>
            <w:vAlign w:val="bottom"/>
            <w:hideMark/>
          </w:tcPr>
          <w:p w:rsidR="00666CEF" w:rsidRPr="005F52A2" w:rsidRDefault="00666CEF" w:rsidP="005F52A2">
            <w:pPr>
              <w:spacing w:after="0" w:line="240" w:lineRule="auto"/>
              <w:rPr>
                <w:rFonts w:ascii="Times New Roman" w:eastAsia="Times New Roman" w:hAnsi="Times New Roman" w:cs="Times New Roman"/>
                <w:color w:val="000000"/>
                <w:sz w:val="24"/>
                <w:szCs w:val="24"/>
              </w:rPr>
            </w:pPr>
          </w:p>
        </w:tc>
        <w:tc>
          <w:tcPr>
            <w:tcW w:w="1980" w:type="dxa"/>
            <w:tcBorders>
              <w:top w:val="nil"/>
              <w:left w:val="single" w:sz="8" w:space="0" w:color="CCCCCC"/>
              <w:bottom w:val="single" w:sz="8" w:space="0" w:color="CCCCCC"/>
              <w:right w:val="single" w:sz="8" w:space="0" w:color="CCCCCC"/>
            </w:tcBorders>
            <w:shd w:val="clear" w:color="000000" w:fill="CCCC99"/>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 </w:t>
            </w:r>
          </w:p>
        </w:tc>
        <w:tc>
          <w:tcPr>
            <w:tcW w:w="2680" w:type="dxa"/>
            <w:tcBorders>
              <w:top w:val="nil"/>
              <w:left w:val="nil"/>
              <w:bottom w:val="single" w:sz="8" w:space="0" w:color="CCCCCC"/>
              <w:right w:val="single" w:sz="8" w:space="0" w:color="CCCCCC"/>
            </w:tcBorders>
            <w:shd w:val="clear" w:color="000000" w:fill="CCCC99"/>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Total Other</w:t>
            </w:r>
          </w:p>
        </w:tc>
        <w:tc>
          <w:tcPr>
            <w:tcW w:w="1320" w:type="dxa"/>
            <w:tcBorders>
              <w:top w:val="nil"/>
              <w:left w:val="nil"/>
              <w:bottom w:val="single" w:sz="8" w:space="0" w:color="CCCCCC"/>
              <w:right w:val="single" w:sz="8" w:space="0" w:color="CCCCCC"/>
            </w:tcBorders>
            <w:shd w:val="clear" w:color="000000" w:fill="CCCC99"/>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$2,104.0</w:t>
            </w:r>
          </w:p>
        </w:tc>
        <w:tc>
          <w:tcPr>
            <w:tcW w:w="1300" w:type="dxa"/>
            <w:tcBorders>
              <w:top w:val="nil"/>
              <w:left w:val="nil"/>
              <w:bottom w:val="single" w:sz="8" w:space="0" w:color="CCCCCC"/>
              <w:right w:val="single" w:sz="8" w:space="0" w:color="CCCCCC"/>
            </w:tcBorders>
            <w:shd w:val="clear" w:color="000000" w:fill="CCCC99"/>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 </w:t>
            </w:r>
          </w:p>
        </w:tc>
        <w:tc>
          <w:tcPr>
            <w:tcW w:w="1720" w:type="dxa"/>
            <w:tcBorders>
              <w:top w:val="nil"/>
              <w:left w:val="nil"/>
              <w:bottom w:val="single" w:sz="8" w:space="0" w:color="CCCCCC"/>
              <w:right w:val="single" w:sz="8" w:space="0" w:color="CCCCCC"/>
            </w:tcBorders>
            <w:shd w:val="clear" w:color="000000" w:fill="CCCC99"/>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 </w:t>
            </w:r>
          </w:p>
        </w:tc>
      </w:tr>
      <w:tr w:rsidR="00666CEF" w:rsidRPr="00FE34C5" w:rsidTr="005F52A2">
        <w:trPr>
          <w:trHeight w:val="303"/>
        </w:trPr>
        <w:tc>
          <w:tcPr>
            <w:tcW w:w="700" w:type="dxa"/>
            <w:tcBorders>
              <w:top w:val="nil"/>
              <w:left w:val="nil"/>
              <w:bottom w:val="nil"/>
              <w:right w:val="nil"/>
            </w:tcBorders>
            <w:shd w:val="clear" w:color="auto" w:fill="auto"/>
            <w:noWrap/>
            <w:vAlign w:val="bottom"/>
            <w:hideMark/>
          </w:tcPr>
          <w:p w:rsidR="00666CEF" w:rsidRPr="00FE34C5" w:rsidRDefault="00666CEF" w:rsidP="005F52A2">
            <w:pPr>
              <w:spacing w:after="0" w:line="240" w:lineRule="auto"/>
              <w:rPr>
                <w:rFonts w:ascii="Tahoma" w:eastAsia="Times New Roman" w:hAnsi="Tahoma" w:cs="Tahoma"/>
                <w:color w:val="000000"/>
                <w:szCs w:val="22"/>
              </w:rPr>
            </w:pPr>
          </w:p>
        </w:tc>
        <w:tc>
          <w:tcPr>
            <w:tcW w:w="1980" w:type="dxa"/>
            <w:tcBorders>
              <w:top w:val="nil"/>
              <w:left w:val="single" w:sz="8" w:space="0" w:color="CCCCCC"/>
              <w:bottom w:val="single" w:sz="8" w:space="0" w:color="CCCCCC"/>
              <w:right w:val="single" w:sz="8" w:space="0" w:color="CCCCCC"/>
            </w:tcBorders>
            <w:shd w:val="clear" w:color="000000" w:fill="EEEEEE"/>
            <w:vAlign w:val="bottom"/>
            <w:hideMark/>
          </w:tcPr>
          <w:p w:rsidR="00666CEF" w:rsidRPr="00FE34C5" w:rsidRDefault="00666CEF" w:rsidP="005F52A2">
            <w:pPr>
              <w:spacing w:after="0" w:line="240" w:lineRule="auto"/>
              <w:rPr>
                <w:rFonts w:ascii="Tahoma" w:eastAsia="Times New Roman" w:hAnsi="Tahoma" w:cs="Tahoma"/>
                <w:szCs w:val="22"/>
              </w:rPr>
            </w:pPr>
            <w:r w:rsidRPr="00FE34C5">
              <w:rPr>
                <w:rFonts w:ascii="Tahoma" w:eastAsia="Times New Roman" w:hAnsi="Tahoma" w:cs="Tahoma"/>
                <w:szCs w:val="22"/>
              </w:rPr>
              <w:t> </w:t>
            </w:r>
          </w:p>
        </w:tc>
        <w:tc>
          <w:tcPr>
            <w:tcW w:w="268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TOTAL</w:t>
            </w:r>
          </w:p>
        </w:tc>
        <w:tc>
          <w:tcPr>
            <w:tcW w:w="1320" w:type="dxa"/>
            <w:tcBorders>
              <w:top w:val="nil"/>
              <w:left w:val="nil"/>
              <w:bottom w:val="single" w:sz="8" w:space="0" w:color="CCCCCC"/>
              <w:right w:val="single" w:sz="8" w:space="0" w:color="CCCCCC"/>
            </w:tcBorders>
            <w:shd w:val="clear" w:color="000000" w:fill="EEEEEE"/>
            <w:vAlign w:val="bottom"/>
            <w:hideMark/>
          </w:tcPr>
          <w:p w:rsidR="00666CEF" w:rsidRPr="005F52A2" w:rsidRDefault="00666CEF" w:rsidP="005F52A2">
            <w:pPr>
              <w:spacing w:after="0" w:line="240" w:lineRule="auto"/>
              <w:jc w:val="center"/>
              <w:rPr>
                <w:rFonts w:ascii="Times New Roman" w:eastAsia="Times New Roman" w:hAnsi="Times New Roman" w:cs="Times New Roman"/>
                <w:sz w:val="24"/>
                <w:szCs w:val="24"/>
              </w:rPr>
            </w:pPr>
            <w:r w:rsidRPr="005F52A2">
              <w:rPr>
                <w:rFonts w:ascii="Times New Roman" w:eastAsia="Times New Roman" w:hAnsi="Times New Roman" w:cs="Times New Roman"/>
                <w:sz w:val="24"/>
                <w:szCs w:val="24"/>
              </w:rPr>
              <w:t>$4,771.9</w:t>
            </w:r>
          </w:p>
        </w:tc>
        <w:tc>
          <w:tcPr>
            <w:tcW w:w="1300" w:type="dxa"/>
            <w:tcBorders>
              <w:top w:val="nil"/>
              <w:left w:val="nil"/>
              <w:bottom w:val="nil"/>
              <w:right w:val="nil"/>
            </w:tcBorders>
            <w:shd w:val="clear" w:color="000000" w:fill="FEFEFE"/>
            <w:noWrap/>
            <w:vAlign w:val="bottom"/>
            <w:hideMark/>
          </w:tcPr>
          <w:p w:rsidR="00666CEF" w:rsidRPr="00FE34C5" w:rsidRDefault="00666CEF" w:rsidP="005F52A2">
            <w:pPr>
              <w:spacing w:after="0" w:line="240" w:lineRule="auto"/>
              <w:rPr>
                <w:rFonts w:ascii="Tahoma" w:eastAsia="Times New Roman" w:hAnsi="Tahoma" w:cs="Tahoma"/>
                <w:szCs w:val="22"/>
              </w:rPr>
            </w:pPr>
            <w:r w:rsidRPr="00FE34C5">
              <w:rPr>
                <w:rFonts w:ascii="Tahoma" w:eastAsia="Times New Roman" w:hAnsi="Tahoma" w:cs="Tahoma"/>
                <w:szCs w:val="22"/>
              </w:rPr>
              <w:t> </w:t>
            </w:r>
          </w:p>
        </w:tc>
        <w:tc>
          <w:tcPr>
            <w:tcW w:w="1720" w:type="dxa"/>
            <w:tcBorders>
              <w:top w:val="nil"/>
              <w:left w:val="nil"/>
              <w:bottom w:val="nil"/>
              <w:right w:val="nil"/>
            </w:tcBorders>
            <w:shd w:val="clear" w:color="000000" w:fill="FEFEFE"/>
            <w:noWrap/>
            <w:vAlign w:val="bottom"/>
            <w:hideMark/>
          </w:tcPr>
          <w:p w:rsidR="00666CEF" w:rsidRPr="00FE34C5" w:rsidRDefault="00666CEF" w:rsidP="005F52A2">
            <w:pPr>
              <w:spacing w:after="0" w:line="240" w:lineRule="auto"/>
              <w:rPr>
                <w:rFonts w:ascii="Tahoma" w:eastAsia="Times New Roman" w:hAnsi="Tahoma" w:cs="Tahoma"/>
                <w:szCs w:val="22"/>
              </w:rPr>
            </w:pPr>
            <w:r w:rsidRPr="00FE34C5">
              <w:rPr>
                <w:rFonts w:ascii="Tahoma" w:eastAsia="Times New Roman" w:hAnsi="Tahoma" w:cs="Tahoma"/>
                <w:szCs w:val="22"/>
              </w:rPr>
              <w:t> </w:t>
            </w:r>
          </w:p>
        </w:tc>
      </w:tr>
    </w:tbl>
    <w:p w:rsidR="005F52A2" w:rsidRPr="005F52A2" w:rsidRDefault="005F52A2" w:rsidP="0056614E">
      <w:pPr>
        <w:spacing w:line="360" w:lineRule="auto"/>
        <w:jc w:val="both"/>
        <w:rPr>
          <w:rFonts w:ascii="Times New Roman" w:hAnsi="Times New Roman" w:cs="Times New Roman"/>
          <w:sz w:val="8"/>
          <w:szCs w:val="8"/>
        </w:rPr>
      </w:pPr>
    </w:p>
    <w:p w:rsidR="00666CEF" w:rsidRPr="00081442" w:rsidRDefault="00081442" w:rsidP="005F52A2">
      <w:pPr>
        <w:spacing w:after="0" w:line="360" w:lineRule="auto"/>
        <w:jc w:val="both"/>
        <w:rPr>
          <w:rFonts w:ascii="Times New Roman" w:hAnsi="Times New Roman" w:cs="Times New Roman"/>
          <w:szCs w:val="22"/>
        </w:rPr>
      </w:pPr>
      <w:r w:rsidRPr="00081442">
        <w:rPr>
          <w:rFonts w:ascii="Times New Roman" w:hAnsi="Times New Roman" w:cs="Times New Roman"/>
          <w:szCs w:val="22"/>
        </w:rPr>
        <w:t>Source: Sovereign Wealth Fund Institute</w:t>
      </w:r>
    </w:p>
    <w:sectPr w:rsidR="00666CEF" w:rsidRPr="00081442" w:rsidSect="0056614E">
      <w:pgSz w:w="11906" w:h="16838"/>
      <w:pgMar w:top="1560" w:right="1440" w:bottom="1276"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5CE2" w:rsidRDefault="00F95CE2" w:rsidP="00504173">
      <w:pPr>
        <w:spacing w:after="0" w:line="240" w:lineRule="auto"/>
      </w:pPr>
      <w:r>
        <w:separator/>
      </w:r>
    </w:p>
  </w:endnote>
  <w:endnote w:type="continuationSeparator" w:id="0">
    <w:p w:rsidR="00F95CE2" w:rsidRDefault="00F95CE2" w:rsidP="0050417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5CE2" w:rsidRDefault="00F95CE2" w:rsidP="00504173">
      <w:pPr>
        <w:spacing w:after="0" w:line="240" w:lineRule="auto"/>
      </w:pPr>
      <w:r>
        <w:separator/>
      </w:r>
    </w:p>
  </w:footnote>
  <w:footnote w:type="continuationSeparator" w:id="0">
    <w:p w:rsidR="00F95CE2" w:rsidRDefault="00F95CE2" w:rsidP="00504173">
      <w:pPr>
        <w:spacing w:after="0" w:line="240" w:lineRule="auto"/>
      </w:pPr>
      <w:r>
        <w:continuationSeparator/>
      </w:r>
    </w:p>
  </w:footnote>
  <w:footnote w:id="1">
    <w:p w:rsidR="00F95CE2" w:rsidRPr="00D968EB" w:rsidRDefault="00F95CE2">
      <w:pPr>
        <w:pStyle w:val="FootnoteText"/>
        <w:rPr>
          <w:rFonts w:ascii="Times New Roman" w:hAnsi="Times New Roman" w:cs="Times New Roman"/>
        </w:rPr>
      </w:pPr>
      <w:r w:rsidRPr="00D968EB">
        <w:rPr>
          <w:rStyle w:val="FootnoteReference"/>
          <w:rFonts w:ascii="Times New Roman" w:hAnsi="Times New Roman" w:cs="Times New Roman"/>
        </w:rPr>
        <w:footnoteRef/>
      </w:r>
      <w:r w:rsidRPr="00D968EB">
        <w:rPr>
          <w:rFonts w:ascii="Times New Roman" w:hAnsi="Times New Roman" w:cs="Times New Roman"/>
        </w:rPr>
        <w:t xml:space="preserve"> Hereinafter, SWF would be used to abbreviate Sovereign Wealth Fund.</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0D72F8"/>
    <w:multiLevelType w:val="hybridMultilevel"/>
    <w:tmpl w:val="BD889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B44278D"/>
    <w:multiLevelType w:val="hybridMultilevel"/>
    <w:tmpl w:val="F9724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A6D520C"/>
    <w:multiLevelType w:val="hybridMultilevel"/>
    <w:tmpl w:val="DF2E91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1"/>
    <w:footnote w:id="0"/>
  </w:footnotePr>
  <w:endnotePr>
    <w:endnote w:id="-1"/>
    <w:endnote w:id="0"/>
  </w:endnotePr>
  <w:compat>
    <w:applyBreakingRules/>
  </w:compat>
  <w:rsids>
    <w:rsidRoot w:val="0048197E"/>
    <w:rsid w:val="000372DB"/>
    <w:rsid w:val="00081442"/>
    <w:rsid w:val="000817BA"/>
    <w:rsid w:val="00093498"/>
    <w:rsid w:val="000B6239"/>
    <w:rsid w:val="000D70D7"/>
    <w:rsid w:val="000E782B"/>
    <w:rsid w:val="000F4415"/>
    <w:rsid w:val="0011690B"/>
    <w:rsid w:val="00154E08"/>
    <w:rsid w:val="00165D31"/>
    <w:rsid w:val="00193356"/>
    <w:rsid w:val="001C68C1"/>
    <w:rsid w:val="001E69CF"/>
    <w:rsid w:val="0025664B"/>
    <w:rsid w:val="00275080"/>
    <w:rsid w:val="0028764C"/>
    <w:rsid w:val="00287936"/>
    <w:rsid w:val="002A63F6"/>
    <w:rsid w:val="002E76AA"/>
    <w:rsid w:val="002F5083"/>
    <w:rsid w:val="00301B9B"/>
    <w:rsid w:val="0031450A"/>
    <w:rsid w:val="0032009F"/>
    <w:rsid w:val="00324EBA"/>
    <w:rsid w:val="0032773B"/>
    <w:rsid w:val="00356296"/>
    <w:rsid w:val="003E4F94"/>
    <w:rsid w:val="003E5368"/>
    <w:rsid w:val="003E6870"/>
    <w:rsid w:val="00401A0E"/>
    <w:rsid w:val="00406D0F"/>
    <w:rsid w:val="00423DF9"/>
    <w:rsid w:val="0044608A"/>
    <w:rsid w:val="004558DE"/>
    <w:rsid w:val="00473140"/>
    <w:rsid w:val="00475385"/>
    <w:rsid w:val="0048197E"/>
    <w:rsid w:val="004A3F59"/>
    <w:rsid w:val="004B04E0"/>
    <w:rsid w:val="004E4829"/>
    <w:rsid w:val="004F5364"/>
    <w:rsid w:val="00504173"/>
    <w:rsid w:val="00505608"/>
    <w:rsid w:val="005077BB"/>
    <w:rsid w:val="005078EC"/>
    <w:rsid w:val="005255AA"/>
    <w:rsid w:val="005653DA"/>
    <w:rsid w:val="0056614E"/>
    <w:rsid w:val="005F3F97"/>
    <w:rsid w:val="005F52A2"/>
    <w:rsid w:val="006065BC"/>
    <w:rsid w:val="0064140A"/>
    <w:rsid w:val="0065629D"/>
    <w:rsid w:val="00657B21"/>
    <w:rsid w:val="00666CEF"/>
    <w:rsid w:val="0066710B"/>
    <w:rsid w:val="006935E4"/>
    <w:rsid w:val="006A1D0B"/>
    <w:rsid w:val="006B2163"/>
    <w:rsid w:val="006C5201"/>
    <w:rsid w:val="006F0A7E"/>
    <w:rsid w:val="0071413B"/>
    <w:rsid w:val="0072064A"/>
    <w:rsid w:val="00727B5A"/>
    <w:rsid w:val="007424A3"/>
    <w:rsid w:val="00745B49"/>
    <w:rsid w:val="00745D06"/>
    <w:rsid w:val="0078661C"/>
    <w:rsid w:val="00794127"/>
    <w:rsid w:val="007C15CC"/>
    <w:rsid w:val="007C22E5"/>
    <w:rsid w:val="007C38CF"/>
    <w:rsid w:val="007C4111"/>
    <w:rsid w:val="007E1D87"/>
    <w:rsid w:val="007E45D4"/>
    <w:rsid w:val="008056FF"/>
    <w:rsid w:val="008136DA"/>
    <w:rsid w:val="00836141"/>
    <w:rsid w:val="008408E7"/>
    <w:rsid w:val="0086374C"/>
    <w:rsid w:val="008E0AFD"/>
    <w:rsid w:val="00916D3F"/>
    <w:rsid w:val="00946D1A"/>
    <w:rsid w:val="009970BB"/>
    <w:rsid w:val="009A6010"/>
    <w:rsid w:val="009D7DE7"/>
    <w:rsid w:val="00A04F6A"/>
    <w:rsid w:val="00A276B8"/>
    <w:rsid w:val="00A70124"/>
    <w:rsid w:val="00A92B96"/>
    <w:rsid w:val="00A933AB"/>
    <w:rsid w:val="00AB044D"/>
    <w:rsid w:val="00AC4E4A"/>
    <w:rsid w:val="00AD1675"/>
    <w:rsid w:val="00AF29E3"/>
    <w:rsid w:val="00B06960"/>
    <w:rsid w:val="00B34EB9"/>
    <w:rsid w:val="00B377E4"/>
    <w:rsid w:val="00B45418"/>
    <w:rsid w:val="00BB2578"/>
    <w:rsid w:val="00BB6B4C"/>
    <w:rsid w:val="00BD17BA"/>
    <w:rsid w:val="00C240F4"/>
    <w:rsid w:val="00C35D4B"/>
    <w:rsid w:val="00C741B8"/>
    <w:rsid w:val="00C97B50"/>
    <w:rsid w:val="00CA5851"/>
    <w:rsid w:val="00CB4E7E"/>
    <w:rsid w:val="00CC2027"/>
    <w:rsid w:val="00D02771"/>
    <w:rsid w:val="00D41F6E"/>
    <w:rsid w:val="00D86BE0"/>
    <w:rsid w:val="00D968EB"/>
    <w:rsid w:val="00DA15A4"/>
    <w:rsid w:val="00DB060A"/>
    <w:rsid w:val="00DD2ED6"/>
    <w:rsid w:val="00DD7129"/>
    <w:rsid w:val="00E4697E"/>
    <w:rsid w:val="00E717FE"/>
    <w:rsid w:val="00E71A6E"/>
    <w:rsid w:val="00E77486"/>
    <w:rsid w:val="00EB0664"/>
    <w:rsid w:val="00EB518C"/>
    <w:rsid w:val="00ED6A2A"/>
    <w:rsid w:val="00F10146"/>
    <w:rsid w:val="00F2217D"/>
    <w:rsid w:val="00F3342C"/>
    <w:rsid w:val="00F95CE2"/>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1675"/>
  </w:style>
  <w:style w:type="paragraph" w:styleId="Heading2">
    <w:name w:val="heading 2"/>
    <w:basedOn w:val="Normal"/>
    <w:link w:val="Heading2Char"/>
    <w:uiPriority w:val="9"/>
    <w:qFormat/>
    <w:rsid w:val="00C741B8"/>
    <w:pPr>
      <w:spacing w:before="100" w:beforeAutospacing="1" w:after="100" w:afterAutospacing="1" w:line="240" w:lineRule="auto"/>
      <w:outlineLvl w:val="1"/>
    </w:pPr>
    <w:rPr>
      <w:rFonts w:ascii="Angsana New" w:eastAsia="Times New Roman" w:hAnsi="Angsana New" w:cs="Angsana New"/>
      <w:b/>
      <w:bCs/>
      <w:sz w:val="36"/>
      <w:szCs w:val="36"/>
    </w:rPr>
  </w:style>
  <w:style w:type="paragraph" w:styleId="Heading3">
    <w:name w:val="heading 3"/>
    <w:basedOn w:val="Normal"/>
    <w:next w:val="Normal"/>
    <w:link w:val="Heading3Char"/>
    <w:uiPriority w:val="9"/>
    <w:semiHidden/>
    <w:unhideWhenUsed/>
    <w:qFormat/>
    <w:rsid w:val="007C411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56296"/>
    <w:pPr>
      <w:spacing w:before="100" w:beforeAutospacing="1" w:after="100" w:afterAutospacing="1" w:line="240" w:lineRule="auto"/>
    </w:pPr>
    <w:rPr>
      <w:rFonts w:ascii="Angsana New" w:eastAsia="Times New Roman" w:hAnsi="Angsana New" w:cs="Angsana New"/>
      <w:sz w:val="28"/>
    </w:rPr>
  </w:style>
  <w:style w:type="character" w:customStyle="1" w:styleId="ilad1">
    <w:name w:val="il_ad1"/>
    <w:basedOn w:val="DefaultParagraphFont"/>
    <w:rsid w:val="00356296"/>
    <w:rPr>
      <w:vanish w:val="0"/>
      <w:webHidden w:val="0"/>
      <w:color w:val="009900"/>
      <w:u w:val="single"/>
      <w:specVanish w:val="0"/>
    </w:rPr>
  </w:style>
  <w:style w:type="character" w:styleId="Emphasis">
    <w:name w:val="Emphasis"/>
    <w:basedOn w:val="DefaultParagraphFont"/>
    <w:uiPriority w:val="20"/>
    <w:qFormat/>
    <w:rsid w:val="00356296"/>
    <w:rPr>
      <w:i/>
      <w:iCs/>
    </w:rPr>
  </w:style>
  <w:style w:type="character" w:customStyle="1" w:styleId="ilad2">
    <w:name w:val="il_ad2"/>
    <w:basedOn w:val="DefaultParagraphFont"/>
    <w:rsid w:val="00356296"/>
    <w:rPr>
      <w:vanish w:val="0"/>
      <w:webHidden w:val="0"/>
      <w:color w:val="009900"/>
      <w:u w:val="single"/>
      <w:specVanish w:val="0"/>
    </w:rPr>
  </w:style>
  <w:style w:type="paragraph" w:styleId="Bibliography">
    <w:name w:val="Bibliography"/>
    <w:basedOn w:val="Normal"/>
    <w:next w:val="Normal"/>
    <w:uiPriority w:val="37"/>
    <w:unhideWhenUsed/>
    <w:rsid w:val="00301B9B"/>
    <w:pPr>
      <w:ind w:left="2880" w:hanging="2880"/>
    </w:pPr>
  </w:style>
  <w:style w:type="character" w:customStyle="1" w:styleId="apple-converted-space">
    <w:name w:val="apple-converted-space"/>
    <w:basedOn w:val="DefaultParagraphFont"/>
    <w:rsid w:val="00C741B8"/>
  </w:style>
  <w:style w:type="character" w:styleId="Hyperlink">
    <w:name w:val="Hyperlink"/>
    <w:basedOn w:val="DefaultParagraphFont"/>
    <w:uiPriority w:val="99"/>
    <w:semiHidden/>
    <w:unhideWhenUsed/>
    <w:rsid w:val="00C741B8"/>
    <w:rPr>
      <w:color w:val="0000FF"/>
      <w:u w:val="single"/>
    </w:rPr>
  </w:style>
  <w:style w:type="character" w:customStyle="1" w:styleId="Heading2Char">
    <w:name w:val="Heading 2 Char"/>
    <w:basedOn w:val="DefaultParagraphFont"/>
    <w:link w:val="Heading2"/>
    <w:uiPriority w:val="9"/>
    <w:rsid w:val="00C741B8"/>
    <w:rPr>
      <w:rFonts w:ascii="Angsana New" w:eastAsia="Times New Roman" w:hAnsi="Angsana New" w:cs="Angsana New"/>
      <w:b/>
      <w:bCs/>
      <w:sz w:val="36"/>
      <w:szCs w:val="36"/>
    </w:rPr>
  </w:style>
  <w:style w:type="paragraph" w:styleId="ListParagraph">
    <w:name w:val="List Paragraph"/>
    <w:basedOn w:val="Normal"/>
    <w:uiPriority w:val="34"/>
    <w:qFormat/>
    <w:rsid w:val="0064140A"/>
    <w:pPr>
      <w:ind w:left="720"/>
      <w:contextualSpacing/>
    </w:pPr>
  </w:style>
  <w:style w:type="paragraph" w:styleId="Header">
    <w:name w:val="header"/>
    <w:basedOn w:val="Normal"/>
    <w:link w:val="HeaderChar"/>
    <w:uiPriority w:val="99"/>
    <w:unhideWhenUsed/>
    <w:rsid w:val="005041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4173"/>
  </w:style>
  <w:style w:type="paragraph" w:styleId="Footer">
    <w:name w:val="footer"/>
    <w:basedOn w:val="Normal"/>
    <w:link w:val="FooterChar"/>
    <w:uiPriority w:val="99"/>
    <w:semiHidden/>
    <w:unhideWhenUsed/>
    <w:rsid w:val="0050417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504173"/>
  </w:style>
  <w:style w:type="paragraph" w:styleId="BalloonText">
    <w:name w:val="Balloon Text"/>
    <w:basedOn w:val="Normal"/>
    <w:link w:val="BalloonTextChar"/>
    <w:uiPriority w:val="99"/>
    <w:semiHidden/>
    <w:unhideWhenUsed/>
    <w:rsid w:val="00504173"/>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504173"/>
    <w:rPr>
      <w:rFonts w:ascii="Tahoma" w:hAnsi="Tahoma" w:cs="Angsana New"/>
      <w:sz w:val="16"/>
      <w:szCs w:val="20"/>
    </w:rPr>
  </w:style>
  <w:style w:type="character" w:customStyle="1" w:styleId="Heading3Char">
    <w:name w:val="Heading 3 Char"/>
    <w:basedOn w:val="DefaultParagraphFont"/>
    <w:link w:val="Heading3"/>
    <w:uiPriority w:val="9"/>
    <w:semiHidden/>
    <w:rsid w:val="007C4111"/>
    <w:rPr>
      <w:rFonts w:asciiTheme="majorHAnsi" w:eastAsiaTheme="majorEastAsia" w:hAnsiTheme="majorHAnsi" w:cstheme="majorBidi"/>
      <w:b/>
      <w:bCs/>
      <w:color w:val="4F81BD" w:themeColor="accent1"/>
    </w:rPr>
  </w:style>
  <w:style w:type="character" w:styleId="FollowedHyperlink">
    <w:name w:val="FollowedHyperlink"/>
    <w:basedOn w:val="DefaultParagraphFont"/>
    <w:uiPriority w:val="99"/>
    <w:semiHidden/>
    <w:unhideWhenUsed/>
    <w:rsid w:val="007C4111"/>
    <w:rPr>
      <w:color w:val="800080" w:themeColor="followedHyperlink"/>
      <w:u w:val="single"/>
    </w:rPr>
  </w:style>
  <w:style w:type="paragraph" w:styleId="FootnoteText">
    <w:name w:val="footnote text"/>
    <w:basedOn w:val="Normal"/>
    <w:link w:val="FootnoteTextChar"/>
    <w:uiPriority w:val="99"/>
    <w:semiHidden/>
    <w:unhideWhenUsed/>
    <w:rsid w:val="00BB2578"/>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BB2578"/>
    <w:rPr>
      <w:sz w:val="20"/>
      <w:szCs w:val="25"/>
    </w:rPr>
  </w:style>
  <w:style w:type="character" w:styleId="FootnoteReference">
    <w:name w:val="footnote reference"/>
    <w:basedOn w:val="DefaultParagraphFont"/>
    <w:uiPriority w:val="99"/>
    <w:semiHidden/>
    <w:unhideWhenUsed/>
    <w:rsid w:val="00BB2578"/>
    <w:rPr>
      <w:sz w:val="32"/>
      <w:szCs w:val="32"/>
      <w:vertAlign w:val="superscript"/>
    </w:rPr>
  </w:style>
</w:styles>
</file>

<file path=word/webSettings.xml><?xml version="1.0" encoding="utf-8"?>
<w:webSettings xmlns:r="http://schemas.openxmlformats.org/officeDocument/2006/relationships" xmlns:w="http://schemas.openxmlformats.org/wordprocessingml/2006/main">
  <w:divs>
    <w:div w:id="65104827">
      <w:bodyDiv w:val="1"/>
      <w:marLeft w:val="0"/>
      <w:marRight w:val="0"/>
      <w:marTop w:val="0"/>
      <w:marBottom w:val="0"/>
      <w:divBdr>
        <w:top w:val="none" w:sz="0" w:space="0" w:color="auto"/>
        <w:left w:val="none" w:sz="0" w:space="0" w:color="auto"/>
        <w:bottom w:val="none" w:sz="0" w:space="0" w:color="auto"/>
        <w:right w:val="none" w:sz="0" w:space="0" w:color="auto"/>
      </w:divBdr>
    </w:div>
    <w:div w:id="794449366">
      <w:bodyDiv w:val="1"/>
      <w:marLeft w:val="0"/>
      <w:marRight w:val="0"/>
      <w:marTop w:val="0"/>
      <w:marBottom w:val="0"/>
      <w:divBdr>
        <w:top w:val="none" w:sz="0" w:space="0" w:color="auto"/>
        <w:left w:val="none" w:sz="0" w:space="0" w:color="auto"/>
        <w:bottom w:val="none" w:sz="0" w:space="0" w:color="auto"/>
        <w:right w:val="none" w:sz="0" w:space="0" w:color="auto"/>
      </w:divBdr>
    </w:div>
    <w:div w:id="1233927297">
      <w:bodyDiv w:val="1"/>
      <w:marLeft w:val="0"/>
      <w:marRight w:val="0"/>
      <w:marTop w:val="0"/>
      <w:marBottom w:val="0"/>
      <w:divBdr>
        <w:top w:val="none" w:sz="0" w:space="0" w:color="auto"/>
        <w:left w:val="none" w:sz="0" w:space="0" w:color="auto"/>
        <w:bottom w:val="none" w:sz="0" w:space="0" w:color="auto"/>
        <w:right w:val="none" w:sz="0" w:space="0" w:color="auto"/>
      </w:divBdr>
    </w:div>
    <w:div w:id="1523662722">
      <w:bodyDiv w:val="1"/>
      <w:marLeft w:val="0"/>
      <w:marRight w:val="0"/>
      <w:marTop w:val="0"/>
      <w:marBottom w:val="0"/>
      <w:divBdr>
        <w:top w:val="none" w:sz="0" w:space="0" w:color="auto"/>
        <w:left w:val="none" w:sz="0" w:space="0" w:color="auto"/>
        <w:bottom w:val="none" w:sz="0" w:space="0" w:color="auto"/>
        <w:right w:val="none" w:sz="0" w:space="0" w:color="auto"/>
      </w:divBdr>
      <w:divsChild>
        <w:div w:id="2000308892">
          <w:marLeft w:val="0"/>
          <w:marRight w:val="0"/>
          <w:marTop w:val="0"/>
          <w:marBottom w:val="0"/>
          <w:divBdr>
            <w:top w:val="none" w:sz="0" w:space="0" w:color="auto"/>
            <w:left w:val="none" w:sz="0" w:space="0" w:color="auto"/>
            <w:bottom w:val="none" w:sz="0" w:space="0" w:color="auto"/>
            <w:right w:val="none" w:sz="0" w:space="0" w:color="auto"/>
          </w:divBdr>
          <w:divsChild>
            <w:div w:id="1799227149">
              <w:marLeft w:val="0"/>
              <w:marRight w:val="0"/>
              <w:marTop w:val="0"/>
              <w:marBottom w:val="0"/>
              <w:divBdr>
                <w:top w:val="none" w:sz="0" w:space="0" w:color="auto"/>
                <w:left w:val="none" w:sz="0" w:space="0" w:color="auto"/>
                <w:bottom w:val="none" w:sz="0" w:space="0" w:color="auto"/>
                <w:right w:val="none" w:sz="0" w:space="0" w:color="auto"/>
              </w:divBdr>
              <w:divsChild>
                <w:div w:id="1024987256">
                  <w:marLeft w:val="0"/>
                  <w:marRight w:val="0"/>
                  <w:marTop w:val="0"/>
                  <w:marBottom w:val="0"/>
                  <w:divBdr>
                    <w:top w:val="none" w:sz="0" w:space="0" w:color="auto"/>
                    <w:left w:val="none" w:sz="0" w:space="0" w:color="auto"/>
                    <w:bottom w:val="none" w:sz="0" w:space="0" w:color="auto"/>
                    <w:right w:val="none" w:sz="0" w:space="0" w:color="auto"/>
                  </w:divBdr>
                  <w:divsChild>
                    <w:div w:id="530341479">
                      <w:marLeft w:val="0"/>
                      <w:marRight w:val="0"/>
                      <w:marTop w:val="0"/>
                      <w:marBottom w:val="0"/>
                      <w:divBdr>
                        <w:top w:val="none" w:sz="0" w:space="0" w:color="auto"/>
                        <w:left w:val="none" w:sz="0" w:space="0" w:color="auto"/>
                        <w:bottom w:val="none" w:sz="0" w:space="0" w:color="auto"/>
                        <w:right w:val="none" w:sz="0" w:space="0" w:color="auto"/>
                      </w:divBdr>
                      <w:divsChild>
                        <w:div w:id="1806043231">
                          <w:marLeft w:val="0"/>
                          <w:marRight w:val="0"/>
                          <w:marTop w:val="0"/>
                          <w:marBottom w:val="0"/>
                          <w:divBdr>
                            <w:top w:val="none" w:sz="0" w:space="0" w:color="auto"/>
                            <w:left w:val="none" w:sz="0" w:space="0" w:color="auto"/>
                            <w:bottom w:val="none" w:sz="0" w:space="0" w:color="auto"/>
                            <w:right w:val="none" w:sz="0" w:space="0" w:color="auto"/>
                          </w:divBdr>
                          <w:divsChild>
                            <w:div w:id="1309478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swfinstitute.org/fund-rankings/swfs/sama-foreign-holdings" TargetMode="External"/><Relationship Id="rId18" Type="http://schemas.openxmlformats.org/officeDocument/2006/relationships/hyperlink" Target="http://www.swfinstitute.org/fund-rankings/swfs/temasek-holdings/" TargetMode="External"/><Relationship Id="rId26" Type="http://schemas.openxmlformats.org/officeDocument/2006/relationships/hyperlink" Target="http://www.swfinstitute.org/fund-rankings/swfs/revenue-regulation-fund/" TargetMode="External"/><Relationship Id="rId39" Type="http://schemas.openxmlformats.org/officeDocument/2006/relationships/hyperlink" Target="http://www.swfinstitute.org/fund-rankings/swfs/alberta-heritage-fund" TargetMode="External"/><Relationship Id="rId21" Type="http://schemas.openxmlformats.org/officeDocument/2006/relationships/hyperlink" Target="http://www.swfinstitute.org/fund-rankings/swfs/qatar-investment-authority/" TargetMode="External"/><Relationship Id="rId34" Type="http://schemas.openxmlformats.org/officeDocument/2006/relationships/hyperlink" Target="http://www.swfinstitute.org/fund-rankings/swfs/strategic-investment-fund/" TargetMode="External"/><Relationship Id="rId42" Type="http://schemas.openxmlformats.org/officeDocument/2006/relationships/hyperlink" Target="http://www.swfinstitute.org/fund-rankings/swfs/sovereign-fund-of-brazil/" TargetMode="External"/><Relationship Id="rId47" Type="http://schemas.openxmlformats.org/officeDocument/2006/relationships/hyperlink" Target="http://www.swfinstitute.org/fund-rankings/swfs/mexico/" TargetMode="External"/><Relationship Id="rId50" Type="http://schemas.openxmlformats.org/officeDocument/2006/relationships/hyperlink" Target="http://www.swfinstitute.org/fund-rankings/swfs/permanent-wyoming-mineral-trust-fund/" TargetMode="External"/><Relationship Id="rId55" Type="http://schemas.openxmlformats.org/officeDocument/2006/relationships/hyperlink" Target="http://www.swfinstitute.org/fund-rankings/swfs/excess-crude-account/" TargetMode="External"/><Relationship Id="rId63" Type="http://schemas.openxmlformats.org/officeDocument/2006/relationships/hyperlink" Target="http://www.swfinstitute.org/fund-rankings/swfs/equatorial-guinea-ffg/"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swfinstitute.org/fund-rankings/swfs/hong-kong-monetary-authority-investment-portfolio/" TargetMode="External"/><Relationship Id="rId29" Type="http://schemas.openxmlformats.org/officeDocument/2006/relationships/hyperlink" Target="http://www.swfinstitute.org/fund-rankings/swfs/korea-investment-corpor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wfinstitute.org/fund-rankings/swfs/safe-investment-company/" TargetMode="External"/><Relationship Id="rId24" Type="http://schemas.openxmlformats.org/officeDocument/2006/relationships/hyperlink" Target="http://www.swfinstitute.org/fund-rankings/swfs/libyan-investment-authority/" TargetMode="External"/><Relationship Id="rId32" Type="http://schemas.openxmlformats.org/officeDocument/2006/relationships/hyperlink" Target="http://www.swfinstitute.org/fund-rankings/swfs/national-pensions-reserve-fund/" TargetMode="External"/><Relationship Id="rId37" Type="http://schemas.openxmlformats.org/officeDocument/2006/relationships/hyperlink" Target="http://www.swfinstitute.org/fund-rankings/swfs/iran-oil-stabilisation-fund/" TargetMode="External"/><Relationship Id="rId40" Type="http://schemas.openxmlformats.org/officeDocument/2006/relationships/hyperlink" Target="http://www.swfinstitute.org/fund-rankings/swfs/new-mexico-state-investment-council" TargetMode="External"/><Relationship Id="rId45" Type="http://schemas.openxmlformats.org/officeDocument/2006/relationships/hyperlink" Target="http://www.swfinstitute.org/fund-rankings/swfs/pula-fund/" TargetMode="External"/><Relationship Id="rId53" Type="http://schemas.openxmlformats.org/officeDocument/2006/relationships/hyperlink" Target="http://www.swfinstitute.org/fund-rankings/swfs/italian-strategic-fund/" TargetMode="External"/><Relationship Id="rId58" Type="http://schemas.openxmlformats.org/officeDocument/2006/relationships/hyperlink" Target="http://www.swfinstitute.org/fund/kiribati.php" TargetMode="External"/><Relationship Id="rId66" Type="http://schemas.openxmlformats.org/officeDocument/2006/relationships/hyperlink" Target="http://www.swfinstitute.org/fund-rankings/swfs/abu-dhabi-investment-council/" TargetMode="External"/><Relationship Id="rId5" Type="http://schemas.openxmlformats.org/officeDocument/2006/relationships/webSettings" Target="webSettings.xml"/><Relationship Id="rId15" Type="http://schemas.openxmlformats.org/officeDocument/2006/relationships/hyperlink" Target="http://www.swfinstitute.org/fund-rankings/swfs/kuwait-investment-authority/" TargetMode="External"/><Relationship Id="rId23" Type="http://schemas.openxmlformats.org/officeDocument/2006/relationships/hyperlink" Target="http://www.swfinstitute.org/fund-rankings/swfs/investment-corporation-of-dubai/" TargetMode="External"/><Relationship Id="rId28" Type="http://schemas.openxmlformats.org/officeDocument/2006/relationships/hyperlink" Target="http://www.swfinstitute.org/fund-rankings/swfs/kazakhstan-national-fund/" TargetMode="External"/><Relationship Id="rId36" Type="http://schemas.openxmlformats.org/officeDocument/2006/relationships/hyperlink" Target="http://www.swfinstitute.org/fund-rankings/swfs/texas-permanent-school-fund/" TargetMode="External"/><Relationship Id="rId49" Type="http://schemas.openxmlformats.org/officeDocument/2006/relationships/hyperlink" Target="http://www.swfinstitute.org/fund-rankings/swfs/china-africa-development-fund/" TargetMode="External"/><Relationship Id="rId57" Type="http://schemas.openxmlformats.org/officeDocument/2006/relationships/hyperlink" Target="http://www.swfinstitute.org/fund-rankings/swfs/state-capital-investment-corporation" TargetMode="External"/><Relationship Id="rId61" Type="http://schemas.openxmlformats.org/officeDocument/2006/relationships/hyperlink" Target="http://www.swfinstitute.org/fund-rankings/swfs/national-fund-for-hydrocarbon-reserves/" TargetMode="External"/><Relationship Id="rId10" Type="http://schemas.openxmlformats.org/officeDocument/2006/relationships/hyperlink" Target="http://www.swfinstitute.org/fund-rankings/swfs/abu-dhabi-investment-authority/" TargetMode="External"/><Relationship Id="rId19" Type="http://schemas.openxmlformats.org/officeDocument/2006/relationships/hyperlink" Target="http://www.swfinstitute.org/fund-rankings/swfs/national-social-security-fund/" TargetMode="External"/><Relationship Id="rId31" Type="http://schemas.openxmlformats.org/officeDocument/2006/relationships/hyperlink" Target="http://www.swfinstitute.org/fund-rankings/swfs/state-oil-fund-of-azerbaijan/" TargetMode="External"/><Relationship Id="rId44" Type="http://schemas.openxmlformats.org/officeDocument/2006/relationships/hyperlink" Target="http://www.swfinstitute.org/fund-rankings/swfs/oman-state-general-reserve-fund/" TargetMode="External"/><Relationship Id="rId52" Type="http://schemas.openxmlformats.org/officeDocument/2006/relationships/hyperlink" Target="http://www.swfinstitute.org/fund-rankings/swfs/alabama-trust-fund/" TargetMode="External"/><Relationship Id="rId60" Type="http://schemas.openxmlformats.org/officeDocument/2006/relationships/hyperlink" Target="http://www.swfinstitute.org/fund-rankings/swfs/government-investment-unit/" TargetMode="External"/><Relationship Id="rId65" Type="http://schemas.openxmlformats.org/officeDocument/2006/relationships/hyperlink" Target="http://www.swfinstitute.org/fund-rankings/swfs/oif/"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www.swfinstitute.org/fund-rankings/swfs/china-investment-corporation/" TargetMode="External"/><Relationship Id="rId22" Type="http://schemas.openxmlformats.org/officeDocument/2006/relationships/hyperlink" Target="http://www.swfinstitute.org/fund-rankings/swfs/future-fund/" TargetMode="External"/><Relationship Id="rId27" Type="http://schemas.openxmlformats.org/officeDocument/2006/relationships/hyperlink" Target="http://www.swfinstitute.org/fund-rankings/swfs/alaska-permanent-fund-corporation/" TargetMode="External"/><Relationship Id="rId30" Type="http://schemas.openxmlformats.org/officeDocument/2006/relationships/hyperlink" Target="http://www.swfinstitute.org/fund-rankings/swfs/khazanah-nasional/" TargetMode="External"/><Relationship Id="rId35" Type="http://schemas.openxmlformats.org/officeDocument/2006/relationships/hyperlink" Target="http://www.swfinstitute.org/fund-rankings/swfs/mubadala" TargetMode="External"/><Relationship Id="rId43" Type="http://schemas.openxmlformats.org/officeDocument/2006/relationships/hyperlink" Target="http://www.swfinstitute.org/fund-rankings/swfs/mumtalakat-holdings/" TargetMode="External"/><Relationship Id="rId48" Type="http://schemas.openxmlformats.org/officeDocument/2006/relationships/hyperlink" Target="http://www.swfinstitute.org/fund-rankings/swfs/public-investment-fund/" TargetMode="External"/><Relationship Id="rId56" Type="http://schemas.openxmlformats.org/officeDocument/2006/relationships/hyperlink" Target="http://www.swfinstitute.org/fund-rankings/swfs/fem" TargetMode="External"/><Relationship Id="rId64" Type="http://schemas.openxmlformats.org/officeDocument/2006/relationships/hyperlink" Target="http://www.swfinstitute.org/fund-rankings/swfs/emirates-investment-authority/" TargetMode="External"/><Relationship Id="rId69" Type="http://schemas.openxmlformats.org/officeDocument/2006/relationships/theme" Target="theme/theme1.xml"/><Relationship Id="rId8" Type="http://schemas.openxmlformats.org/officeDocument/2006/relationships/chart" Target="charts/chart1.xml"/><Relationship Id="rId51" Type="http://schemas.openxmlformats.org/officeDocument/2006/relationships/hyperlink" Target="http://www.swfinstitute.org/fund-rankings/swfs/heritage-and-stabilization-fund/" TargetMode="External"/><Relationship Id="rId3" Type="http://schemas.openxmlformats.org/officeDocument/2006/relationships/styles" Target="styles.xml"/><Relationship Id="rId12" Type="http://schemas.openxmlformats.org/officeDocument/2006/relationships/hyperlink" Target="http://www.swfinstitute.org/fund-rankings/swfs/norway-government-pension-fund-global/" TargetMode="External"/><Relationship Id="rId17" Type="http://schemas.openxmlformats.org/officeDocument/2006/relationships/hyperlink" Target="http://www.swfinstitute.org/fund-rankings/swfs/government-of-singapore-investment-corporation/" TargetMode="External"/><Relationship Id="rId25" Type="http://schemas.openxmlformats.org/officeDocument/2006/relationships/hyperlink" Target="http://www.swfinstitute.org/fund-rankings/swfs/international-petroleum-investment-company/" TargetMode="External"/><Relationship Id="rId33" Type="http://schemas.openxmlformats.org/officeDocument/2006/relationships/hyperlink" Target="http://www.swfinstitute.org/fund-rankings/swfs/brunei-investment-agency/" TargetMode="External"/><Relationship Id="rId38" Type="http://schemas.openxmlformats.org/officeDocument/2006/relationships/hyperlink" Target="http://www.swfinstitute.org/fund-rankings/swfs/social-and-economic-stabilization-fund/" TargetMode="External"/><Relationship Id="rId46" Type="http://schemas.openxmlformats.org/officeDocument/2006/relationships/hyperlink" Target="http://www.swfinstitute.org/fund-rankings/swfs/timor-leste-petroleum-fund/" TargetMode="External"/><Relationship Id="rId59" Type="http://schemas.openxmlformats.org/officeDocument/2006/relationships/hyperlink" Target="http://www.swfinstitute.org/fund-rankings/swfs/gabon-swf/" TargetMode="External"/><Relationship Id="rId67" Type="http://schemas.openxmlformats.org/officeDocument/2006/relationships/hyperlink" Target="http://www.swfinstitute.org/swfs/papua-new-guinea-swf/" TargetMode="External"/><Relationship Id="rId20" Type="http://schemas.openxmlformats.org/officeDocument/2006/relationships/hyperlink" Target="http://www.swfinstitute.org/fund-rankings/swfs/national-welfare-fund/" TargetMode="External"/><Relationship Id="rId41" Type="http://schemas.openxmlformats.org/officeDocument/2006/relationships/hyperlink" Target="http://www.swfinstitute.org/fund-rankings/swfs/new-zealand-superannuation-fund/" TargetMode="External"/><Relationship Id="rId54" Type="http://schemas.openxmlformats.org/officeDocument/2006/relationships/hyperlink" Target="http://www.swfinstitute.org/fund/rak.php" TargetMode="External"/><Relationship Id="rId62" Type="http://schemas.openxmlformats.org/officeDocument/2006/relationships/hyperlink" Target="http://www.swfinstitute.org/fund-rankings/swfs/north-dakota-legacy-fund/"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WIN%207\Desktop\EE460\Nu'Jan.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WIN%207\Desktop\EE460\BoP%202005-2010.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th-TH"/>
  <c:style val="8"/>
  <c:chart>
    <c:title>
      <c:tx>
        <c:rich>
          <a:bodyPr/>
          <a:lstStyle/>
          <a:p>
            <a:pPr>
              <a:defRPr/>
            </a:pPr>
            <a:r>
              <a:rPr lang="en-US"/>
              <a:t>International Reserve</a:t>
            </a:r>
          </a:p>
        </c:rich>
      </c:tx>
      <c:layout/>
    </c:title>
    <c:plotArea>
      <c:layout/>
      <c:lineChart>
        <c:grouping val="standard"/>
        <c:ser>
          <c:idx val="0"/>
          <c:order val="0"/>
          <c:tx>
            <c:strRef>
              <c:f>Sheet2!$A$2</c:f>
              <c:strCache>
                <c:ptCount val="1"/>
                <c:pt idx="0">
                  <c:v>Gold</c:v>
                </c:pt>
              </c:strCache>
            </c:strRef>
          </c:tx>
          <c:marker>
            <c:symbol val="none"/>
          </c:marker>
          <c:cat>
            <c:strRef>
              <c:f>Sheet2!$B$1:$AJ$1</c:f>
              <c:strCache>
                <c:ptCount val="35"/>
                <c:pt idx="0">
                  <c:v>1976 </c:v>
                </c:pt>
                <c:pt idx="1">
                  <c:v>1977 </c:v>
                </c:pt>
                <c:pt idx="2">
                  <c:v>1978 </c:v>
                </c:pt>
                <c:pt idx="3">
                  <c:v>1979 </c:v>
                </c:pt>
                <c:pt idx="4">
                  <c:v>1980 </c:v>
                </c:pt>
                <c:pt idx="5">
                  <c:v>1981 </c:v>
                </c:pt>
                <c:pt idx="6">
                  <c:v>1982 </c:v>
                </c:pt>
                <c:pt idx="7">
                  <c:v>1983 </c:v>
                </c:pt>
                <c:pt idx="8">
                  <c:v>1984 </c:v>
                </c:pt>
                <c:pt idx="9">
                  <c:v>1985 </c:v>
                </c:pt>
                <c:pt idx="10">
                  <c:v>1986 </c:v>
                </c:pt>
                <c:pt idx="11">
                  <c:v>1987 </c:v>
                </c:pt>
                <c:pt idx="12">
                  <c:v>1988 </c:v>
                </c:pt>
                <c:pt idx="13">
                  <c:v>1989 </c:v>
                </c:pt>
                <c:pt idx="14">
                  <c:v>1990 </c:v>
                </c:pt>
                <c:pt idx="15">
                  <c:v>1991 </c:v>
                </c:pt>
                <c:pt idx="16">
                  <c:v>1992 </c:v>
                </c:pt>
                <c:pt idx="17">
                  <c:v>1993 </c:v>
                </c:pt>
                <c:pt idx="18">
                  <c:v>1994 </c:v>
                </c:pt>
                <c:pt idx="19">
                  <c:v>1995 </c:v>
                </c:pt>
                <c:pt idx="20">
                  <c:v>1996 </c:v>
                </c:pt>
                <c:pt idx="21">
                  <c:v>1997 </c:v>
                </c:pt>
                <c:pt idx="22">
                  <c:v>1998 </c:v>
                </c:pt>
                <c:pt idx="23">
                  <c:v>1999 </c:v>
                </c:pt>
                <c:pt idx="24">
                  <c:v>2000 </c:v>
                </c:pt>
                <c:pt idx="25">
                  <c:v>2001 </c:v>
                </c:pt>
                <c:pt idx="26">
                  <c:v>2002 </c:v>
                </c:pt>
                <c:pt idx="27">
                  <c:v>2003 </c:v>
                </c:pt>
                <c:pt idx="28">
                  <c:v>2004 </c:v>
                </c:pt>
                <c:pt idx="29">
                  <c:v>2005 </c:v>
                </c:pt>
                <c:pt idx="30">
                  <c:v>2006 </c:v>
                </c:pt>
                <c:pt idx="31">
                  <c:v>2007 </c:v>
                </c:pt>
                <c:pt idx="32">
                  <c:v>2008 </c:v>
                </c:pt>
                <c:pt idx="33">
                  <c:v>2009 </c:v>
                </c:pt>
                <c:pt idx="34">
                  <c:v>2010 </c:v>
                </c:pt>
              </c:strCache>
            </c:strRef>
          </c:cat>
          <c:val>
            <c:numRef>
              <c:f>Sheet2!$B$2:$AJ$2</c:f>
              <c:numCache>
                <c:formatCode>#,##0.00;\-#,##0.00</c:formatCode>
                <c:ptCount val="35"/>
                <c:pt idx="0">
                  <c:v>95.2</c:v>
                </c:pt>
                <c:pt idx="1">
                  <c:v>101.9</c:v>
                </c:pt>
                <c:pt idx="2">
                  <c:v>548.29999999999995</c:v>
                </c:pt>
                <c:pt idx="3">
                  <c:v>1286.2</c:v>
                </c:pt>
                <c:pt idx="4">
                  <c:v>1466</c:v>
                </c:pt>
                <c:pt idx="5">
                  <c:v>994.7</c:v>
                </c:pt>
                <c:pt idx="6">
                  <c:v>1114</c:v>
                </c:pt>
                <c:pt idx="7">
                  <c:v>948.6</c:v>
                </c:pt>
                <c:pt idx="8">
                  <c:v>768.3</c:v>
                </c:pt>
                <c:pt idx="9">
                  <c:v>813.1</c:v>
                </c:pt>
                <c:pt idx="10">
                  <c:v>972</c:v>
                </c:pt>
                <c:pt idx="11">
                  <c:v>1204.4000000000001</c:v>
                </c:pt>
                <c:pt idx="12">
                  <c:v>1015.4</c:v>
                </c:pt>
                <c:pt idx="13">
                  <c:v>992.7</c:v>
                </c:pt>
                <c:pt idx="14">
                  <c:v>968</c:v>
                </c:pt>
                <c:pt idx="15">
                  <c:v>899.3</c:v>
                </c:pt>
                <c:pt idx="16">
                  <c:v>823.2</c:v>
                </c:pt>
                <c:pt idx="17">
                  <c:v>966.6</c:v>
                </c:pt>
                <c:pt idx="18">
                  <c:v>947.3</c:v>
                </c:pt>
                <c:pt idx="19">
                  <c:v>962.9</c:v>
                </c:pt>
                <c:pt idx="20">
                  <c:v>914.3</c:v>
                </c:pt>
                <c:pt idx="21">
                  <c:v>713.3</c:v>
                </c:pt>
                <c:pt idx="22">
                  <c:v>711.2</c:v>
                </c:pt>
                <c:pt idx="23">
                  <c:v>718.1</c:v>
                </c:pt>
                <c:pt idx="24">
                  <c:v>645.4</c:v>
                </c:pt>
                <c:pt idx="25">
                  <c:v>685.9</c:v>
                </c:pt>
                <c:pt idx="26">
                  <c:v>869</c:v>
                </c:pt>
                <c:pt idx="27">
                  <c:v>1070.8</c:v>
                </c:pt>
                <c:pt idx="28">
                  <c:v>1166.8399999999999</c:v>
                </c:pt>
                <c:pt idx="29">
                  <c:v>1374.21</c:v>
                </c:pt>
                <c:pt idx="30">
                  <c:v>1693.3</c:v>
                </c:pt>
                <c:pt idx="31">
                  <c:v>2233.8700000000022</c:v>
                </c:pt>
                <c:pt idx="32">
                  <c:v>2347.12</c:v>
                </c:pt>
                <c:pt idx="33">
                  <c:v>2934.74</c:v>
                </c:pt>
                <c:pt idx="34">
                  <c:v>4598.5600000000004</c:v>
                </c:pt>
              </c:numCache>
            </c:numRef>
          </c:val>
        </c:ser>
        <c:ser>
          <c:idx val="1"/>
          <c:order val="1"/>
          <c:tx>
            <c:strRef>
              <c:f>Sheet2!$A$3</c:f>
              <c:strCache>
                <c:ptCount val="1"/>
                <c:pt idx="0">
                  <c:v>SDRs</c:v>
                </c:pt>
              </c:strCache>
            </c:strRef>
          </c:tx>
          <c:marker>
            <c:symbol val="none"/>
          </c:marker>
          <c:cat>
            <c:strRef>
              <c:f>Sheet2!$B$1:$AJ$1</c:f>
              <c:strCache>
                <c:ptCount val="35"/>
                <c:pt idx="0">
                  <c:v>1976 </c:v>
                </c:pt>
                <c:pt idx="1">
                  <c:v>1977 </c:v>
                </c:pt>
                <c:pt idx="2">
                  <c:v>1978 </c:v>
                </c:pt>
                <c:pt idx="3">
                  <c:v>1979 </c:v>
                </c:pt>
                <c:pt idx="4">
                  <c:v>1980 </c:v>
                </c:pt>
                <c:pt idx="5">
                  <c:v>1981 </c:v>
                </c:pt>
                <c:pt idx="6">
                  <c:v>1982 </c:v>
                </c:pt>
                <c:pt idx="7">
                  <c:v>1983 </c:v>
                </c:pt>
                <c:pt idx="8">
                  <c:v>1984 </c:v>
                </c:pt>
                <c:pt idx="9">
                  <c:v>1985 </c:v>
                </c:pt>
                <c:pt idx="10">
                  <c:v>1986 </c:v>
                </c:pt>
                <c:pt idx="11">
                  <c:v>1987 </c:v>
                </c:pt>
                <c:pt idx="12">
                  <c:v>1988 </c:v>
                </c:pt>
                <c:pt idx="13">
                  <c:v>1989 </c:v>
                </c:pt>
                <c:pt idx="14">
                  <c:v>1990 </c:v>
                </c:pt>
                <c:pt idx="15">
                  <c:v>1991 </c:v>
                </c:pt>
                <c:pt idx="16">
                  <c:v>1992 </c:v>
                </c:pt>
                <c:pt idx="17">
                  <c:v>1993 </c:v>
                </c:pt>
                <c:pt idx="18">
                  <c:v>1994 </c:v>
                </c:pt>
                <c:pt idx="19">
                  <c:v>1995 </c:v>
                </c:pt>
                <c:pt idx="20">
                  <c:v>1996 </c:v>
                </c:pt>
                <c:pt idx="21">
                  <c:v>1997 </c:v>
                </c:pt>
                <c:pt idx="22">
                  <c:v>1998 </c:v>
                </c:pt>
                <c:pt idx="23">
                  <c:v>1999 </c:v>
                </c:pt>
                <c:pt idx="24">
                  <c:v>2000 </c:v>
                </c:pt>
                <c:pt idx="25">
                  <c:v>2001 </c:v>
                </c:pt>
                <c:pt idx="26">
                  <c:v>2002 </c:v>
                </c:pt>
                <c:pt idx="27">
                  <c:v>2003 </c:v>
                </c:pt>
                <c:pt idx="28">
                  <c:v>2004 </c:v>
                </c:pt>
                <c:pt idx="29">
                  <c:v>2005 </c:v>
                </c:pt>
                <c:pt idx="30">
                  <c:v>2006 </c:v>
                </c:pt>
                <c:pt idx="31">
                  <c:v>2007 </c:v>
                </c:pt>
                <c:pt idx="32">
                  <c:v>2008 </c:v>
                </c:pt>
                <c:pt idx="33">
                  <c:v>2009 </c:v>
                </c:pt>
                <c:pt idx="34">
                  <c:v>2010 </c:v>
                </c:pt>
              </c:strCache>
            </c:strRef>
          </c:cat>
          <c:val>
            <c:numRef>
              <c:f>Sheet2!$B$3:$AJ$3</c:f>
              <c:numCache>
                <c:formatCode>#,##0.00;\-#,##0.00</c:formatCode>
                <c:ptCount val="35"/>
                <c:pt idx="0">
                  <c:v>33.6</c:v>
                </c:pt>
                <c:pt idx="1">
                  <c:v>37.1</c:v>
                </c:pt>
                <c:pt idx="2">
                  <c:v>34.6</c:v>
                </c:pt>
                <c:pt idx="3">
                  <c:v>48.8</c:v>
                </c:pt>
                <c:pt idx="4">
                  <c:v>8.2000000000000011</c:v>
                </c:pt>
                <c:pt idx="5">
                  <c:v>60.8</c:v>
                </c:pt>
                <c:pt idx="6">
                  <c:v>24.5</c:v>
                </c:pt>
                <c:pt idx="7">
                  <c:v>15.9</c:v>
                </c:pt>
                <c:pt idx="8">
                  <c:v>2.4</c:v>
                </c:pt>
                <c:pt idx="9">
                  <c:v>1.5</c:v>
                </c:pt>
                <c:pt idx="10">
                  <c:v>33</c:v>
                </c:pt>
                <c:pt idx="11">
                  <c:v>60.4</c:v>
                </c:pt>
                <c:pt idx="12">
                  <c:v>60.9</c:v>
                </c:pt>
                <c:pt idx="13">
                  <c:v>16.600000000000001</c:v>
                </c:pt>
                <c:pt idx="14">
                  <c:v>12.7</c:v>
                </c:pt>
                <c:pt idx="15">
                  <c:v>8.2000000000000011</c:v>
                </c:pt>
                <c:pt idx="16">
                  <c:v>12.1</c:v>
                </c:pt>
                <c:pt idx="17">
                  <c:v>21.9</c:v>
                </c:pt>
                <c:pt idx="18">
                  <c:v>31.9</c:v>
                </c:pt>
                <c:pt idx="19">
                  <c:v>45.2</c:v>
                </c:pt>
                <c:pt idx="20">
                  <c:v>59.6</c:v>
                </c:pt>
                <c:pt idx="21">
                  <c:v>482.4</c:v>
                </c:pt>
                <c:pt idx="22">
                  <c:v>390.9</c:v>
                </c:pt>
                <c:pt idx="23">
                  <c:v>257.8</c:v>
                </c:pt>
                <c:pt idx="24">
                  <c:v>82.7</c:v>
                </c:pt>
                <c:pt idx="25">
                  <c:v>5.3</c:v>
                </c:pt>
                <c:pt idx="26">
                  <c:v>4.2</c:v>
                </c:pt>
                <c:pt idx="27">
                  <c:v>0.30000000000000032</c:v>
                </c:pt>
                <c:pt idx="28">
                  <c:v>1.85</c:v>
                </c:pt>
                <c:pt idx="29">
                  <c:v>1.7</c:v>
                </c:pt>
                <c:pt idx="30">
                  <c:v>0.87000000000000111</c:v>
                </c:pt>
                <c:pt idx="31">
                  <c:v>0.19</c:v>
                </c:pt>
                <c:pt idx="32">
                  <c:v>131.26999999999998</c:v>
                </c:pt>
                <c:pt idx="33">
                  <c:v>1522.98</c:v>
                </c:pt>
                <c:pt idx="34">
                  <c:v>1496.9</c:v>
                </c:pt>
              </c:numCache>
            </c:numRef>
          </c:val>
        </c:ser>
        <c:ser>
          <c:idx val="2"/>
          <c:order val="2"/>
          <c:tx>
            <c:strRef>
              <c:f>Sheet2!$A$4</c:f>
              <c:strCache>
                <c:ptCount val="1"/>
                <c:pt idx="0">
                  <c:v>Reserve position in the IMF</c:v>
                </c:pt>
              </c:strCache>
            </c:strRef>
          </c:tx>
          <c:marker>
            <c:symbol val="none"/>
          </c:marker>
          <c:cat>
            <c:strRef>
              <c:f>Sheet2!$B$1:$AJ$1</c:f>
              <c:strCache>
                <c:ptCount val="35"/>
                <c:pt idx="0">
                  <c:v>1976 </c:v>
                </c:pt>
                <c:pt idx="1">
                  <c:v>1977 </c:v>
                </c:pt>
                <c:pt idx="2">
                  <c:v>1978 </c:v>
                </c:pt>
                <c:pt idx="3">
                  <c:v>1979 </c:v>
                </c:pt>
                <c:pt idx="4">
                  <c:v>1980 </c:v>
                </c:pt>
                <c:pt idx="5">
                  <c:v>1981 </c:v>
                </c:pt>
                <c:pt idx="6">
                  <c:v>1982 </c:v>
                </c:pt>
                <c:pt idx="7">
                  <c:v>1983 </c:v>
                </c:pt>
                <c:pt idx="8">
                  <c:v>1984 </c:v>
                </c:pt>
                <c:pt idx="9">
                  <c:v>1985 </c:v>
                </c:pt>
                <c:pt idx="10">
                  <c:v>1986 </c:v>
                </c:pt>
                <c:pt idx="11">
                  <c:v>1987 </c:v>
                </c:pt>
                <c:pt idx="12">
                  <c:v>1988 </c:v>
                </c:pt>
                <c:pt idx="13">
                  <c:v>1989 </c:v>
                </c:pt>
                <c:pt idx="14">
                  <c:v>1990 </c:v>
                </c:pt>
                <c:pt idx="15">
                  <c:v>1991 </c:v>
                </c:pt>
                <c:pt idx="16">
                  <c:v>1992 </c:v>
                </c:pt>
                <c:pt idx="17">
                  <c:v>1993 </c:v>
                </c:pt>
                <c:pt idx="18">
                  <c:v>1994 </c:v>
                </c:pt>
                <c:pt idx="19">
                  <c:v>1995 </c:v>
                </c:pt>
                <c:pt idx="20">
                  <c:v>1996 </c:v>
                </c:pt>
                <c:pt idx="21">
                  <c:v>1997 </c:v>
                </c:pt>
                <c:pt idx="22">
                  <c:v>1998 </c:v>
                </c:pt>
                <c:pt idx="23">
                  <c:v>1999 </c:v>
                </c:pt>
                <c:pt idx="24">
                  <c:v>2000 </c:v>
                </c:pt>
                <c:pt idx="25">
                  <c:v>2001 </c:v>
                </c:pt>
                <c:pt idx="26">
                  <c:v>2002 </c:v>
                </c:pt>
                <c:pt idx="27">
                  <c:v>2003 </c:v>
                </c:pt>
                <c:pt idx="28">
                  <c:v>2004 </c:v>
                </c:pt>
                <c:pt idx="29">
                  <c:v>2005 </c:v>
                </c:pt>
                <c:pt idx="30">
                  <c:v>2006 </c:v>
                </c:pt>
                <c:pt idx="31">
                  <c:v>2007 </c:v>
                </c:pt>
                <c:pt idx="32">
                  <c:v>2008 </c:v>
                </c:pt>
                <c:pt idx="33">
                  <c:v>2009 </c:v>
                </c:pt>
                <c:pt idx="34">
                  <c:v>2010 </c:v>
                </c:pt>
              </c:strCache>
            </c:strRef>
          </c:cat>
          <c:val>
            <c:numRef>
              <c:f>Sheet2!$B$4:$AJ$4</c:f>
              <c:numCache>
                <c:formatCode>#,##0.00;\-#,##0.00</c:formatCode>
                <c:ptCount val="35"/>
                <c:pt idx="0">
                  <c:v>38.9</c:v>
                </c:pt>
                <c:pt idx="1">
                  <c:v>40.700000000000003</c:v>
                </c:pt>
                <c:pt idx="2">
                  <c:v>0</c:v>
                </c:pt>
                <c:pt idx="3">
                  <c:v>0</c:v>
                </c:pt>
                <c:pt idx="4">
                  <c:v>0</c:v>
                </c:pt>
                <c:pt idx="5">
                  <c:v>0</c:v>
                </c:pt>
                <c:pt idx="6">
                  <c:v>0</c:v>
                </c:pt>
                <c:pt idx="7">
                  <c:v>30.1</c:v>
                </c:pt>
                <c:pt idx="8">
                  <c:v>28.2</c:v>
                </c:pt>
                <c:pt idx="9">
                  <c:v>31.6</c:v>
                </c:pt>
                <c:pt idx="10">
                  <c:v>35.200000000000003</c:v>
                </c:pt>
                <c:pt idx="11">
                  <c:v>40.800000000000004</c:v>
                </c:pt>
                <c:pt idx="12">
                  <c:v>38.700000000000003</c:v>
                </c:pt>
                <c:pt idx="13">
                  <c:v>38.1</c:v>
                </c:pt>
                <c:pt idx="14">
                  <c:v>44.9</c:v>
                </c:pt>
                <c:pt idx="15">
                  <c:v>221.7</c:v>
                </c:pt>
                <c:pt idx="16">
                  <c:v>334.3</c:v>
                </c:pt>
                <c:pt idx="17">
                  <c:v>372.7</c:v>
                </c:pt>
                <c:pt idx="18">
                  <c:v>416</c:v>
                </c:pt>
                <c:pt idx="19">
                  <c:v>555.79999999999995</c:v>
                </c:pt>
                <c:pt idx="20">
                  <c:v>558.79999999999995</c:v>
                </c:pt>
                <c:pt idx="21">
                  <c:v>75.400000000000006</c:v>
                </c:pt>
                <c:pt idx="22">
                  <c:v>0</c:v>
                </c:pt>
                <c:pt idx="23">
                  <c:v>0</c:v>
                </c:pt>
                <c:pt idx="24">
                  <c:v>0</c:v>
                </c:pt>
                <c:pt idx="25">
                  <c:v>0</c:v>
                </c:pt>
                <c:pt idx="26">
                  <c:v>0</c:v>
                </c:pt>
                <c:pt idx="27">
                  <c:v>111.5</c:v>
                </c:pt>
                <c:pt idx="28">
                  <c:v>165.45000000000007</c:v>
                </c:pt>
                <c:pt idx="29">
                  <c:v>188</c:v>
                </c:pt>
                <c:pt idx="30">
                  <c:v>143.46</c:v>
                </c:pt>
                <c:pt idx="31">
                  <c:v>110.92</c:v>
                </c:pt>
                <c:pt idx="32">
                  <c:v>212.51</c:v>
                </c:pt>
                <c:pt idx="33">
                  <c:v>360.68</c:v>
                </c:pt>
                <c:pt idx="34">
                  <c:v>377.41999999999945</c:v>
                </c:pt>
              </c:numCache>
            </c:numRef>
          </c:val>
        </c:ser>
        <c:ser>
          <c:idx val="3"/>
          <c:order val="3"/>
          <c:tx>
            <c:strRef>
              <c:f>Sheet2!$A$5</c:f>
              <c:strCache>
                <c:ptCount val="1"/>
                <c:pt idx="0">
                  <c:v>Foreign currency reserves</c:v>
                </c:pt>
              </c:strCache>
            </c:strRef>
          </c:tx>
          <c:marker>
            <c:symbol val="none"/>
          </c:marker>
          <c:cat>
            <c:strRef>
              <c:f>Sheet2!$B$1:$AJ$1</c:f>
              <c:strCache>
                <c:ptCount val="35"/>
                <c:pt idx="0">
                  <c:v>1976 </c:v>
                </c:pt>
                <c:pt idx="1">
                  <c:v>1977 </c:v>
                </c:pt>
                <c:pt idx="2">
                  <c:v>1978 </c:v>
                </c:pt>
                <c:pt idx="3">
                  <c:v>1979 </c:v>
                </c:pt>
                <c:pt idx="4">
                  <c:v>1980 </c:v>
                </c:pt>
                <c:pt idx="5">
                  <c:v>1981 </c:v>
                </c:pt>
                <c:pt idx="6">
                  <c:v>1982 </c:v>
                </c:pt>
                <c:pt idx="7">
                  <c:v>1983 </c:v>
                </c:pt>
                <c:pt idx="8">
                  <c:v>1984 </c:v>
                </c:pt>
                <c:pt idx="9">
                  <c:v>1985 </c:v>
                </c:pt>
                <c:pt idx="10">
                  <c:v>1986 </c:v>
                </c:pt>
                <c:pt idx="11">
                  <c:v>1987 </c:v>
                </c:pt>
                <c:pt idx="12">
                  <c:v>1988 </c:v>
                </c:pt>
                <c:pt idx="13">
                  <c:v>1989 </c:v>
                </c:pt>
                <c:pt idx="14">
                  <c:v>1990 </c:v>
                </c:pt>
                <c:pt idx="15">
                  <c:v>1991 </c:v>
                </c:pt>
                <c:pt idx="16">
                  <c:v>1992 </c:v>
                </c:pt>
                <c:pt idx="17">
                  <c:v>1993 </c:v>
                </c:pt>
                <c:pt idx="18">
                  <c:v>1994 </c:v>
                </c:pt>
                <c:pt idx="19">
                  <c:v>1995 </c:v>
                </c:pt>
                <c:pt idx="20">
                  <c:v>1996 </c:v>
                </c:pt>
                <c:pt idx="21">
                  <c:v>1997 </c:v>
                </c:pt>
                <c:pt idx="22">
                  <c:v>1998 </c:v>
                </c:pt>
                <c:pt idx="23">
                  <c:v>1999 </c:v>
                </c:pt>
                <c:pt idx="24">
                  <c:v>2000 </c:v>
                </c:pt>
                <c:pt idx="25">
                  <c:v>2001 </c:v>
                </c:pt>
                <c:pt idx="26">
                  <c:v>2002 </c:v>
                </c:pt>
                <c:pt idx="27">
                  <c:v>2003 </c:v>
                </c:pt>
                <c:pt idx="28">
                  <c:v>2004 </c:v>
                </c:pt>
                <c:pt idx="29">
                  <c:v>2005 </c:v>
                </c:pt>
                <c:pt idx="30">
                  <c:v>2006 </c:v>
                </c:pt>
                <c:pt idx="31">
                  <c:v>2007 </c:v>
                </c:pt>
                <c:pt idx="32">
                  <c:v>2008 </c:v>
                </c:pt>
                <c:pt idx="33">
                  <c:v>2009 </c:v>
                </c:pt>
                <c:pt idx="34">
                  <c:v>2010 </c:v>
                </c:pt>
              </c:strCache>
            </c:strRef>
          </c:cat>
          <c:val>
            <c:numRef>
              <c:f>Sheet2!$B$5:$AJ$5</c:f>
              <c:numCache>
                <c:formatCode>#,##0.00;\-#,##0.00</c:formatCode>
                <c:ptCount val="35"/>
                <c:pt idx="0">
                  <c:v>1725.2</c:v>
                </c:pt>
                <c:pt idx="1">
                  <c:v>1735.2</c:v>
                </c:pt>
                <c:pt idx="2">
                  <c:v>1974.4</c:v>
                </c:pt>
                <c:pt idx="3">
                  <c:v>1794</c:v>
                </c:pt>
                <c:pt idx="4">
                  <c:v>1551.9</c:v>
                </c:pt>
                <c:pt idx="5">
                  <c:v>1670.6</c:v>
                </c:pt>
                <c:pt idx="6">
                  <c:v>1513.1</c:v>
                </c:pt>
                <c:pt idx="7">
                  <c:v>1560.5</c:v>
                </c:pt>
                <c:pt idx="8">
                  <c:v>1889.7</c:v>
                </c:pt>
                <c:pt idx="9">
                  <c:v>2157.3000000000002</c:v>
                </c:pt>
                <c:pt idx="10">
                  <c:v>2736.2</c:v>
                </c:pt>
                <c:pt idx="11">
                  <c:v>3906.1</c:v>
                </c:pt>
                <c:pt idx="12">
                  <c:v>5996.8</c:v>
                </c:pt>
                <c:pt idx="13">
                  <c:v>9461.4</c:v>
                </c:pt>
                <c:pt idx="14">
                  <c:v>13247.1</c:v>
                </c:pt>
                <c:pt idx="15">
                  <c:v>17287.2</c:v>
                </c:pt>
                <c:pt idx="16">
                  <c:v>20011.900000000001</c:v>
                </c:pt>
                <c:pt idx="17">
                  <c:v>24077.599999999959</c:v>
                </c:pt>
                <c:pt idx="18">
                  <c:v>28883.8</c:v>
                </c:pt>
                <c:pt idx="19">
                  <c:v>35462.800000000003</c:v>
                </c:pt>
                <c:pt idx="20">
                  <c:v>37191.800000000003</c:v>
                </c:pt>
                <c:pt idx="21">
                  <c:v>25696.6</c:v>
                </c:pt>
                <c:pt idx="22">
                  <c:v>28433.8</c:v>
                </c:pt>
                <c:pt idx="23">
                  <c:v>33804.699999999997</c:v>
                </c:pt>
                <c:pt idx="24">
                  <c:v>31933.200000000001</c:v>
                </c:pt>
                <c:pt idx="25">
                  <c:v>32357.200000000001</c:v>
                </c:pt>
                <c:pt idx="26">
                  <c:v>38050.5</c:v>
                </c:pt>
                <c:pt idx="27">
                  <c:v>40965.1</c:v>
                </c:pt>
                <c:pt idx="28">
                  <c:v>48497.5</c:v>
                </c:pt>
                <c:pt idx="29">
                  <c:v>50501.94</c:v>
                </c:pt>
                <c:pt idx="30">
                  <c:v>65147.13</c:v>
                </c:pt>
                <c:pt idx="31">
                  <c:v>85110.120000000024</c:v>
                </c:pt>
                <c:pt idx="32">
                  <c:v>108317.11</c:v>
                </c:pt>
                <c:pt idx="33">
                  <c:v>133599.17000000001</c:v>
                </c:pt>
                <c:pt idx="34">
                  <c:v>165656.01</c:v>
                </c:pt>
              </c:numCache>
            </c:numRef>
          </c:val>
        </c:ser>
        <c:marker val="1"/>
        <c:axId val="69769856"/>
        <c:axId val="77874304"/>
      </c:lineChart>
      <c:catAx>
        <c:axId val="69769856"/>
        <c:scaling>
          <c:orientation val="minMax"/>
        </c:scaling>
        <c:axPos val="b"/>
        <c:numFmt formatCode="@" sourceLinked="1"/>
        <c:majorTickMark val="none"/>
        <c:tickLblPos val="nextTo"/>
        <c:crossAx val="77874304"/>
        <c:crosses val="autoZero"/>
        <c:auto val="1"/>
        <c:lblAlgn val="ctr"/>
        <c:lblOffset val="100"/>
      </c:catAx>
      <c:valAx>
        <c:axId val="77874304"/>
        <c:scaling>
          <c:orientation val="minMax"/>
        </c:scaling>
        <c:axPos val="l"/>
        <c:majorGridlines/>
        <c:title>
          <c:tx>
            <c:rich>
              <a:bodyPr/>
              <a:lstStyle/>
              <a:p>
                <a:pPr>
                  <a:defRPr/>
                </a:pPr>
                <a:r>
                  <a:rPr lang="en-US"/>
                  <a:t>Million USD</a:t>
                </a:r>
              </a:p>
            </c:rich>
          </c:tx>
          <c:layout/>
        </c:title>
        <c:numFmt formatCode="#,##0.00;\-#,##0.00" sourceLinked="1"/>
        <c:majorTickMark val="none"/>
        <c:tickLblPos val="nextTo"/>
        <c:crossAx val="69769856"/>
        <c:crosses val="autoZero"/>
        <c:crossBetween val="between"/>
      </c:valAx>
    </c:plotArea>
    <c:legend>
      <c:legendPos val="r"/>
      <c:layout/>
    </c:legend>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th-TH"/>
  <c:style val="8"/>
  <c:chart>
    <c:title>
      <c:tx>
        <c:rich>
          <a:bodyPr/>
          <a:lstStyle/>
          <a:p>
            <a:pPr>
              <a:defRPr/>
            </a:pPr>
            <a:r>
              <a:rPr lang="en-US"/>
              <a:t>BOT's Balance of Payments</a:t>
            </a:r>
          </a:p>
        </c:rich>
      </c:tx>
      <c:layout/>
    </c:title>
    <c:plotArea>
      <c:layout/>
      <c:lineChart>
        <c:grouping val="standard"/>
        <c:ser>
          <c:idx val="0"/>
          <c:order val="0"/>
          <c:tx>
            <c:strRef>
              <c:f>Sheet1!$A$3</c:f>
              <c:strCache>
                <c:ptCount val="1"/>
                <c:pt idx="0">
                  <c:v>Current account balance</c:v>
                </c:pt>
              </c:strCache>
            </c:strRef>
          </c:tx>
          <c:cat>
            <c:strRef>
              <c:f>Sheet1!$B$2:$G$2</c:f>
              <c:strCache>
                <c:ptCount val="6"/>
                <c:pt idx="0">
                  <c:v>2005 </c:v>
                </c:pt>
                <c:pt idx="1">
                  <c:v>2006 </c:v>
                </c:pt>
                <c:pt idx="2">
                  <c:v>2007 </c:v>
                </c:pt>
                <c:pt idx="3">
                  <c:v>2008 </c:v>
                </c:pt>
                <c:pt idx="4">
                  <c:v>2009 </c:v>
                </c:pt>
                <c:pt idx="5">
                  <c:v>2010 </c:v>
                </c:pt>
              </c:strCache>
            </c:strRef>
          </c:cat>
          <c:val>
            <c:numRef>
              <c:f>Sheet1!$B$3:$G$3</c:f>
              <c:numCache>
                <c:formatCode>#,##0.00;\-#,##0.00</c:formatCode>
                <c:ptCount val="6"/>
                <c:pt idx="0">
                  <c:v>-7641.81</c:v>
                </c:pt>
                <c:pt idx="1">
                  <c:v>2315.25</c:v>
                </c:pt>
                <c:pt idx="2">
                  <c:v>15681.73000000001</c:v>
                </c:pt>
                <c:pt idx="3">
                  <c:v>2157.4</c:v>
                </c:pt>
                <c:pt idx="4">
                  <c:v>21895.780000000021</c:v>
                </c:pt>
                <c:pt idx="5">
                  <c:v>13176.01</c:v>
                </c:pt>
              </c:numCache>
            </c:numRef>
          </c:val>
        </c:ser>
        <c:ser>
          <c:idx val="1"/>
          <c:order val="1"/>
          <c:tx>
            <c:strRef>
              <c:f>Sheet1!$A$4</c:f>
              <c:strCache>
                <c:ptCount val="1"/>
                <c:pt idx="0">
                  <c:v>Capital account</c:v>
                </c:pt>
              </c:strCache>
            </c:strRef>
          </c:tx>
          <c:cat>
            <c:strRef>
              <c:f>Sheet1!$B$2:$G$2</c:f>
              <c:strCache>
                <c:ptCount val="6"/>
                <c:pt idx="0">
                  <c:v>2005 </c:v>
                </c:pt>
                <c:pt idx="1">
                  <c:v>2006 </c:v>
                </c:pt>
                <c:pt idx="2">
                  <c:v>2007 </c:v>
                </c:pt>
                <c:pt idx="3">
                  <c:v>2008 </c:v>
                </c:pt>
                <c:pt idx="4">
                  <c:v>2009 </c:v>
                </c:pt>
                <c:pt idx="5">
                  <c:v>2010 </c:v>
                </c:pt>
              </c:strCache>
            </c:strRef>
          </c:cat>
          <c:val>
            <c:numRef>
              <c:f>Sheet1!$B$4:$G$4</c:f>
              <c:numCache>
                <c:formatCode>@</c:formatCode>
                <c:ptCount val="6"/>
                <c:pt idx="0">
                  <c:v>0</c:v>
                </c:pt>
                <c:pt idx="1">
                  <c:v>0</c:v>
                </c:pt>
                <c:pt idx="2">
                  <c:v>0</c:v>
                </c:pt>
                <c:pt idx="3">
                  <c:v>0</c:v>
                </c:pt>
                <c:pt idx="4" formatCode="#,##0.00;\-#,##0.00">
                  <c:v>67.61</c:v>
                </c:pt>
                <c:pt idx="5" formatCode="#,##0.00;\-#,##0.00">
                  <c:v>244.59</c:v>
                </c:pt>
              </c:numCache>
            </c:numRef>
          </c:val>
        </c:ser>
        <c:ser>
          <c:idx val="2"/>
          <c:order val="2"/>
          <c:tx>
            <c:strRef>
              <c:f>Sheet1!$A$5</c:f>
              <c:strCache>
                <c:ptCount val="1"/>
                <c:pt idx="0">
                  <c:v>Financial account</c:v>
                </c:pt>
              </c:strCache>
            </c:strRef>
          </c:tx>
          <c:cat>
            <c:strRef>
              <c:f>Sheet1!$B$2:$G$2</c:f>
              <c:strCache>
                <c:ptCount val="6"/>
                <c:pt idx="0">
                  <c:v>2005 </c:v>
                </c:pt>
                <c:pt idx="1">
                  <c:v>2006 </c:v>
                </c:pt>
                <c:pt idx="2">
                  <c:v>2007 </c:v>
                </c:pt>
                <c:pt idx="3">
                  <c:v>2008 </c:v>
                </c:pt>
                <c:pt idx="4">
                  <c:v>2009 </c:v>
                </c:pt>
                <c:pt idx="5">
                  <c:v>2010 </c:v>
                </c:pt>
              </c:strCache>
            </c:strRef>
          </c:cat>
          <c:val>
            <c:numRef>
              <c:f>Sheet1!$B$5:$G$5</c:f>
              <c:numCache>
                <c:formatCode>#,##0.00;\-#,##0.00</c:formatCode>
                <c:ptCount val="6"/>
                <c:pt idx="0">
                  <c:v>6974.03</c:v>
                </c:pt>
                <c:pt idx="1">
                  <c:v>8106.1900000000014</c:v>
                </c:pt>
                <c:pt idx="2">
                  <c:v>-1649.32</c:v>
                </c:pt>
                <c:pt idx="3">
                  <c:v>12633.41</c:v>
                </c:pt>
                <c:pt idx="4">
                  <c:v>-2600.52</c:v>
                </c:pt>
                <c:pt idx="5">
                  <c:v>23992.37</c:v>
                </c:pt>
              </c:numCache>
            </c:numRef>
          </c:val>
        </c:ser>
        <c:marker val="1"/>
        <c:axId val="87734144"/>
        <c:axId val="87748608"/>
      </c:lineChart>
      <c:catAx>
        <c:axId val="87734144"/>
        <c:scaling>
          <c:orientation val="minMax"/>
        </c:scaling>
        <c:axPos val="b"/>
        <c:numFmt formatCode="@" sourceLinked="1"/>
        <c:majorTickMark val="none"/>
        <c:tickLblPos val="nextTo"/>
        <c:crossAx val="87748608"/>
        <c:crosses val="autoZero"/>
        <c:auto val="1"/>
        <c:lblAlgn val="ctr"/>
        <c:lblOffset val="100"/>
      </c:catAx>
      <c:valAx>
        <c:axId val="87748608"/>
        <c:scaling>
          <c:orientation val="minMax"/>
        </c:scaling>
        <c:axPos val="l"/>
        <c:majorGridlines/>
        <c:title>
          <c:tx>
            <c:rich>
              <a:bodyPr/>
              <a:lstStyle/>
              <a:p>
                <a:pPr>
                  <a:defRPr/>
                </a:pPr>
                <a:r>
                  <a:rPr lang="en-US"/>
                  <a:t>Million USD</a:t>
                </a:r>
              </a:p>
            </c:rich>
          </c:tx>
          <c:layout/>
        </c:title>
        <c:numFmt formatCode="#,##0.00;\-#,##0.00" sourceLinked="1"/>
        <c:majorTickMark val="none"/>
        <c:tickLblPos val="nextTo"/>
        <c:crossAx val="87734144"/>
        <c:crosses val="autoZero"/>
        <c:crossBetween val="between"/>
      </c:valAx>
      <c:dTable>
        <c:showHorzBorder val="1"/>
        <c:showVertBorder val="1"/>
        <c:showOutline val="1"/>
        <c:showKeys val="1"/>
      </c:dTable>
    </c:plotArea>
    <c:plotVisOnly val="1"/>
    <c:dispBlanksAs val="gap"/>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b:Source>
    <b:Tag>Rum09</b:Tag>
    <b:SourceType>Report</b:SourceType>
    <b:Guid>{9DAC173D-6118-4373-A2A7-020B9BF5BA54}</b:Guid>
    <b:LCID>0</b:LCID>
    <b:Author>
      <b:Author>
        <b:NameList>
          <b:Person>
            <b:Last>Sarkar</b:Last>
            <b:First>Rumu</b:First>
          </b:Person>
        </b:NameList>
      </b:Author>
    </b:Author>
    <b:Title>Sovereign Wealth Funds as a Development Tool For Asean Nations: From Social Wealth to Social Responsibility</b:Title>
    <b:Year>2009</b:Year>
    <b:Publisher>National University of Singapore</b:Publisher>
    <b:RefOrder>13</b:RefOrder>
  </b:Source>
  <b:Source>
    <b:Tag>Deu08</b:Tag>
    <b:SourceType>Report</b:SourceType>
    <b:Guid>{BC5D3E57-4FF3-41C7-9A94-58FEEDD73EB5}</b:Guid>
    <b:LCID>0</b:LCID>
    <b:Author>
      <b:Author>
        <b:Corporate>Deutsche Bank Research</b:Corporate>
      </b:Author>
    </b:Author>
    <b:Title>SWFs and foreign investment policies - an update</b:Title>
    <b:Year>2008</b:Year>
    <b:Publisher>Deutsche Bank Research</b:Publisher>
    <b:City>Frankfurt</b:City>
    <b:RefOrder>1</b:RefOrder>
  </b:Source>
  <b:Source>
    <b:Tag>Don09</b:Tag>
    <b:SourceType>Report</b:SourceType>
    <b:Guid>{A85C299A-48D6-4910-809A-DC9F7551CFB7}</b:Guid>
    <b:LCID>0</b:LCID>
    <b:Author>
      <b:Author>
        <b:NameList>
          <b:Person>
            <b:Last>Donghyun Park</b:Last>
            <b:First>Gemma</b:First>
            <b:Middle>Estrada</b:Middle>
          </b:Person>
        </b:NameList>
      </b:Author>
    </b:Author>
    <b:Title>Developing Asia's Sovereign Wealth Funds and Outward Foreign Direct Investment</b:Title>
    <b:Year>2009</b:Year>
    <b:Publisher>Asian Development Bank</b:Publisher>
    <b:RefOrder>4</b:RefOrder>
  </b:Source>
  <b:Source>
    <b:Tag>Dan08</b:Tag>
    <b:SourceType>Report</b:SourceType>
    <b:Guid>{1ED10D2A-927D-4B59-81C9-E3820542B576}</b:Guid>
    <b:LCID>0</b:LCID>
    <b:Author>
      <b:Author>
        <b:NameList>
          <b:Person>
            <b:Last>W.Drezner</b:Last>
            <b:First>Daniel</b:First>
          </b:Person>
        </b:NameList>
      </b:Author>
    </b:Author>
    <b:Title>White Wale or Red Herring? - Assessing Sovereign Wealth Funds</b:Title>
    <b:Year>2008</b:Year>
    <b:Publisher>Glasshouse Forum Publications</b:Publisher>
    <b:RefOrder>15</b:RefOrder>
  </b:Source>
  <b:Source>
    <b:Tag>Uni08</b:Tag>
    <b:SourceType>Report</b:SourceType>
    <b:Guid>{78AC4B6A-DD7F-43EF-B015-D52BDF9C6DFA}</b:Guid>
    <b:LCID>0</b:LCID>
    <b:Author>
      <b:Author>
        <b:Corporate>United States Government Accountability Office</b:Corporate>
      </b:Author>
    </b:Author>
    <b:Title>Sovereign Wealth Funds: Publicly Available Data on Sizes and Investments For Some Funds Are Limited </b:Title>
    <b:Year>2008</b:Year>
    <b:Publisher>United States Government Accountability Office</b:Publisher>
    <b:RefOrder>5</b:RefOrder>
  </b:Source>
  <b:Source>
    <b:Tag>Bry08</b:Tag>
    <b:SourceType>Report</b:SourceType>
    <b:Guid>{A230B2FE-2A1F-4774-B1ED-926703481CE6}</b:Guid>
    <b:LCID>0</b:LCID>
    <b:Author>
      <b:Author>
        <b:NameList>
          <b:Person>
            <b:Last>Balin</b:Last>
            <b:First>Bryan</b:First>
            <b:Middle>J.</b:Middle>
          </b:Person>
        </b:NameList>
      </b:Author>
    </b:Author>
    <b:Title>Sovereign Wealth Funds: A Critical Analysis</b:Title>
    <b:Year>2008</b:Year>
    <b:Publisher>The John Hopkins University</b:Publisher>
    <b:RefOrder>6</b:RefOrder>
  </b:Source>
  <b:Source>
    <b:Tag>Win09</b:Tag>
    <b:SourceType>DocumentFromInternetSite</b:SourceType>
    <b:Guid>{18C685D6-E0F3-4BBC-B2A0-1401602C5F3B}</b:Guid>
    <b:LCID>0</b:LCID>
    <b:Author>
      <b:Author>
        <b:NameList>
          <b:Person>
            <b:Last>Windle</b:Last>
            <b:First>Aaron</b:First>
          </b:Person>
        </b:NameList>
      </b:Author>
    </b:Author>
    <b:Title>Sovereign Wealth Funds: The Good, the Bad, and the Not-So-Transparent</b:Title>
    <b:Year>2009</b:Year>
    <b:Month>January</b:Month>
    <b:InternetSiteTitle>California Real Estate Transactions Law Firm</b:InternetSiteTitle>
    <b:YearAccessed>2012</b:YearAccessed>
    <b:MonthAccessed>February</b:MonthAccessed>
    <b:DayAccessed>10</b:DayAccessed>
    <b:URL>www.skala-apc.com/files/WFTGU-Sovereign-Wealth.pdf</b:URL>
    <b:RefOrder>2</b:RefOrder>
  </b:Source>
  <b:Source>
    <b:Tag>Ste10</b:Tag>
    <b:SourceType>Report</b:SourceType>
    <b:Guid>{E7E14016-0BFF-46E6-87D9-CA4507D5A362}</b:Guid>
    <b:LCID>0</b:LCID>
    <b:Author>
      <b:Author>
        <b:NameList>
          <b:Person>
            <b:Last>Curto</b:Last>
            <b:First>Stefano</b:First>
          </b:Person>
        </b:NameList>
      </b:Author>
    </b:Author>
    <b:Title>Sovereign Wealth Funds in the Next Decade</b:Title>
    <b:Year>2010</b:Year>
    <b:Publisher>World Bank</b:Publisher>
    <b:RefOrder>3</b:RefOrder>
  </b:Source>
  <b:Source>
    <b:Tag>Edw07</b:Tag>
    <b:SourceType>Report</b:SourceType>
    <b:Guid>{EFC1CC27-064C-4EA5-9AAF-763F5CD82FF8}</b:Guid>
    <b:LCID>0</b:LCID>
    <b:Author>
      <b:Author>
        <b:NameList>
          <b:Person>
            <b:Last>Truman</b:Last>
            <b:First>Edwin</b:First>
            <b:Middle>M.</b:Middle>
          </b:Person>
        </b:NameList>
      </b:Author>
    </b:Author>
    <b:Title>Sovereign Wealth Funds: The Need for Greater Transparency and Accountability</b:Title>
    <b:Year>2007</b:Year>
    <b:Publisher>Peterson Institute for International Economics</b:Publisher>
    <b:RefOrder>14</b:RefOrder>
  </b:Source>
  <b:Source>
    <b:Tag>Ste08</b:Tag>
    <b:SourceType>Report</b:SourceType>
    <b:Guid>{AEE09A22-C55E-4357-B3DE-B8C275AEC5E6}</b:Guid>
    <b:LCID>0</b:LCID>
    <b:Author>
      <b:Author>
        <b:NameList>
          <b:Person>
            <b:Last>Stephany Griffith-Jones</b:Last>
            <b:First>Jose</b:First>
            <b:Middle>Antonio Ocampo</b:Middle>
          </b:Person>
        </b:NameList>
      </b:Author>
    </b:Author>
    <b:Title>Sovereign Wealth Funds: A Developing Country Perspective</b:Title>
    <b:Year>2008</b:Year>
    <b:Publisher>Andean Development Corporation</b:Publisher>
    <b:RefOrder>7</b:RefOrder>
  </b:Source>
  <b:Source>
    <b:Tag>Eri07</b:Tag>
    <b:SourceType>Report</b:SourceType>
    <b:Guid>{B390A8EE-5729-47C9-A3B1-7E3355FB1AE7}</b:Guid>
    <b:LCID>0</b:LCID>
    <b:Author>
      <b:Author>
        <b:NameList>
          <b:Person>
            <b:Last>Eric Le Borgne</b:Last>
            <b:First>Paulo</b:First>
            <b:Middle>Medas</b:Middle>
          </b:Person>
        </b:NameList>
      </b:Author>
    </b:Author>
    <b:Title>Sovereign Wealth Funds in the Pacific Island Countries: Macro-Fiscal Linkages</b:Title>
    <b:Year>2007</b:Year>
    <b:Publisher>International Monetary Fund</b:Publisher>
    <b:RefOrder>8</b:RefOrder>
  </b:Source>
  <b:Source>
    <b:Tag>Vic10</b:Tag>
    <b:SourceType>Report</b:SourceType>
    <b:Guid>{B2832607-09C7-43DA-B524-DC68113468BD}</b:Guid>
    <b:LCID>0</b:LCID>
    <b:Author>
      <b:Author>
        <b:NameList>
          <b:Person>
            <b:Last>Victoria Barbary</b:Last>
            <b:First>Bernardo</b:First>
            <b:Middle>Bortolotti, Veljko Fotak, William Miracky</b:Middle>
          </b:Person>
        </b:NameList>
      </b:Author>
    </b:Author>
    <b:Title>Sovereign Wealth Fund Investment Behavior </b:Title>
    <b:Year>2010</b:Year>
    <b:Publisher>Monitor Group</b:Publisher>
    <b:RefOrder>9</b:RefOrder>
  </b:Source>
  <b:Source>
    <b:Tag>Mon08</b:Tag>
    <b:SourceType>Report</b:SourceType>
    <b:Guid>{ABF81F3C-AE53-4EE6-8CED-79C47E7199F4}</b:Guid>
    <b:LCID>0</b:LCID>
    <b:Author>
      <b:Author>
        <b:Corporate>Monetary and Capital Markets and Policy Development and Review Departments</b:Corporate>
      </b:Author>
    </b:Author>
    <b:Title>Sovereign Wealth Funds - A Work Agenda</b:Title>
    <b:Year>2008</b:Year>
    <b:Publisher>International Monetary Fund</b:Publisher>
    <b:RefOrder>10</b:RefOrder>
  </b:Source>
  <b:Source>
    <b:Tag>Thi08</b:Tag>
    <b:SourceType>Misc</b:SourceType>
    <b:Guid>{AEBE482E-A691-4E46-9B68-12DD111C73BC}</b:Guid>
    <b:LCID>0</b:LCID>
    <b:Author>
      <b:Author>
        <b:NameList>
          <b:Person>
            <b:Last>Phuvanatnaranubala</b:Last>
            <b:First>Thirachai</b:First>
          </b:Person>
        </b:NameList>
      </b:Author>
    </b:Author>
    <b:Title>Sovereign Wealth Fund for Thailand? - Speech by Thirachai Phuvanatnaranubala</b:Title>
    <b:Year>2008</b:Year>
    <b:Publisher>Securities and Exchange Commission </b:Publisher>
    <b:RefOrder>11</b:RefOrder>
  </b:Source>
  <b:Source>
    <b:Tag>And10</b:Tag>
    <b:SourceType>Report</b:SourceType>
    <b:Guid>{700AD9E2-E965-4C70-AD79-154227F30400}</b:Guid>
    <b:LCID>0</b:LCID>
    <b:Author>
      <b:Author>
        <b:NameList>
          <b:Person>
            <b:Last>Ang</b:Last>
            <b:First>Andrew</b:First>
          </b:Person>
        </b:NameList>
      </b:Author>
    </b:Author>
    <b:Title>The Four Benchmarks of Sovereign Wealth Funds</b:Title>
    <b:Year>2010</b:Year>
    <b:Publisher>Columbia Business School and NBER</b:Publisher>
    <b:RefOrder>12</b:RefOrder>
  </b:Source>
</b:Sources>
</file>

<file path=customXml/itemProps1.xml><?xml version="1.0" encoding="utf-8"?>
<ds:datastoreItem xmlns:ds="http://schemas.openxmlformats.org/officeDocument/2006/customXml" ds:itemID="{7B6B91AA-4AD6-4A57-A32B-FF73705A8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9</Pages>
  <Words>2684</Words>
  <Characters>15305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Pimmada Kulsirichawaroj</vt:lpstr>
    </vt:vector>
  </TitlesOfParts>
  <Company/>
  <LinksUpToDate>false</LinksUpToDate>
  <CharactersWithSpaces>17954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Pimmada Kulsirichawaroj</dc:title>
  <dc:subject>I.D. 5104640981</dc:subject>
  <dc:creator>WIN 7</dc:creator>
  <cp:lastModifiedBy>WIN 7</cp:lastModifiedBy>
  <cp:revision>19</cp:revision>
  <dcterms:created xsi:type="dcterms:W3CDTF">2012-02-13T14:45:00Z</dcterms:created>
  <dcterms:modified xsi:type="dcterms:W3CDTF">2012-02-13T15:40:00Z</dcterms:modified>
</cp:coreProperties>
</file>