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80F" w:rsidRPr="0094680F" w:rsidRDefault="0094680F" w:rsidP="0094680F">
      <w:pPr>
        <w:rPr>
          <w:b/>
          <w:bCs/>
        </w:rPr>
      </w:pPr>
      <w:r w:rsidRPr="0094680F">
        <w:rPr>
          <w:b/>
          <w:bCs/>
        </w:rPr>
        <w:t>1.    Why do corporations sell bonds?</w:t>
      </w:r>
    </w:p>
    <w:p w:rsidR="0094680F" w:rsidRDefault="0094680F" w:rsidP="0094680F">
      <w:pPr>
        <w:ind w:firstLine="720"/>
      </w:pPr>
      <w:r>
        <w:t>When companies need to raise money, issuing bonds is one way to do it. A bond functions like a loan between an investor and a corporation. The investor agrees to give the corporation a specific amount of money for a specific period of time in exchange for periodic interest payments at designated intervals. When the loan reaches its maturity date, the investor’s loan is repaid.</w:t>
      </w:r>
    </w:p>
    <w:p w:rsidR="0094680F" w:rsidRDefault="0094680F" w:rsidP="0094680F">
      <w:pPr>
        <w:ind w:firstLine="720"/>
      </w:pPr>
      <w:r>
        <w:t>The decision to issue bonds instead of selecting other methods of raising money can be driven by many factors. Comparing the features and benefits of bonds versus other common methods of raising cash provides some insight into why companies often look to bond issuance when they need to raise cash to fund corporate activities.</w:t>
      </w:r>
    </w:p>
    <w:p w:rsidR="0094680F" w:rsidRPr="0094680F" w:rsidRDefault="0094680F" w:rsidP="0094680F">
      <w:pPr>
        <w:rPr>
          <w:b/>
          <w:bCs/>
        </w:rPr>
      </w:pPr>
      <w:r w:rsidRPr="0094680F">
        <w:rPr>
          <w:b/>
          <w:bCs/>
        </w:rPr>
        <w:t xml:space="preserve"> 2.    What are the differences among a debenture, a mortgage bond, and a subordinated debenture?</w:t>
      </w:r>
    </w:p>
    <w:p w:rsidR="0094680F" w:rsidRDefault="0094680F" w:rsidP="0094680F">
      <w:pPr>
        <w:ind w:firstLine="720"/>
      </w:pPr>
      <w:r w:rsidRPr="0094680F">
        <w:rPr>
          <w:b/>
          <w:bCs/>
        </w:rPr>
        <w:t>2.1</w:t>
      </w:r>
      <w:r>
        <w:t xml:space="preserve"> A debenture is a type of debt instrument that is not secured by physical assets or collateral. Debentures are backed only by the general creditworthiness and reputation of the issuer. Both corporations and governments frequently issue this type of bond in order to secure capital. Like other types of bonds, debentures are documented in an indenture.</w:t>
      </w:r>
    </w:p>
    <w:p w:rsidR="0094680F" w:rsidRPr="0094680F" w:rsidRDefault="0094680F" w:rsidP="0094680F">
      <w:pPr>
        <w:spacing w:line="240" w:lineRule="atLeast"/>
        <w:textAlignment w:val="baseline"/>
        <w:rPr>
          <w:rFonts w:ascii="Arial" w:eastAsia="Times New Roman" w:hAnsi="Arial" w:cs="Arial"/>
          <w:szCs w:val="22"/>
        </w:rPr>
      </w:pPr>
      <w:r>
        <w:rPr>
          <w:b/>
          <w:bCs/>
        </w:rPr>
        <w:t xml:space="preserve"> </w:t>
      </w:r>
      <w:r>
        <w:rPr>
          <w:b/>
          <w:bCs/>
        </w:rPr>
        <w:tab/>
      </w:r>
      <w:r w:rsidRPr="0094680F">
        <w:rPr>
          <w:b/>
          <w:bCs/>
        </w:rPr>
        <w:t>2.2</w:t>
      </w:r>
      <w:r w:rsidRPr="0094680F">
        <w:rPr>
          <w:rFonts w:ascii="Helvetica" w:hAnsi="Helvetica" w:cs="Helvetica"/>
          <w:sz w:val="23"/>
          <w:szCs w:val="23"/>
          <w:shd w:val="clear" w:color="auto" w:fill="FFFFFF"/>
        </w:rPr>
        <w:t xml:space="preserve"> A mortgage bond is a bond secured by a mortgage on one or more assets. These bonds are typically backed by real estate holdings and/or</w:t>
      </w:r>
      <w:r w:rsidRPr="0094680F">
        <w:rPr>
          <w:rStyle w:val="NormalWeb"/>
          <w:rFonts w:ascii="Helvetica" w:hAnsi="Helvetica" w:cs="Helvetica"/>
          <w:sz w:val="23"/>
          <w:szCs w:val="23"/>
          <w:shd w:val="clear" w:color="auto" w:fill="FFFFFF"/>
        </w:rPr>
        <w:t> </w:t>
      </w:r>
      <w:hyperlink r:id="rId6" w:history="1">
        <w:r w:rsidRPr="0094680F">
          <w:rPr>
            <w:rStyle w:val="apple-converted-space"/>
            <w:rFonts w:ascii="Helvetica" w:hAnsi="Helvetica" w:cs="Helvetica"/>
            <w:sz w:val="23"/>
            <w:szCs w:val="23"/>
          </w:rPr>
          <w:t>real property</w:t>
        </w:r>
      </w:hyperlink>
      <w:r w:rsidRPr="0094680F">
        <w:rPr>
          <w:rStyle w:val="NormalWeb"/>
          <w:rFonts w:ascii="Helvetica" w:hAnsi="Helvetica" w:cs="Helvetica"/>
          <w:sz w:val="23"/>
          <w:szCs w:val="23"/>
          <w:shd w:val="clear" w:color="auto" w:fill="FFFFFF"/>
        </w:rPr>
        <w:t> </w:t>
      </w:r>
      <w:r w:rsidRPr="0094680F">
        <w:rPr>
          <w:rFonts w:ascii="Helvetica" w:hAnsi="Helvetica" w:cs="Helvetica"/>
          <w:sz w:val="23"/>
          <w:szCs w:val="23"/>
          <w:shd w:val="clear" w:color="auto" w:fill="FFFFFF"/>
        </w:rPr>
        <w:t>such as equipment. In a</w:t>
      </w:r>
      <w:r w:rsidRPr="0094680F">
        <w:rPr>
          <w:rStyle w:val="NormalWeb"/>
          <w:rFonts w:ascii="Helvetica" w:hAnsi="Helvetica" w:cs="Helvetica"/>
          <w:sz w:val="23"/>
          <w:szCs w:val="23"/>
          <w:shd w:val="clear" w:color="auto" w:fill="FFFFFF"/>
        </w:rPr>
        <w:t> </w:t>
      </w:r>
      <w:hyperlink r:id="rId7" w:history="1">
        <w:r w:rsidRPr="0094680F">
          <w:rPr>
            <w:rStyle w:val="apple-converted-space"/>
            <w:rFonts w:ascii="Helvetica" w:hAnsi="Helvetica" w:cs="Helvetica"/>
            <w:sz w:val="23"/>
            <w:szCs w:val="23"/>
          </w:rPr>
          <w:t>default</w:t>
        </w:r>
      </w:hyperlink>
      <w:r w:rsidRPr="0094680F">
        <w:rPr>
          <w:rStyle w:val="NormalWeb"/>
          <w:rFonts w:ascii="Helvetica" w:hAnsi="Helvetica" w:cs="Helvetica"/>
          <w:sz w:val="23"/>
          <w:szCs w:val="23"/>
          <w:shd w:val="clear" w:color="auto" w:fill="FFFFFF"/>
        </w:rPr>
        <w:t> </w:t>
      </w:r>
      <w:r w:rsidRPr="0094680F">
        <w:rPr>
          <w:rFonts w:ascii="Helvetica" w:hAnsi="Helvetica" w:cs="Helvetica"/>
          <w:sz w:val="23"/>
          <w:szCs w:val="23"/>
          <w:shd w:val="clear" w:color="auto" w:fill="FFFFFF"/>
        </w:rPr>
        <w:t>situation, mortgage</w:t>
      </w:r>
      <w:r w:rsidRPr="0094680F">
        <w:rPr>
          <w:rStyle w:val="NormalWeb"/>
          <w:rFonts w:ascii="Helvetica" w:hAnsi="Helvetica" w:cs="Helvetica"/>
          <w:sz w:val="23"/>
          <w:szCs w:val="23"/>
          <w:shd w:val="clear" w:color="auto" w:fill="FFFFFF"/>
        </w:rPr>
        <w:t> </w:t>
      </w:r>
      <w:hyperlink r:id="rId8" w:history="1">
        <w:r w:rsidRPr="0094680F">
          <w:rPr>
            <w:rStyle w:val="apple-converted-space"/>
            <w:rFonts w:ascii="Helvetica" w:hAnsi="Helvetica" w:cs="Helvetica"/>
            <w:sz w:val="23"/>
            <w:szCs w:val="23"/>
          </w:rPr>
          <w:t>bondholders</w:t>
        </w:r>
      </w:hyperlink>
      <w:r w:rsidRPr="0094680F">
        <w:rPr>
          <w:rStyle w:val="NormalWeb"/>
          <w:rFonts w:ascii="Helvetica" w:hAnsi="Helvetica" w:cs="Helvetica"/>
          <w:sz w:val="23"/>
          <w:szCs w:val="23"/>
          <w:shd w:val="clear" w:color="auto" w:fill="FFFFFF"/>
        </w:rPr>
        <w:t> </w:t>
      </w:r>
      <w:r w:rsidRPr="0094680F">
        <w:rPr>
          <w:rFonts w:ascii="Helvetica" w:hAnsi="Helvetica" w:cs="Helvetica"/>
          <w:sz w:val="23"/>
          <w:szCs w:val="23"/>
          <w:shd w:val="clear" w:color="auto" w:fill="FFFFFF"/>
        </w:rPr>
        <w:t>have a claim to the underlying property and could sell it off to compensate for the default.</w:t>
      </w:r>
      <w:r w:rsidRPr="0094680F">
        <w:rPr>
          <w:rStyle w:val="NormalWeb"/>
          <w:rFonts w:ascii="Helvetica" w:hAnsi="Helvetica" w:cs="Helvetica"/>
          <w:sz w:val="23"/>
          <w:szCs w:val="23"/>
          <w:shd w:val="clear" w:color="auto" w:fill="FFFFFF"/>
        </w:rPr>
        <w:t> </w:t>
      </w:r>
      <w:r w:rsidRPr="0094680F">
        <w:rPr>
          <w:rFonts w:ascii="Helvetica" w:hAnsi="Helvetica" w:cs="Helvetica"/>
          <w:sz w:val="23"/>
          <w:szCs w:val="23"/>
        </w:rPr>
        <w:br/>
      </w:r>
      <w:r w:rsidRPr="0094680F">
        <w:rPr>
          <w:rFonts w:ascii="Helvetica" w:hAnsi="Helvetica" w:cs="Helvetica"/>
          <w:sz w:val="23"/>
          <w:szCs w:val="23"/>
        </w:rPr>
        <w:br/>
      </w:r>
      <w:r>
        <w:rPr>
          <w:b/>
          <w:bCs/>
        </w:rPr>
        <w:t xml:space="preserve">   </w:t>
      </w:r>
      <w:r>
        <w:rPr>
          <w:rFonts w:hint="cs"/>
          <w:b/>
          <w:bCs/>
          <w:cs/>
        </w:rPr>
        <w:tab/>
      </w:r>
      <w:r>
        <w:rPr>
          <w:b/>
          <w:bCs/>
        </w:rPr>
        <w:t>2.</w:t>
      </w:r>
      <w:r w:rsidRPr="0094680F">
        <w:rPr>
          <w:b/>
          <w:bCs/>
        </w:rPr>
        <w:t>3</w:t>
      </w:r>
      <w:r>
        <w:rPr>
          <w:rFonts w:ascii="Helvetica" w:eastAsia="Times New Roman" w:hAnsi="Helvetica" w:cs="Helvetica"/>
          <w:sz w:val="26"/>
          <w:szCs w:val="26"/>
        </w:rPr>
        <w:t xml:space="preserve"> </w:t>
      </w:r>
      <w:r w:rsidRPr="0094680F">
        <w:rPr>
          <w:rFonts w:ascii="Helvetica" w:eastAsia="Times New Roman" w:hAnsi="Helvetica" w:cs="Helvetica"/>
          <w:szCs w:val="22"/>
        </w:rPr>
        <w:t>Subordinated debt is a </w:t>
      </w:r>
      <w:hyperlink r:id="rId9" w:history="1">
        <w:r w:rsidRPr="0094680F">
          <w:rPr>
            <w:rFonts w:ascii="Helvetica" w:eastAsia="Times New Roman" w:hAnsi="Helvetica" w:cs="Helvetica"/>
            <w:szCs w:val="22"/>
          </w:rPr>
          <w:t>loan</w:t>
        </w:r>
      </w:hyperlink>
      <w:r w:rsidRPr="0094680F">
        <w:rPr>
          <w:rFonts w:ascii="Helvetica" w:eastAsia="Times New Roman" w:hAnsi="Helvetica" w:cs="Helvetica"/>
          <w:szCs w:val="22"/>
        </w:rPr>
        <w:t> (or security) that ranks below other loans (or securities) with regard to claims on </w:t>
      </w:r>
      <w:hyperlink r:id="rId10" w:history="1">
        <w:r w:rsidRPr="0094680F">
          <w:rPr>
            <w:rFonts w:ascii="Helvetica" w:eastAsia="Times New Roman" w:hAnsi="Helvetica" w:cs="Helvetica"/>
            <w:szCs w:val="22"/>
          </w:rPr>
          <w:t>assets</w:t>
        </w:r>
      </w:hyperlink>
      <w:r w:rsidRPr="0094680F">
        <w:rPr>
          <w:rFonts w:ascii="Helvetica" w:eastAsia="Times New Roman" w:hAnsi="Helvetica" w:cs="Helvetica"/>
          <w:szCs w:val="22"/>
        </w:rPr>
        <w:t> or </w:t>
      </w:r>
      <w:hyperlink r:id="rId11" w:history="1">
        <w:r w:rsidRPr="0094680F">
          <w:rPr>
            <w:rFonts w:ascii="Helvetica" w:eastAsia="Times New Roman" w:hAnsi="Helvetica" w:cs="Helvetica"/>
            <w:szCs w:val="22"/>
          </w:rPr>
          <w:t>earnings</w:t>
        </w:r>
      </w:hyperlink>
      <w:r w:rsidRPr="0094680F">
        <w:rPr>
          <w:rFonts w:ascii="Helvetica" w:eastAsia="Times New Roman" w:hAnsi="Helvetica" w:cs="Helvetica"/>
          <w:szCs w:val="22"/>
        </w:rPr>
        <w:t>.</w:t>
      </w:r>
      <w:r w:rsidRPr="0094680F">
        <w:rPr>
          <w:rFonts w:ascii="Arial" w:eastAsia="Times New Roman" w:hAnsi="Arial" w:cs="Arial"/>
          <w:szCs w:val="22"/>
        </w:rPr>
        <w:t xml:space="preserve"> </w:t>
      </w:r>
    </w:p>
    <w:p w:rsidR="0094680F" w:rsidRPr="00ED4AE4" w:rsidRDefault="0094680F" w:rsidP="0094680F">
      <w:pPr>
        <w:rPr>
          <w:b/>
          <w:bCs/>
        </w:rPr>
      </w:pPr>
      <w:r w:rsidRPr="00ED4AE4">
        <w:rPr>
          <w:b/>
          <w:bCs/>
        </w:rPr>
        <w:t>3.    Why would an investor purchase a convertible bond or a high-yield bond?</w:t>
      </w:r>
    </w:p>
    <w:p w:rsidR="0094680F" w:rsidRDefault="0094680F" w:rsidP="0094680F">
      <w:r>
        <w:t xml:space="preserve">  </w:t>
      </w:r>
      <w:r w:rsidR="00ED4AE4">
        <w:tab/>
      </w:r>
      <w:r>
        <w:t>Invest purchase a high yield bond to expect to get higher</w:t>
      </w:r>
      <w:r w:rsidR="00ED4AE4">
        <w:t xml:space="preserve"> return</w:t>
      </w:r>
    </w:p>
    <w:p w:rsidR="0094680F" w:rsidRPr="00ED4AE4" w:rsidRDefault="0094680F" w:rsidP="0094680F">
      <w:pPr>
        <w:rPr>
          <w:b/>
          <w:bCs/>
        </w:rPr>
      </w:pPr>
      <w:r w:rsidRPr="00ED4AE4">
        <w:rPr>
          <w:b/>
          <w:bCs/>
        </w:rPr>
        <w:t>4.    Describe three reasons a corporation would sell convertible bonds.</w:t>
      </w:r>
    </w:p>
    <w:p w:rsidR="00ED4AE4" w:rsidRPr="00ED4AE4" w:rsidRDefault="00ED4AE4" w:rsidP="00ED4AE4">
      <w:pPr>
        <w:spacing w:before="100" w:beforeAutospacing="1" w:after="100" w:afterAutospacing="1" w:line="240" w:lineRule="auto"/>
        <w:ind w:firstLine="720"/>
        <w:rPr>
          <w:rFonts w:ascii="Helvetica" w:eastAsia="Times New Roman" w:hAnsi="Helvetica" w:cs="Helvetica"/>
          <w:sz w:val="23"/>
          <w:szCs w:val="23"/>
        </w:rPr>
      </w:pPr>
      <w:r w:rsidRPr="00ED4AE4">
        <w:rPr>
          <w:rFonts w:ascii="Helvetica" w:eastAsia="Times New Roman" w:hAnsi="Helvetica" w:cs="Helvetica"/>
          <w:sz w:val="23"/>
          <w:szCs w:val="23"/>
        </w:rPr>
        <w:t>Regardless of how profitable the company is, convertible bondholders receive only a fixed, limited income until conversion. This is an advantage for the company because more of the </w:t>
      </w:r>
      <w:hyperlink r:id="rId12" w:history="1">
        <w:r w:rsidRPr="00ED4AE4">
          <w:rPr>
            <w:rFonts w:ascii="Helvetica" w:eastAsia="Times New Roman" w:hAnsi="Helvetica" w:cs="Helvetica"/>
            <w:sz w:val="23"/>
            <w:szCs w:val="23"/>
          </w:rPr>
          <w:t>operating income</w:t>
        </w:r>
      </w:hyperlink>
      <w:r w:rsidRPr="00ED4AE4">
        <w:rPr>
          <w:rFonts w:ascii="Helvetica" w:eastAsia="Times New Roman" w:hAnsi="Helvetica" w:cs="Helvetica"/>
          <w:sz w:val="23"/>
          <w:szCs w:val="23"/>
        </w:rPr>
        <w:t> is available for the common stockholders. The company only has to share operating income with the newly converted shareholders if it does well. Typically, bondholders are not entitled to vote for directors; voting control is in the hands of the common stockholders.</w:t>
      </w:r>
    </w:p>
    <w:p w:rsidR="00ED4AE4" w:rsidRPr="00ED4AE4" w:rsidRDefault="00ED4AE4" w:rsidP="00ED4AE4">
      <w:pPr>
        <w:spacing w:before="100" w:beforeAutospacing="1" w:after="100" w:afterAutospacing="1" w:line="240" w:lineRule="auto"/>
        <w:ind w:firstLine="720"/>
        <w:rPr>
          <w:rFonts w:ascii="Helvetica" w:eastAsia="Times New Roman" w:hAnsi="Helvetica" w:cs="Helvetica"/>
          <w:sz w:val="23"/>
          <w:szCs w:val="23"/>
        </w:rPr>
      </w:pPr>
      <w:r w:rsidRPr="00ED4AE4">
        <w:rPr>
          <w:rFonts w:ascii="Helvetica" w:eastAsia="Times New Roman" w:hAnsi="Helvetica" w:cs="Helvetica"/>
          <w:sz w:val="23"/>
          <w:szCs w:val="23"/>
        </w:rPr>
        <w:t>Thus, when a company is considering alternative means of financing, if the existing management group is concerned about losing voting control of the business, then selling convertible bonds will provide an advantage, although perhaps only temporarily, over financing with common stock. In addition, bond interest is a deductible expense for the issuing company, so for a company in the 30% tax bracket, the federal government in effect pays 30% of the interest charges on debt. Thus, bonds have advantages over common and </w:t>
      </w:r>
      <w:hyperlink r:id="rId13" w:history="1">
        <w:r w:rsidRPr="00ED4AE4">
          <w:rPr>
            <w:rFonts w:ascii="Helvetica" w:eastAsia="Times New Roman" w:hAnsi="Helvetica" w:cs="Helvetica"/>
            <w:sz w:val="23"/>
            <w:szCs w:val="23"/>
          </w:rPr>
          <w:t>preferred stock</w:t>
        </w:r>
      </w:hyperlink>
      <w:r w:rsidRPr="00ED4AE4">
        <w:rPr>
          <w:rFonts w:ascii="Helvetica" w:eastAsia="Times New Roman" w:hAnsi="Helvetica" w:cs="Helvetica"/>
          <w:sz w:val="23"/>
          <w:szCs w:val="23"/>
        </w:rPr>
        <w:t> to a corporation planning to raise new capital.</w:t>
      </w:r>
    </w:p>
    <w:p w:rsidR="0094680F" w:rsidRPr="00ED4AE4" w:rsidRDefault="0094680F" w:rsidP="00ED4AE4">
      <w:pPr>
        <w:rPr>
          <w:b/>
          <w:bCs/>
        </w:rPr>
      </w:pPr>
    </w:p>
    <w:p w:rsidR="00ED4AE4" w:rsidRDefault="00ED4AE4" w:rsidP="0094680F">
      <w:pPr>
        <w:rPr>
          <w:b/>
          <w:bCs/>
        </w:rPr>
      </w:pPr>
      <w:bookmarkStart w:id="0" w:name="_GoBack"/>
      <w:bookmarkEnd w:id="0"/>
    </w:p>
    <w:p w:rsidR="003A0032" w:rsidRDefault="0094680F" w:rsidP="0094680F">
      <w:pPr>
        <w:rPr>
          <w:b/>
          <w:bCs/>
        </w:rPr>
      </w:pPr>
      <w:r w:rsidRPr="00ED4AE4">
        <w:rPr>
          <w:b/>
          <w:bCs/>
        </w:rPr>
        <w:lastRenderedPageBreak/>
        <w:t>5.    Explain the methods that corporations can use to repay a bond issue.</w:t>
      </w:r>
    </w:p>
    <w:p w:rsidR="00ED4AE4" w:rsidRPr="00ED4AE4" w:rsidRDefault="00ED4AE4" w:rsidP="0094680F">
      <w:r w:rsidRPr="00ED4AE4">
        <w:t xml:space="preserve">  </w:t>
      </w:r>
      <w:r>
        <w:tab/>
      </w:r>
      <w:r w:rsidRPr="00ED4AE4">
        <w:t>Buy paying interest rate and capital gain according to the deal</w:t>
      </w:r>
    </w:p>
    <w:p w:rsidR="0094680F" w:rsidRDefault="0094680F"/>
    <w:sectPr w:rsidR="009468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59026C"/>
    <w:multiLevelType w:val="multilevel"/>
    <w:tmpl w:val="0D20F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80F"/>
    <w:rsid w:val="003A0032"/>
    <w:rsid w:val="0094680F"/>
    <w:rsid w:val="00ED4AE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4680F"/>
    <w:pPr>
      <w:spacing w:before="100" w:beforeAutospacing="1" w:after="100" w:afterAutospacing="1" w:line="240" w:lineRule="auto"/>
      <w:outlineLvl w:val="1"/>
    </w:pPr>
    <w:rPr>
      <w:rFonts w:ascii="Angsana New" w:eastAsia="Times New Roman" w:hAnsi="Angsana New" w:cs="Angsana New"/>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rsid w:val="0094680F"/>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DefaultParagraphFont"/>
    <w:rsid w:val="0094680F"/>
  </w:style>
  <w:style w:type="character" w:styleId="Hyperlink">
    <w:name w:val="Hyperlink"/>
    <w:basedOn w:val="DefaultParagraphFont"/>
    <w:uiPriority w:val="99"/>
    <w:semiHidden/>
    <w:unhideWhenUsed/>
    <w:rsid w:val="0094680F"/>
    <w:rPr>
      <w:color w:val="0000FF"/>
      <w:u w:val="single"/>
    </w:rPr>
  </w:style>
  <w:style w:type="character" w:customStyle="1" w:styleId="Heading2Char">
    <w:name w:val="Heading 2 Char"/>
    <w:basedOn w:val="DefaultParagraphFont"/>
    <w:link w:val="Heading2"/>
    <w:uiPriority w:val="9"/>
    <w:rsid w:val="0094680F"/>
    <w:rPr>
      <w:rFonts w:ascii="Angsana New" w:eastAsia="Times New Roman" w:hAnsi="Angsana New" w:cs="Angsana New"/>
      <w:b/>
      <w:bCs/>
      <w:sz w:val="36"/>
      <w:szCs w:val="36"/>
    </w:rPr>
  </w:style>
  <w:style w:type="paragraph" w:styleId="NormalWeb">
    <w:name w:val="Normal (Web)"/>
    <w:basedOn w:val="Normal"/>
    <w:uiPriority w:val="99"/>
    <w:semiHidden/>
    <w:unhideWhenUsed/>
    <w:rsid w:val="0094680F"/>
    <w:pPr>
      <w:spacing w:before="100" w:beforeAutospacing="1" w:after="100" w:afterAutospacing="1" w:line="240" w:lineRule="auto"/>
    </w:pPr>
    <w:rPr>
      <w:rFonts w:ascii="Angsana New" w:eastAsia="Times New Roman" w:hAnsi="Angsana New" w:cs="Angsana New"/>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4680F"/>
    <w:pPr>
      <w:spacing w:before="100" w:beforeAutospacing="1" w:after="100" w:afterAutospacing="1" w:line="240" w:lineRule="auto"/>
      <w:outlineLvl w:val="1"/>
    </w:pPr>
    <w:rPr>
      <w:rFonts w:ascii="Angsana New" w:eastAsia="Times New Roman" w:hAnsi="Angsana New" w:cs="Angsana New"/>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rsid w:val="0094680F"/>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DefaultParagraphFont"/>
    <w:rsid w:val="0094680F"/>
  </w:style>
  <w:style w:type="character" w:styleId="Hyperlink">
    <w:name w:val="Hyperlink"/>
    <w:basedOn w:val="DefaultParagraphFont"/>
    <w:uiPriority w:val="99"/>
    <w:semiHidden/>
    <w:unhideWhenUsed/>
    <w:rsid w:val="0094680F"/>
    <w:rPr>
      <w:color w:val="0000FF"/>
      <w:u w:val="single"/>
    </w:rPr>
  </w:style>
  <w:style w:type="character" w:customStyle="1" w:styleId="Heading2Char">
    <w:name w:val="Heading 2 Char"/>
    <w:basedOn w:val="DefaultParagraphFont"/>
    <w:link w:val="Heading2"/>
    <w:uiPriority w:val="9"/>
    <w:rsid w:val="0094680F"/>
    <w:rPr>
      <w:rFonts w:ascii="Angsana New" w:eastAsia="Times New Roman" w:hAnsi="Angsana New" w:cs="Angsana New"/>
      <w:b/>
      <w:bCs/>
      <w:sz w:val="36"/>
      <w:szCs w:val="36"/>
    </w:rPr>
  </w:style>
  <w:style w:type="paragraph" w:styleId="NormalWeb">
    <w:name w:val="Normal (Web)"/>
    <w:basedOn w:val="Normal"/>
    <w:uiPriority w:val="99"/>
    <w:semiHidden/>
    <w:unhideWhenUsed/>
    <w:rsid w:val="0094680F"/>
    <w:pPr>
      <w:spacing w:before="100" w:beforeAutospacing="1" w:after="100" w:afterAutospacing="1" w:line="240" w:lineRule="auto"/>
    </w:pPr>
    <w:rPr>
      <w:rFonts w:ascii="Angsana New" w:eastAsia="Times New Roman" w:hAnsi="Angsana New" w:cs="Angsana New"/>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831842">
      <w:bodyDiv w:val="1"/>
      <w:marLeft w:val="0"/>
      <w:marRight w:val="0"/>
      <w:marTop w:val="0"/>
      <w:marBottom w:val="0"/>
      <w:divBdr>
        <w:top w:val="none" w:sz="0" w:space="0" w:color="auto"/>
        <w:left w:val="none" w:sz="0" w:space="0" w:color="auto"/>
        <w:bottom w:val="none" w:sz="0" w:space="0" w:color="auto"/>
        <w:right w:val="none" w:sz="0" w:space="0" w:color="auto"/>
      </w:divBdr>
    </w:div>
    <w:div w:id="833380175">
      <w:bodyDiv w:val="1"/>
      <w:marLeft w:val="0"/>
      <w:marRight w:val="0"/>
      <w:marTop w:val="0"/>
      <w:marBottom w:val="0"/>
      <w:divBdr>
        <w:top w:val="none" w:sz="0" w:space="0" w:color="auto"/>
        <w:left w:val="none" w:sz="0" w:space="0" w:color="auto"/>
        <w:bottom w:val="none" w:sz="0" w:space="0" w:color="auto"/>
        <w:right w:val="none" w:sz="0" w:space="0" w:color="auto"/>
      </w:divBdr>
      <w:divsChild>
        <w:div w:id="1758938548">
          <w:marLeft w:val="0"/>
          <w:marRight w:val="6000"/>
          <w:marTop w:val="0"/>
          <w:marBottom w:val="0"/>
          <w:divBdr>
            <w:top w:val="none" w:sz="0" w:space="0" w:color="auto"/>
            <w:left w:val="none" w:sz="0" w:space="0" w:color="auto"/>
            <w:bottom w:val="none" w:sz="0" w:space="0" w:color="auto"/>
            <w:right w:val="none" w:sz="0" w:space="0" w:color="auto"/>
          </w:divBdr>
          <w:divsChild>
            <w:div w:id="1504930316">
              <w:marLeft w:val="0"/>
              <w:marRight w:val="0"/>
              <w:marTop w:val="0"/>
              <w:marBottom w:val="0"/>
              <w:divBdr>
                <w:top w:val="none" w:sz="0" w:space="0" w:color="auto"/>
                <w:left w:val="none" w:sz="0" w:space="0" w:color="auto"/>
                <w:bottom w:val="none" w:sz="0" w:space="0" w:color="auto"/>
                <w:right w:val="none" w:sz="0" w:space="0" w:color="auto"/>
              </w:divBdr>
              <w:divsChild>
                <w:div w:id="1303123028">
                  <w:marLeft w:val="0"/>
                  <w:marRight w:val="0"/>
                  <w:marTop w:val="0"/>
                  <w:marBottom w:val="0"/>
                  <w:divBdr>
                    <w:top w:val="none" w:sz="0" w:space="0" w:color="auto"/>
                    <w:left w:val="none" w:sz="0" w:space="0" w:color="auto"/>
                    <w:bottom w:val="none" w:sz="0" w:space="0" w:color="auto"/>
                    <w:right w:val="none" w:sz="0" w:space="0" w:color="auto"/>
                  </w:divBdr>
                  <w:divsChild>
                    <w:div w:id="74282234">
                      <w:marLeft w:val="0"/>
                      <w:marRight w:val="0"/>
                      <w:marTop w:val="0"/>
                      <w:marBottom w:val="0"/>
                      <w:divBdr>
                        <w:top w:val="none" w:sz="0" w:space="0" w:color="auto"/>
                        <w:left w:val="none" w:sz="0" w:space="0" w:color="auto"/>
                        <w:bottom w:val="none" w:sz="0" w:space="0" w:color="auto"/>
                        <w:right w:val="none" w:sz="0" w:space="0" w:color="auto"/>
                      </w:divBdr>
                      <w:divsChild>
                        <w:div w:id="1480801504">
                          <w:marLeft w:val="0"/>
                          <w:marRight w:val="0"/>
                          <w:marTop w:val="0"/>
                          <w:marBottom w:val="975"/>
                          <w:divBdr>
                            <w:top w:val="none" w:sz="0" w:space="0" w:color="auto"/>
                            <w:left w:val="none" w:sz="0" w:space="0" w:color="auto"/>
                            <w:bottom w:val="none" w:sz="0" w:space="0" w:color="auto"/>
                            <w:right w:val="none" w:sz="0" w:space="0" w:color="auto"/>
                          </w:divBdr>
                          <w:divsChild>
                            <w:div w:id="1867594878">
                              <w:marLeft w:val="0"/>
                              <w:marRight w:val="0"/>
                              <w:marTop w:val="0"/>
                              <w:marBottom w:val="0"/>
                              <w:divBdr>
                                <w:top w:val="none" w:sz="0" w:space="0" w:color="auto"/>
                                <w:left w:val="none" w:sz="0" w:space="0" w:color="auto"/>
                                <w:bottom w:val="none" w:sz="0" w:space="0" w:color="auto"/>
                                <w:right w:val="none" w:sz="0" w:space="0" w:color="auto"/>
                              </w:divBdr>
                              <w:divsChild>
                                <w:div w:id="21367421">
                                  <w:marLeft w:val="375"/>
                                  <w:marRight w:val="-6285"/>
                                  <w:marTop w:val="0"/>
                                  <w:marBottom w:val="0"/>
                                  <w:divBdr>
                                    <w:top w:val="none" w:sz="0" w:space="0" w:color="auto"/>
                                    <w:left w:val="none" w:sz="0" w:space="0" w:color="auto"/>
                                    <w:bottom w:val="none" w:sz="0" w:space="0" w:color="auto"/>
                                    <w:right w:val="none" w:sz="0" w:space="0" w:color="auto"/>
                                  </w:divBdr>
                                  <w:divsChild>
                                    <w:div w:id="1718435064">
                                      <w:marLeft w:val="0"/>
                                      <w:marRight w:val="0"/>
                                      <w:marTop w:val="75"/>
                                      <w:marBottom w:val="405"/>
                                      <w:divBdr>
                                        <w:top w:val="none" w:sz="0" w:space="0" w:color="auto"/>
                                        <w:left w:val="none" w:sz="0" w:space="0" w:color="auto"/>
                                        <w:bottom w:val="none" w:sz="0" w:space="0" w:color="auto"/>
                                        <w:right w:val="none" w:sz="0" w:space="0" w:color="auto"/>
                                      </w:divBdr>
                                      <w:divsChild>
                                        <w:div w:id="791750585">
                                          <w:marLeft w:val="0"/>
                                          <w:marRight w:val="0"/>
                                          <w:marTop w:val="0"/>
                                          <w:marBottom w:val="975"/>
                                          <w:divBdr>
                                            <w:top w:val="none" w:sz="0" w:space="0" w:color="auto"/>
                                            <w:left w:val="none" w:sz="0" w:space="0" w:color="auto"/>
                                            <w:bottom w:val="none" w:sz="0" w:space="0" w:color="auto"/>
                                            <w:right w:val="none" w:sz="0" w:space="0" w:color="auto"/>
                                          </w:divBdr>
                                          <w:divsChild>
                                            <w:div w:id="92191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9853583">
      <w:bodyDiv w:val="1"/>
      <w:marLeft w:val="0"/>
      <w:marRight w:val="0"/>
      <w:marTop w:val="0"/>
      <w:marBottom w:val="0"/>
      <w:divBdr>
        <w:top w:val="none" w:sz="0" w:space="0" w:color="auto"/>
        <w:left w:val="none" w:sz="0" w:space="0" w:color="auto"/>
        <w:bottom w:val="none" w:sz="0" w:space="0" w:color="auto"/>
        <w:right w:val="none" w:sz="0" w:space="0" w:color="auto"/>
      </w:divBdr>
    </w:div>
    <w:div w:id="2060787401">
      <w:bodyDiv w:val="1"/>
      <w:marLeft w:val="0"/>
      <w:marRight w:val="0"/>
      <w:marTop w:val="0"/>
      <w:marBottom w:val="0"/>
      <w:divBdr>
        <w:top w:val="none" w:sz="0" w:space="0" w:color="auto"/>
        <w:left w:val="none" w:sz="0" w:space="0" w:color="auto"/>
        <w:bottom w:val="none" w:sz="0" w:space="0" w:color="auto"/>
        <w:right w:val="none" w:sz="0" w:space="0" w:color="auto"/>
      </w:divBdr>
      <w:divsChild>
        <w:div w:id="1094671309">
          <w:marLeft w:val="0"/>
          <w:marRight w:val="6000"/>
          <w:marTop w:val="0"/>
          <w:marBottom w:val="0"/>
          <w:divBdr>
            <w:top w:val="none" w:sz="0" w:space="0" w:color="auto"/>
            <w:left w:val="none" w:sz="0" w:space="0" w:color="auto"/>
            <w:bottom w:val="none" w:sz="0" w:space="0" w:color="auto"/>
            <w:right w:val="none" w:sz="0" w:space="0" w:color="auto"/>
          </w:divBdr>
          <w:divsChild>
            <w:div w:id="337541303">
              <w:marLeft w:val="0"/>
              <w:marRight w:val="0"/>
              <w:marTop w:val="0"/>
              <w:marBottom w:val="0"/>
              <w:divBdr>
                <w:top w:val="none" w:sz="0" w:space="0" w:color="auto"/>
                <w:left w:val="none" w:sz="0" w:space="0" w:color="auto"/>
                <w:bottom w:val="none" w:sz="0" w:space="0" w:color="auto"/>
                <w:right w:val="none" w:sz="0" w:space="0" w:color="auto"/>
              </w:divBdr>
              <w:divsChild>
                <w:div w:id="397871445">
                  <w:marLeft w:val="0"/>
                  <w:marRight w:val="0"/>
                  <w:marTop w:val="0"/>
                  <w:marBottom w:val="0"/>
                  <w:divBdr>
                    <w:top w:val="none" w:sz="0" w:space="0" w:color="auto"/>
                    <w:left w:val="none" w:sz="0" w:space="0" w:color="auto"/>
                    <w:bottom w:val="none" w:sz="0" w:space="0" w:color="auto"/>
                    <w:right w:val="none" w:sz="0" w:space="0" w:color="auto"/>
                  </w:divBdr>
                  <w:divsChild>
                    <w:div w:id="77407385">
                      <w:marLeft w:val="0"/>
                      <w:marRight w:val="0"/>
                      <w:marTop w:val="0"/>
                      <w:marBottom w:val="0"/>
                      <w:divBdr>
                        <w:top w:val="none" w:sz="0" w:space="0" w:color="auto"/>
                        <w:left w:val="none" w:sz="0" w:space="0" w:color="auto"/>
                        <w:bottom w:val="none" w:sz="0" w:space="0" w:color="auto"/>
                        <w:right w:val="none" w:sz="0" w:space="0" w:color="auto"/>
                      </w:divBdr>
                      <w:divsChild>
                        <w:div w:id="997659843">
                          <w:marLeft w:val="0"/>
                          <w:marRight w:val="0"/>
                          <w:marTop w:val="0"/>
                          <w:marBottom w:val="975"/>
                          <w:divBdr>
                            <w:top w:val="none" w:sz="0" w:space="0" w:color="auto"/>
                            <w:left w:val="none" w:sz="0" w:space="0" w:color="auto"/>
                            <w:bottom w:val="none" w:sz="0" w:space="0" w:color="auto"/>
                            <w:right w:val="none" w:sz="0" w:space="0" w:color="auto"/>
                          </w:divBdr>
                          <w:divsChild>
                            <w:div w:id="511995169">
                              <w:marLeft w:val="0"/>
                              <w:marRight w:val="0"/>
                              <w:marTop w:val="0"/>
                              <w:marBottom w:val="0"/>
                              <w:divBdr>
                                <w:top w:val="none" w:sz="0" w:space="0" w:color="auto"/>
                                <w:left w:val="none" w:sz="0" w:space="0" w:color="auto"/>
                                <w:bottom w:val="none" w:sz="0" w:space="0" w:color="auto"/>
                                <w:right w:val="none" w:sz="0" w:space="0" w:color="auto"/>
                              </w:divBdr>
                              <w:divsChild>
                                <w:div w:id="1503668715">
                                  <w:marLeft w:val="375"/>
                                  <w:marRight w:val="-6285"/>
                                  <w:marTop w:val="0"/>
                                  <w:marBottom w:val="0"/>
                                  <w:divBdr>
                                    <w:top w:val="none" w:sz="0" w:space="0" w:color="auto"/>
                                    <w:left w:val="none" w:sz="0" w:space="0" w:color="auto"/>
                                    <w:bottom w:val="none" w:sz="0" w:space="0" w:color="auto"/>
                                    <w:right w:val="none" w:sz="0" w:space="0" w:color="auto"/>
                                  </w:divBdr>
                                  <w:divsChild>
                                    <w:div w:id="633606634">
                                      <w:marLeft w:val="0"/>
                                      <w:marRight w:val="0"/>
                                      <w:marTop w:val="75"/>
                                      <w:marBottom w:val="405"/>
                                      <w:divBdr>
                                        <w:top w:val="none" w:sz="0" w:space="0" w:color="auto"/>
                                        <w:left w:val="none" w:sz="0" w:space="0" w:color="auto"/>
                                        <w:bottom w:val="none" w:sz="0" w:space="0" w:color="auto"/>
                                        <w:right w:val="none" w:sz="0" w:space="0" w:color="auto"/>
                                      </w:divBdr>
                                      <w:divsChild>
                                        <w:div w:id="1656376299">
                                          <w:marLeft w:val="0"/>
                                          <w:marRight w:val="0"/>
                                          <w:marTop w:val="0"/>
                                          <w:marBottom w:val="975"/>
                                          <w:divBdr>
                                            <w:top w:val="none" w:sz="0" w:space="0" w:color="auto"/>
                                            <w:left w:val="none" w:sz="0" w:space="0" w:color="auto"/>
                                            <w:bottom w:val="none" w:sz="0" w:space="0" w:color="auto"/>
                                            <w:right w:val="none" w:sz="0" w:space="0" w:color="auto"/>
                                          </w:divBdr>
                                          <w:divsChild>
                                            <w:div w:id="204486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vestopedia.com/terms/b/bondholder.asp" TargetMode="External"/><Relationship Id="rId13" Type="http://schemas.openxmlformats.org/officeDocument/2006/relationships/hyperlink" Target="http://www.investopedia.com/terms/p/preferredstock.asp" TargetMode="External"/><Relationship Id="rId3" Type="http://schemas.microsoft.com/office/2007/relationships/stylesWithEffects" Target="stylesWithEffects.xml"/><Relationship Id="rId7" Type="http://schemas.openxmlformats.org/officeDocument/2006/relationships/hyperlink" Target="http://www.investopedia.com/terms/d/default2.asp" TargetMode="External"/><Relationship Id="rId12" Type="http://schemas.openxmlformats.org/officeDocument/2006/relationships/hyperlink" Target="http://www.investopedia.com/terms/o/operatingincome.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vestopedia.com/terms/r/real-property.asp" TargetMode="External"/><Relationship Id="rId11" Type="http://schemas.openxmlformats.org/officeDocument/2006/relationships/hyperlink" Target="http://www.investopedia.com/terms/e/earnings.as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nvestopedia.com/terms/a/asset.asp" TargetMode="External"/><Relationship Id="rId4" Type="http://schemas.openxmlformats.org/officeDocument/2006/relationships/settings" Target="settings.xml"/><Relationship Id="rId9" Type="http://schemas.openxmlformats.org/officeDocument/2006/relationships/hyperlink" Target="http://www.investopedia.com/terms/l/loan.asp" TargetMode="External"/><Relationship Id="rId14" Type="http://schemas.openxmlformats.org/officeDocument/2006/relationships/fontTable" Target="fontTable.xml"/></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537</Words>
  <Characters>3064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1</cp:revision>
  <dcterms:created xsi:type="dcterms:W3CDTF">2016-04-23T04:23:00Z</dcterms:created>
  <dcterms:modified xsi:type="dcterms:W3CDTF">2016-04-23T04:41:00Z</dcterms:modified>
</cp:coreProperties>
</file>