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00B700" w14:textId="77777777" w:rsidR="00782DF0" w:rsidRDefault="00782DF0">
      <w:r>
        <w:t>Allie Palmer</w:t>
      </w:r>
    </w:p>
    <w:p w14:paraId="6D79494C" w14:textId="77777777" w:rsidR="00782DF0" w:rsidRDefault="00782DF0">
      <w:r>
        <w:t>January 30</w:t>
      </w:r>
      <w:r w:rsidRPr="00782DF0">
        <w:rPr>
          <w:vertAlign w:val="superscript"/>
        </w:rPr>
        <w:t>th</w:t>
      </w:r>
      <w:r>
        <w:t>, 2019</w:t>
      </w:r>
    </w:p>
    <w:p w14:paraId="60FDE1B1" w14:textId="77777777" w:rsidR="00782DF0" w:rsidRDefault="00782DF0">
      <w:r>
        <w:t>Assignment 1</w:t>
      </w:r>
    </w:p>
    <w:p w14:paraId="06C83186" w14:textId="77777777" w:rsidR="00782DF0" w:rsidRDefault="00782DF0">
      <w:r>
        <w:t>EE461</w:t>
      </w:r>
    </w:p>
    <w:p w14:paraId="49209C93" w14:textId="77777777" w:rsidR="00782DF0" w:rsidRDefault="00782DF0"/>
    <w:p w14:paraId="03238467" w14:textId="77777777" w:rsidR="00782DF0" w:rsidRDefault="00782DF0">
      <w:r>
        <w:rPr>
          <w:noProof/>
        </w:rPr>
        <w:drawing>
          <wp:inline distT="0" distB="0" distL="0" distR="0" wp14:anchorId="45172DF1" wp14:editId="254A4EAB">
            <wp:extent cx="4572000" cy="2743200"/>
            <wp:effectExtent l="0" t="0" r="12700" b="12700"/>
            <wp:docPr id="4" name="Chart 4">
              <a:extLst xmlns:a="http://schemas.openxmlformats.org/drawingml/2006/main">
                <a:ext uri="{FF2B5EF4-FFF2-40B4-BE49-F238E27FC236}">
                  <a16:creationId xmlns:a16="http://schemas.microsoft.com/office/drawing/2014/main" id="{0C7FD9DE-486E-C542-91A8-77B427F5FF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049B2476" w14:textId="77777777" w:rsidR="00782DF0" w:rsidRDefault="00782DF0"/>
    <w:p w14:paraId="4ED26975" w14:textId="77777777" w:rsidR="00782DF0" w:rsidRDefault="00782DF0"/>
    <w:p w14:paraId="79248CE0" w14:textId="77777777" w:rsidR="00782DF0" w:rsidRPr="00782DF0" w:rsidRDefault="00782DF0" w:rsidP="00782DF0">
      <w:pPr>
        <w:rPr>
          <w:rFonts w:ascii="Calibri" w:eastAsia="Times New Roman" w:hAnsi="Calibri" w:cs="Times New Roman"/>
          <w:color w:val="000000"/>
        </w:rPr>
      </w:pPr>
      <w:r w:rsidRPr="00782DF0">
        <w:rPr>
          <w:rFonts w:ascii="Calibri" w:eastAsia="Times New Roman" w:hAnsi="Calibri" w:cs="Times New Roman"/>
          <w:color w:val="000000"/>
        </w:rPr>
        <w:t xml:space="preserve">We see an S shaped curve </w:t>
      </w:r>
      <w:r>
        <w:rPr>
          <w:rFonts w:ascii="Calibri" w:eastAsia="Times New Roman" w:hAnsi="Calibri" w:cs="Times New Roman"/>
          <w:color w:val="000000"/>
        </w:rPr>
        <w:t xml:space="preserve">created by the relationship between GNI pc PPP and Forest area. Overall, forest area increases as </w:t>
      </w:r>
      <w:r w:rsidRPr="00782DF0">
        <w:rPr>
          <w:rFonts w:ascii="Calibri" w:eastAsia="Times New Roman" w:hAnsi="Calibri" w:cs="Times New Roman"/>
          <w:color w:val="000000"/>
        </w:rPr>
        <w:t xml:space="preserve">GNI pc PPP </w:t>
      </w:r>
      <w:r>
        <w:rPr>
          <w:rFonts w:ascii="Calibri" w:eastAsia="Times New Roman" w:hAnsi="Calibri" w:cs="Times New Roman"/>
          <w:color w:val="000000"/>
        </w:rPr>
        <w:t xml:space="preserve">increases. The center of the graph we see very little variation in the forest area as GNI pc PPP increases which gives it the S shape. </w:t>
      </w:r>
    </w:p>
    <w:p w14:paraId="0A3D6710" w14:textId="77777777" w:rsidR="00782DF0" w:rsidRDefault="00782DF0"/>
    <w:p w14:paraId="70A783B0" w14:textId="588608DF" w:rsidR="00782DF0" w:rsidRDefault="00782DF0">
      <w:pPr>
        <w:rPr>
          <w:color w:val="FF0000"/>
        </w:rPr>
      </w:pPr>
    </w:p>
    <w:p w14:paraId="290F2702" w14:textId="1762D1FF" w:rsidR="00F47CCD" w:rsidRPr="00F47CCD" w:rsidRDefault="00F47CCD">
      <w:pPr>
        <w:rPr>
          <w:color w:val="FF0000"/>
        </w:rPr>
      </w:pPr>
      <w:r>
        <w:rPr>
          <w:color w:val="FF0000"/>
        </w:rPr>
        <w:t xml:space="preserve">Actually, this graph should be </w:t>
      </w:r>
      <w:r w:rsidR="000843D5">
        <w:rPr>
          <w:color w:val="FF0000"/>
        </w:rPr>
        <w:t>one year for many countries (across the world), not only Italy. So, here I’m a bit confused what each plot refer</w:t>
      </w:r>
      <w:r w:rsidR="006D61DE">
        <w:rPr>
          <w:color w:val="FF0000"/>
        </w:rPr>
        <w:t>s</w:t>
      </w:r>
      <w:r w:rsidR="000843D5">
        <w:rPr>
          <w:color w:val="FF0000"/>
        </w:rPr>
        <w:t xml:space="preserve"> to? </w:t>
      </w:r>
    </w:p>
    <w:p w14:paraId="6573DD96" w14:textId="77777777" w:rsidR="00782DF0" w:rsidRDefault="00782DF0">
      <w:r>
        <w:rPr>
          <w:noProof/>
        </w:rPr>
        <w:lastRenderedPageBreak/>
        <w:drawing>
          <wp:inline distT="0" distB="0" distL="0" distR="0" wp14:anchorId="2EB8C0FA" wp14:editId="00CFFBE9">
            <wp:extent cx="5943600" cy="3429000"/>
            <wp:effectExtent l="0" t="0" r="12700" b="12700"/>
            <wp:docPr id="1" name="Chart 1">
              <a:extLst xmlns:a="http://schemas.openxmlformats.org/drawingml/2006/main">
                <a:ext uri="{FF2B5EF4-FFF2-40B4-BE49-F238E27FC236}">
                  <a16:creationId xmlns:a16="http://schemas.microsoft.com/office/drawing/2014/main" id="{7EBFAA88-DE2F-3340-BEAB-FEC1158B28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2908BE00" w14:textId="77777777" w:rsidR="00782DF0" w:rsidRDefault="00782DF0"/>
    <w:p w14:paraId="4F6DDF2A" w14:textId="0C69D021" w:rsidR="00782DF0" w:rsidRDefault="00782DF0">
      <w:r>
        <w:t xml:space="preserve">The large difference of electricity consumption between Canada and Thailand and Mexico, it is difficult to see the change of consumption in the countries greatly. The slight upward slope of the Thailand and Mexico line overtime makes sense of since the countries are developing so as they develop over the years so does modern conveniences such as electric demand. Interestingly, Canada’s electric consumption has been on a decline in the recent years. This could be due a movement toward green energy which is a trend seen within developed countries. This graph shows the stark difference between developed and developing countries. Electric consumption can be used as a measurement of distribution of development in countries and how far they have to go. </w:t>
      </w:r>
    </w:p>
    <w:p w14:paraId="52623B03" w14:textId="1D7EB554" w:rsidR="001802B8" w:rsidRDefault="001802B8"/>
    <w:p w14:paraId="20FF1A81" w14:textId="0F2B3CDB" w:rsidR="001802B8" w:rsidRDefault="001802B8"/>
    <w:p w14:paraId="694144B9" w14:textId="15D82244" w:rsidR="006D61DE" w:rsidRDefault="006D61DE">
      <w:pPr>
        <w:rPr>
          <w:color w:val="FF0000"/>
          <w:lang w:bidi="th-TH"/>
        </w:rPr>
      </w:pPr>
      <w:r>
        <w:rPr>
          <w:color w:val="FF0000"/>
        </w:rPr>
        <w:t xml:space="preserve">Good </w:t>
      </w:r>
      <w:r w:rsidR="00AB3EEA">
        <w:rPr>
          <w:color w:val="FF0000"/>
        </w:rPr>
        <w:t xml:space="preserve">reasons to explain </w:t>
      </w:r>
      <w:r w:rsidR="000257B0">
        <w:rPr>
          <w:color w:val="FF0000"/>
          <w:lang w:bidi="th-TH"/>
        </w:rPr>
        <w:t xml:space="preserve">why we observe the </w:t>
      </w:r>
      <w:r w:rsidR="000547B1">
        <w:rPr>
          <w:color w:val="FF0000"/>
          <w:lang w:bidi="th-TH"/>
        </w:rPr>
        <w:t>trends</w:t>
      </w:r>
      <w:bookmarkStart w:id="0" w:name="_GoBack"/>
      <w:bookmarkEnd w:id="0"/>
      <w:r w:rsidR="000257B0">
        <w:rPr>
          <w:color w:val="FF0000"/>
          <w:lang w:bidi="th-TH"/>
        </w:rPr>
        <w:t xml:space="preserve"> like that.</w:t>
      </w:r>
    </w:p>
    <w:p w14:paraId="5DA353AB" w14:textId="3F6D9030" w:rsidR="001802B8" w:rsidRPr="001802B8" w:rsidRDefault="001802B8">
      <w:pPr>
        <w:rPr>
          <w:color w:val="FF0000"/>
        </w:rPr>
      </w:pPr>
      <w:r>
        <w:rPr>
          <w:color w:val="FF0000"/>
        </w:rPr>
        <w:t xml:space="preserve">Alternative to this indicator could be </w:t>
      </w:r>
      <w:r w:rsidR="006D61DE">
        <w:rPr>
          <w:color w:val="FF0000"/>
        </w:rPr>
        <w:t>electric consumption per capita so that we can see how electric consumption changes over time.</w:t>
      </w:r>
    </w:p>
    <w:sectPr w:rsidR="001802B8" w:rsidRPr="001802B8" w:rsidSect="008A0D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DF0"/>
    <w:rsid w:val="000257B0"/>
    <w:rsid w:val="000547B1"/>
    <w:rsid w:val="000843D5"/>
    <w:rsid w:val="001802B8"/>
    <w:rsid w:val="006D61DE"/>
    <w:rsid w:val="00782DF0"/>
    <w:rsid w:val="008A0DDF"/>
    <w:rsid w:val="00AB3EEA"/>
    <w:rsid w:val="00F47CC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6CA5DCDB"/>
  <w15:chartTrackingRefBased/>
  <w15:docId w15:val="{F0135A5C-C192-C94C-A540-BFAEBB311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8686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hart" Target="charts/chart2.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Forest</a:t>
            </a:r>
            <a:r>
              <a:rPr lang="en-US" baseline="0"/>
              <a:t> Area vs GNI pc PPP in Italy</a:t>
            </a:r>
          </a:p>
        </c:rich>
      </c:tx>
      <c:layout>
        <c:manualLayout>
          <c:xMode val="edge"/>
          <c:yMode val="edge"/>
          <c:x val="0.20154855643044617"/>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Forest area</c:v>
                </c:pt>
              </c:strCache>
            </c:strRef>
          </c:tx>
          <c:spPr>
            <a:ln w="19050" cap="rnd">
              <a:noFill/>
              <a:round/>
            </a:ln>
            <a:effectLst/>
          </c:spPr>
          <c:marker>
            <c:symbol val="circle"/>
            <c:size val="5"/>
            <c:spPr>
              <a:solidFill>
                <a:schemeClr val="accent1"/>
              </a:solidFill>
              <a:ln w="9525">
                <a:solidFill>
                  <a:schemeClr val="accent1"/>
                </a:solidFill>
              </a:ln>
              <a:effectLst/>
            </c:spPr>
          </c:marker>
          <c:xVal>
            <c:numRef>
              <c:f>Sheet1!$A$2:$A$10</c:f>
              <c:numCache>
                <c:formatCode>General</c:formatCode>
                <c:ptCount val="9"/>
                <c:pt idx="0">
                  <c:v>34490</c:v>
                </c:pt>
                <c:pt idx="1">
                  <c:v>34970</c:v>
                </c:pt>
                <c:pt idx="2">
                  <c:v>36250</c:v>
                </c:pt>
                <c:pt idx="3">
                  <c:v>36190</c:v>
                </c:pt>
                <c:pt idx="4">
                  <c:v>36070</c:v>
                </c:pt>
                <c:pt idx="5">
                  <c:v>36070</c:v>
                </c:pt>
                <c:pt idx="6">
                  <c:v>36440</c:v>
                </c:pt>
                <c:pt idx="7">
                  <c:v>38470</c:v>
                </c:pt>
                <c:pt idx="8">
                  <c:v>39640</c:v>
                </c:pt>
              </c:numCache>
            </c:numRef>
          </c:xVal>
          <c:yVal>
            <c:numRef>
              <c:f>Sheet1!$B$2:$B$10</c:f>
              <c:numCache>
                <c:formatCode>General</c:formatCode>
                <c:ptCount val="9"/>
                <c:pt idx="0">
                  <c:v>89742</c:v>
                </c:pt>
                <c:pt idx="1">
                  <c:v>90280</c:v>
                </c:pt>
                <c:pt idx="2">
                  <c:v>90818</c:v>
                </c:pt>
                <c:pt idx="3">
                  <c:v>91356</c:v>
                </c:pt>
                <c:pt idx="4">
                  <c:v>91894</c:v>
                </c:pt>
                <c:pt idx="5">
                  <c:v>92432</c:v>
                </c:pt>
                <c:pt idx="6">
                  <c:v>92970</c:v>
                </c:pt>
                <c:pt idx="7">
                  <c:v>93508</c:v>
                </c:pt>
              </c:numCache>
            </c:numRef>
          </c:yVal>
          <c:smooth val="0"/>
          <c:extLst>
            <c:ext xmlns:c16="http://schemas.microsoft.com/office/drawing/2014/chart" uri="{C3380CC4-5D6E-409C-BE32-E72D297353CC}">
              <c16:uniqueId val="{00000000-233A-0C4C-A1AA-86E04CB84CA2}"/>
            </c:ext>
          </c:extLst>
        </c:ser>
        <c:dLbls>
          <c:showLegendKey val="0"/>
          <c:showVal val="0"/>
          <c:showCatName val="0"/>
          <c:showSerName val="0"/>
          <c:showPercent val="0"/>
          <c:showBubbleSize val="0"/>
        </c:dLbls>
        <c:axId val="558665232"/>
        <c:axId val="588468496"/>
      </c:scatterChart>
      <c:valAx>
        <c:axId val="5586652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468496"/>
        <c:crosses val="autoZero"/>
        <c:crossBetween val="midCat"/>
      </c:valAx>
      <c:valAx>
        <c:axId val="5884684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866523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ELECTRIC</a:t>
            </a:r>
            <a:r>
              <a:rPr lang="en-US" baseline="0"/>
              <a:t> CONSUMPTION OVER TIME BY MEXICO CANADA AND THAILAND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Sheet2!$B$1</c:f>
              <c:strCache>
                <c:ptCount val="1"/>
                <c:pt idx="0">
                  <c:v>canada</c:v>
                </c:pt>
              </c:strCache>
            </c:strRef>
          </c:tx>
          <c:spPr>
            <a:ln w="19050" cap="rnd">
              <a:noFill/>
              <a:round/>
            </a:ln>
            <a:effectLst/>
          </c:spPr>
          <c:marker>
            <c:symbol val="circle"/>
            <c:size val="5"/>
            <c:spPr>
              <a:solidFill>
                <a:schemeClr val="accent1"/>
              </a:solidFill>
              <a:ln w="9525">
                <a:solidFill>
                  <a:schemeClr val="accent1"/>
                </a:solidFill>
              </a:ln>
              <a:effectLst/>
            </c:spPr>
          </c:marker>
          <c:xVal>
            <c:numRef>
              <c:f>Sheet2!$A$2:$A$24</c:f>
              <c:numCache>
                <c:formatCode>General</c:formatCode>
                <c:ptCount val="23"/>
                <c:pt idx="0">
                  <c:v>2016</c:v>
                </c:pt>
                <c:pt idx="1">
                  <c:v>2015</c:v>
                </c:pt>
                <c:pt idx="2">
                  <c:v>2014</c:v>
                </c:pt>
                <c:pt idx="3">
                  <c:v>2013</c:v>
                </c:pt>
                <c:pt idx="4">
                  <c:v>2012</c:v>
                </c:pt>
                <c:pt idx="5">
                  <c:v>2011</c:v>
                </c:pt>
                <c:pt idx="6">
                  <c:v>2010</c:v>
                </c:pt>
                <c:pt idx="7">
                  <c:v>2009</c:v>
                </c:pt>
                <c:pt idx="8">
                  <c:v>2008</c:v>
                </c:pt>
                <c:pt idx="9">
                  <c:v>2007</c:v>
                </c:pt>
                <c:pt idx="10">
                  <c:v>2006</c:v>
                </c:pt>
                <c:pt idx="11">
                  <c:v>2005</c:v>
                </c:pt>
                <c:pt idx="12">
                  <c:v>2004</c:v>
                </c:pt>
                <c:pt idx="13">
                  <c:v>2003</c:v>
                </c:pt>
                <c:pt idx="14">
                  <c:v>2002</c:v>
                </c:pt>
                <c:pt idx="15">
                  <c:v>2001</c:v>
                </c:pt>
                <c:pt idx="16">
                  <c:v>2000</c:v>
                </c:pt>
                <c:pt idx="17">
                  <c:v>1999</c:v>
                </c:pt>
                <c:pt idx="18">
                  <c:v>1998</c:v>
                </c:pt>
                <c:pt idx="19">
                  <c:v>1997</c:v>
                </c:pt>
                <c:pt idx="20">
                  <c:v>1996</c:v>
                </c:pt>
                <c:pt idx="21">
                  <c:v>1995</c:v>
                </c:pt>
                <c:pt idx="22">
                  <c:v>1994</c:v>
                </c:pt>
              </c:numCache>
            </c:numRef>
          </c:xVal>
          <c:yVal>
            <c:numRef>
              <c:f>Sheet2!$B$2:$B$24</c:f>
              <c:numCache>
                <c:formatCode>General</c:formatCode>
                <c:ptCount val="23"/>
                <c:pt idx="2">
                  <c:v>15545.5</c:v>
                </c:pt>
                <c:pt idx="3">
                  <c:v>15719.7</c:v>
                </c:pt>
                <c:pt idx="4">
                  <c:v>15320.6</c:v>
                </c:pt>
                <c:pt idx="5">
                  <c:v>15643</c:v>
                </c:pt>
                <c:pt idx="6">
                  <c:v>15269.6</c:v>
                </c:pt>
                <c:pt idx="7">
                  <c:v>15450.9</c:v>
                </c:pt>
                <c:pt idx="8">
                  <c:v>16378.1</c:v>
                </c:pt>
                <c:pt idx="9">
                  <c:v>16683.7</c:v>
                </c:pt>
                <c:pt idx="10">
                  <c:v>16508.7</c:v>
                </c:pt>
                <c:pt idx="11">
                  <c:v>16912.5</c:v>
                </c:pt>
                <c:pt idx="12">
                  <c:v>17235.400000000001</c:v>
                </c:pt>
                <c:pt idx="13">
                  <c:v>17191.2</c:v>
                </c:pt>
                <c:pt idx="14">
                  <c:v>16959.599999999999</c:v>
                </c:pt>
                <c:pt idx="15">
                  <c:v>16807.099999999999</c:v>
                </c:pt>
                <c:pt idx="16">
                  <c:v>16990.599999999999</c:v>
                </c:pt>
                <c:pt idx="17">
                  <c:v>16625.400000000001</c:v>
                </c:pt>
                <c:pt idx="18">
                  <c:v>16385.400000000001</c:v>
                </c:pt>
                <c:pt idx="19">
                  <c:v>16608.599999999999</c:v>
                </c:pt>
                <c:pt idx="20">
                  <c:v>16572.7</c:v>
                </c:pt>
                <c:pt idx="21">
                  <c:v>16503.3</c:v>
                </c:pt>
                <c:pt idx="22">
                  <c:v>16325.7</c:v>
                </c:pt>
              </c:numCache>
            </c:numRef>
          </c:yVal>
          <c:smooth val="0"/>
          <c:extLst>
            <c:ext xmlns:c16="http://schemas.microsoft.com/office/drawing/2014/chart" uri="{C3380CC4-5D6E-409C-BE32-E72D297353CC}">
              <c16:uniqueId val="{00000000-9E18-E549-A396-E7AA2CD09D9E}"/>
            </c:ext>
          </c:extLst>
        </c:ser>
        <c:ser>
          <c:idx val="1"/>
          <c:order val="1"/>
          <c:tx>
            <c:strRef>
              <c:f>Sheet2!$C$1</c:f>
              <c:strCache>
                <c:ptCount val="1"/>
                <c:pt idx="0">
                  <c:v>Thailand</c:v>
                </c:pt>
              </c:strCache>
            </c:strRef>
          </c:tx>
          <c:spPr>
            <a:ln w="19050" cap="rnd">
              <a:noFill/>
              <a:round/>
            </a:ln>
            <a:effectLst/>
          </c:spPr>
          <c:marker>
            <c:symbol val="circle"/>
            <c:size val="5"/>
            <c:spPr>
              <a:solidFill>
                <a:schemeClr val="accent2"/>
              </a:solidFill>
              <a:ln w="9525">
                <a:solidFill>
                  <a:schemeClr val="accent2"/>
                </a:solidFill>
              </a:ln>
              <a:effectLst/>
            </c:spPr>
          </c:marker>
          <c:xVal>
            <c:numRef>
              <c:f>Sheet2!$A$2:$A$24</c:f>
              <c:numCache>
                <c:formatCode>General</c:formatCode>
                <c:ptCount val="23"/>
                <c:pt idx="0">
                  <c:v>2016</c:v>
                </c:pt>
                <c:pt idx="1">
                  <c:v>2015</c:v>
                </c:pt>
                <c:pt idx="2">
                  <c:v>2014</c:v>
                </c:pt>
                <c:pt idx="3">
                  <c:v>2013</c:v>
                </c:pt>
                <c:pt idx="4">
                  <c:v>2012</c:v>
                </c:pt>
                <c:pt idx="5">
                  <c:v>2011</c:v>
                </c:pt>
                <c:pt idx="6">
                  <c:v>2010</c:v>
                </c:pt>
                <c:pt idx="7">
                  <c:v>2009</c:v>
                </c:pt>
                <c:pt idx="8">
                  <c:v>2008</c:v>
                </c:pt>
                <c:pt idx="9">
                  <c:v>2007</c:v>
                </c:pt>
                <c:pt idx="10">
                  <c:v>2006</c:v>
                </c:pt>
                <c:pt idx="11">
                  <c:v>2005</c:v>
                </c:pt>
                <c:pt idx="12">
                  <c:v>2004</c:v>
                </c:pt>
                <c:pt idx="13">
                  <c:v>2003</c:v>
                </c:pt>
                <c:pt idx="14">
                  <c:v>2002</c:v>
                </c:pt>
                <c:pt idx="15">
                  <c:v>2001</c:v>
                </c:pt>
                <c:pt idx="16">
                  <c:v>2000</c:v>
                </c:pt>
                <c:pt idx="17">
                  <c:v>1999</c:v>
                </c:pt>
                <c:pt idx="18">
                  <c:v>1998</c:v>
                </c:pt>
                <c:pt idx="19">
                  <c:v>1997</c:v>
                </c:pt>
                <c:pt idx="20">
                  <c:v>1996</c:v>
                </c:pt>
                <c:pt idx="21">
                  <c:v>1995</c:v>
                </c:pt>
                <c:pt idx="22">
                  <c:v>1994</c:v>
                </c:pt>
              </c:numCache>
            </c:numRef>
          </c:xVal>
          <c:yVal>
            <c:numRef>
              <c:f>Sheet2!$C$2:$C$24</c:f>
              <c:numCache>
                <c:formatCode>General</c:formatCode>
                <c:ptCount val="23"/>
                <c:pt idx="2">
                  <c:v>2539.6</c:v>
                </c:pt>
                <c:pt idx="3">
                  <c:v>2514.8000000000002</c:v>
                </c:pt>
                <c:pt idx="4">
                  <c:v>2443.3000000000002</c:v>
                </c:pt>
                <c:pt idx="5">
                  <c:v>2283.4</c:v>
                </c:pt>
                <c:pt idx="6">
                  <c:v>2307.3000000000002</c:v>
                </c:pt>
                <c:pt idx="7">
                  <c:v>2100.6999999999998</c:v>
                </c:pt>
                <c:pt idx="8">
                  <c:v>2105</c:v>
                </c:pt>
                <c:pt idx="9">
                  <c:v>2079.8000000000002</c:v>
                </c:pt>
                <c:pt idx="10">
                  <c:v>2004.9</c:v>
                </c:pt>
                <c:pt idx="11">
                  <c:v>1914.5</c:v>
                </c:pt>
                <c:pt idx="12">
                  <c:v>1827</c:v>
                </c:pt>
                <c:pt idx="13">
                  <c:v>1713.5</c:v>
                </c:pt>
                <c:pt idx="14">
                  <c:v>1617.5</c:v>
                </c:pt>
                <c:pt idx="15">
                  <c:v>1504.7</c:v>
                </c:pt>
                <c:pt idx="16">
                  <c:v>1447.9</c:v>
                </c:pt>
                <c:pt idx="17">
                  <c:v>1358.2</c:v>
                </c:pt>
                <c:pt idx="18">
                  <c:v>1358.8</c:v>
                </c:pt>
                <c:pt idx="19">
                  <c:v>1409.7</c:v>
                </c:pt>
                <c:pt idx="20">
                  <c:v>1379.6</c:v>
                </c:pt>
                <c:pt idx="21">
                  <c:v>1247.2</c:v>
                </c:pt>
                <c:pt idx="22">
                  <c:v>1105.8</c:v>
                </c:pt>
              </c:numCache>
            </c:numRef>
          </c:yVal>
          <c:smooth val="0"/>
          <c:extLst>
            <c:ext xmlns:c16="http://schemas.microsoft.com/office/drawing/2014/chart" uri="{C3380CC4-5D6E-409C-BE32-E72D297353CC}">
              <c16:uniqueId val="{00000001-9E18-E549-A396-E7AA2CD09D9E}"/>
            </c:ext>
          </c:extLst>
        </c:ser>
        <c:ser>
          <c:idx val="2"/>
          <c:order val="2"/>
          <c:tx>
            <c:strRef>
              <c:f>Sheet2!$D$1</c:f>
              <c:strCache>
                <c:ptCount val="1"/>
                <c:pt idx="0">
                  <c:v>Mexico</c:v>
                </c:pt>
              </c:strCache>
            </c:strRef>
          </c:tx>
          <c:spPr>
            <a:ln w="19050" cap="rnd">
              <a:noFill/>
              <a:round/>
            </a:ln>
            <a:effectLst/>
          </c:spPr>
          <c:marker>
            <c:symbol val="circle"/>
            <c:size val="5"/>
            <c:spPr>
              <a:solidFill>
                <a:schemeClr val="accent3"/>
              </a:solidFill>
              <a:ln w="9525">
                <a:solidFill>
                  <a:schemeClr val="accent3"/>
                </a:solidFill>
              </a:ln>
              <a:effectLst/>
            </c:spPr>
          </c:marker>
          <c:xVal>
            <c:numRef>
              <c:f>Sheet2!$A$2:$A$24</c:f>
              <c:numCache>
                <c:formatCode>General</c:formatCode>
                <c:ptCount val="23"/>
                <c:pt idx="0">
                  <c:v>2016</c:v>
                </c:pt>
                <c:pt idx="1">
                  <c:v>2015</c:v>
                </c:pt>
                <c:pt idx="2">
                  <c:v>2014</c:v>
                </c:pt>
                <c:pt idx="3">
                  <c:v>2013</c:v>
                </c:pt>
                <c:pt idx="4">
                  <c:v>2012</c:v>
                </c:pt>
                <c:pt idx="5">
                  <c:v>2011</c:v>
                </c:pt>
                <c:pt idx="6">
                  <c:v>2010</c:v>
                </c:pt>
                <c:pt idx="7">
                  <c:v>2009</c:v>
                </c:pt>
                <c:pt idx="8">
                  <c:v>2008</c:v>
                </c:pt>
                <c:pt idx="9">
                  <c:v>2007</c:v>
                </c:pt>
                <c:pt idx="10">
                  <c:v>2006</c:v>
                </c:pt>
                <c:pt idx="11">
                  <c:v>2005</c:v>
                </c:pt>
                <c:pt idx="12">
                  <c:v>2004</c:v>
                </c:pt>
                <c:pt idx="13">
                  <c:v>2003</c:v>
                </c:pt>
                <c:pt idx="14">
                  <c:v>2002</c:v>
                </c:pt>
                <c:pt idx="15">
                  <c:v>2001</c:v>
                </c:pt>
                <c:pt idx="16">
                  <c:v>2000</c:v>
                </c:pt>
                <c:pt idx="17">
                  <c:v>1999</c:v>
                </c:pt>
                <c:pt idx="18">
                  <c:v>1998</c:v>
                </c:pt>
                <c:pt idx="19">
                  <c:v>1997</c:v>
                </c:pt>
                <c:pt idx="20">
                  <c:v>1996</c:v>
                </c:pt>
                <c:pt idx="21">
                  <c:v>1995</c:v>
                </c:pt>
                <c:pt idx="22">
                  <c:v>1994</c:v>
                </c:pt>
              </c:numCache>
            </c:numRef>
          </c:xVal>
          <c:yVal>
            <c:numRef>
              <c:f>Sheet2!$D$2:$D$24</c:f>
              <c:numCache>
                <c:formatCode>General</c:formatCode>
                <c:ptCount val="23"/>
                <c:pt idx="2">
                  <c:v>2090.1999999999998</c:v>
                </c:pt>
                <c:pt idx="3">
                  <c:v>2079.1999999999998</c:v>
                </c:pt>
                <c:pt idx="4">
                  <c:v>2187.1999999999998</c:v>
                </c:pt>
                <c:pt idx="5">
                  <c:v>2153.6999999999998</c:v>
                </c:pt>
                <c:pt idx="6">
                  <c:v>1963.3</c:v>
                </c:pt>
                <c:pt idx="7">
                  <c:v>1942.8</c:v>
                </c:pt>
                <c:pt idx="8">
                  <c:v>1995.4</c:v>
                </c:pt>
                <c:pt idx="9">
                  <c:v>1998.7</c:v>
                </c:pt>
                <c:pt idx="10">
                  <c:v>1974.5</c:v>
                </c:pt>
                <c:pt idx="11">
                  <c:v>1951</c:v>
                </c:pt>
                <c:pt idx="12">
                  <c:v>1882.4</c:v>
                </c:pt>
                <c:pt idx="13">
                  <c:v>1952.5</c:v>
                </c:pt>
                <c:pt idx="14">
                  <c:v>1796.8</c:v>
                </c:pt>
                <c:pt idx="15">
                  <c:v>1784.9</c:v>
                </c:pt>
                <c:pt idx="16">
                  <c:v>1750.6</c:v>
                </c:pt>
                <c:pt idx="17">
                  <c:v>1641.8</c:v>
                </c:pt>
                <c:pt idx="18">
                  <c:v>1597.1</c:v>
                </c:pt>
                <c:pt idx="19">
                  <c:v>1486.2</c:v>
                </c:pt>
                <c:pt idx="20">
                  <c:v>1406</c:v>
                </c:pt>
                <c:pt idx="21">
                  <c:v>1383.9</c:v>
                </c:pt>
                <c:pt idx="22">
                  <c:v>1367.9</c:v>
                </c:pt>
              </c:numCache>
            </c:numRef>
          </c:yVal>
          <c:smooth val="0"/>
          <c:extLst>
            <c:ext xmlns:c16="http://schemas.microsoft.com/office/drawing/2014/chart" uri="{C3380CC4-5D6E-409C-BE32-E72D297353CC}">
              <c16:uniqueId val="{00000002-9E18-E549-A396-E7AA2CD09D9E}"/>
            </c:ext>
          </c:extLst>
        </c:ser>
        <c:dLbls>
          <c:showLegendKey val="0"/>
          <c:showVal val="0"/>
          <c:showCatName val="0"/>
          <c:showSerName val="0"/>
          <c:showPercent val="0"/>
          <c:showBubbleSize val="0"/>
        </c:dLbls>
        <c:axId val="560126688"/>
        <c:axId val="543580832"/>
      </c:scatterChart>
      <c:valAx>
        <c:axId val="5601266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580832"/>
        <c:crosses val="autoZero"/>
        <c:crossBetween val="midCat"/>
      </c:valAx>
      <c:valAx>
        <c:axId val="543580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012668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214</Words>
  <Characters>1222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ALLIE RAE PALMER</dc:creator>
  <cp:keywords/>
  <dc:description/>
  <cp:lastModifiedBy>Chayanee</cp:lastModifiedBy>
  <cp:revision>5</cp:revision>
  <dcterms:created xsi:type="dcterms:W3CDTF">2019-01-30T12:11:00Z</dcterms:created>
  <dcterms:modified xsi:type="dcterms:W3CDTF">2019-02-05T04:27:00Z</dcterms:modified>
</cp:coreProperties>
</file>