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B5D" w:rsidRPr="00B20685" w:rsidRDefault="00B20685" w:rsidP="00CB6F6D">
      <w:pPr>
        <w:rPr>
          <w:rFonts w:cs="DilleniaUPC"/>
          <w:sz w:val="28"/>
          <w:cs/>
        </w:rPr>
      </w:pPr>
      <w:r>
        <w:rPr>
          <w:rFonts w:cs="DilleniaUPC"/>
          <w:sz w:val="28"/>
        </w:rPr>
        <w:t xml:space="preserve">If anyone would like to read other articles or chapters not listed here, please email me at </w:t>
      </w:r>
      <w:hyperlink r:id="rId4" w:history="1">
        <w:r w:rsidRPr="00681271">
          <w:rPr>
            <w:rStyle w:val="Hyperlink"/>
            <w:rFonts w:cs="DilleniaUPC"/>
            <w:sz w:val="28"/>
          </w:rPr>
          <w:t>supruet@econ.tu.ac.th</w:t>
        </w:r>
      </w:hyperlink>
      <w:r>
        <w:rPr>
          <w:rFonts w:cs="DilleniaUPC"/>
          <w:sz w:val="28"/>
        </w:rPr>
        <w:t xml:space="preserve"> and send me the file or the url of that article/chapter for further approval</w:t>
      </w:r>
    </w:p>
    <w:p w:rsidR="00B20685" w:rsidRPr="00481B27" w:rsidRDefault="00B20685" w:rsidP="00B20685">
      <w:pPr>
        <w:rPr>
          <w:b/>
          <w:bCs/>
          <w:szCs w:val="22"/>
          <w:u w:val="single"/>
        </w:rPr>
      </w:pPr>
      <w:r>
        <w:rPr>
          <w:b/>
          <w:bCs/>
          <w:szCs w:val="22"/>
          <w:u w:val="single"/>
        </w:rPr>
        <w:t>Tax Evasion/Avoidance</w:t>
      </w:r>
    </w:p>
    <w:p w:rsidR="00B20685" w:rsidRPr="00481B27" w:rsidRDefault="00B20685" w:rsidP="00B20685">
      <w:pPr>
        <w:rPr>
          <w:szCs w:val="24"/>
        </w:rPr>
      </w:pPr>
      <w:r w:rsidRPr="00481B27">
        <w:rPr>
          <w:szCs w:val="24"/>
        </w:rPr>
        <w:t xml:space="preserve">Kaplow, Louis and Steven Shavell, 1994, ‘Why the Legal System Is Less Efficient than the Income Tax in Redistributing Income,’ </w:t>
      </w:r>
      <w:r w:rsidRPr="00481B27">
        <w:rPr>
          <w:i/>
          <w:iCs/>
          <w:szCs w:val="24"/>
        </w:rPr>
        <w:t>Journal of Legal Studies</w:t>
      </w:r>
      <w:r w:rsidRPr="00481B27">
        <w:rPr>
          <w:szCs w:val="24"/>
        </w:rPr>
        <w:t>, Vol. 23, No. 2, pp. 667-681**</w:t>
      </w:r>
    </w:p>
    <w:p w:rsidR="00E62B5D" w:rsidRPr="001161A4" w:rsidRDefault="00E62B5D" w:rsidP="003D6DB6">
      <w:pPr>
        <w:rPr>
          <w:szCs w:val="24"/>
        </w:rPr>
      </w:pPr>
      <w:r w:rsidRPr="001161A4">
        <w:rPr>
          <w:szCs w:val="24"/>
        </w:rPr>
        <w:t xml:space="preserve">Kroneberg, Clemens, Heintzeand, Isolde, and Guido Mehlkop, 2008, “On shoplifting and tax fraud: An action-theoretic analysis of crime,” </w:t>
      </w:r>
      <w:r w:rsidRPr="001161A4">
        <w:rPr>
          <w:i/>
          <w:iCs/>
          <w:szCs w:val="24"/>
        </w:rPr>
        <w:t>Sonderforchungsbereich No. 08-16</w:t>
      </w:r>
      <w:r w:rsidRPr="001161A4">
        <w:rPr>
          <w:szCs w:val="24"/>
        </w:rPr>
        <w:t>, University of Mannheim</w:t>
      </w:r>
    </w:p>
    <w:p w:rsidR="00E62B5D" w:rsidRPr="001161A4" w:rsidRDefault="00E62B5D" w:rsidP="003D6DB6">
      <w:pPr>
        <w:rPr>
          <w:szCs w:val="24"/>
          <w:cs/>
        </w:rPr>
      </w:pPr>
      <w:r w:rsidRPr="001161A4">
        <w:rPr>
          <w:szCs w:val="24"/>
        </w:rPr>
        <w:t>Lipatov, Vilen, 2008, “Social Interaction in Tax Evasion,”</w:t>
      </w:r>
      <w:r w:rsidRPr="001161A4">
        <w:rPr>
          <w:i/>
          <w:iCs/>
          <w:szCs w:val="24"/>
        </w:rPr>
        <w:t xml:space="preserve"> MPRA Paper No. 8829</w:t>
      </w:r>
      <w:r w:rsidRPr="001161A4">
        <w:rPr>
          <w:szCs w:val="24"/>
        </w:rPr>
        <w:t>, Munich Personal RePEc Archive</w:t>
      </w:r>
    </w:p>
    <w:p w:rsidR="00B20685" w:rsidRPr="00481B27" w:rsidRDefault="00B20685" w:rsidP="00B20685">
      <w:pPr>
        <w:rPr>
          <w:szCs w:val="22"/>
        </w:rPr>
      </w:pPr>
      <w:r w:rsidRPr="00481B27">
        <w:rPr>
          <w:szCs w:val="22"/>
        </w:rPr>
        <w:t xml:space="preserve">Murphy, Kristina, 2008, ‘Enforcing Tax Compliance: To Punish or Persuade?’ </w:t>
      </w:r>
      <w:r w:rsidRPr="00481B27">
        <w:rPr>
          <w:i/>
          <w:iCs/>
          <w:szCs w:val="22"/>
        </w:rPr>
        <w:t>Economic Analysis &amp; Policy</w:t>
      </w:r>
      <w:r w:rsidRPr="00481B27">
        <w:rPr>
          <w:szCs w:val="22"/>
        </w:rPr>
        <w:t>, Vol. 38 No. 1, pp. 113-136</w:t>
      </w:r>
    </w:p>
    <w:p w:rsidR="00B20685" w:rsidRPr="00481B27" w:rsidRDefault="00B20685" w:rsidP="00B20685">
      <w:pPr>
        <w:rPr>
          <w:szCs w:val="24"/>
        </w:rPr>
      </w:pPr>
      <w:r w:rsidRPr="00481B27">
        <w:rPr>
          <w:szCs w:val="24"/>
        </w:rPr>
        <w:t xml:space="preserve">Orviska, Marta, and John Hudson, 2003, ‘Tax Evasion, Civic Duty, and the Law abiding Citizen,’ </w:t>
      </w:r>
      <w:r w:rsidRPr="00481B27">
        <w:rPr>
          <w:i/>
          <w:iCs/>
          <w:szCs w:val="24"/>
        </w:rPr>
        <w:t>European Journal of Political Economy</w:t>
      </w:r>
      <w:r w:rsidRPr="00481B27">
        <w:rPr>
          <w:szCs w:val="24"/>
        </w:rPr>
        <w:t>, Volume 19, Issue 1,pp. 83-102</w:t>
      </w:r>
    </w:p>
    <w:p w:rsidR="00E62B5D" w:rsidRPr="001161A4" w:rsidRDefault="00E62B5D" w:rsidP="003D6DB6">
      <w:pPr>
        <w:rPr>
          <w:szCs w:val="24"/>
        </w:rPr>
      </w:pPr>
      <w:r w:rsidRPr="001161A4">
        <w:rPr>
          <w:szCs w:val="24"/>
        </w:rPr>
        <w:t xml:space="preserve">Pellegrino, Simone, Piacenza, Massimiliano, and Gilberto Turatic, 2008, “The Runaway Taxpayer Or: Is Prior Tax Notice Effective against Scofflaws?” </w:t>
      </w:r>
      <w:r w:rsidRPr="001161A4">
        <w:rPr>
          <w:i/>
          <w:iCs/>
          <w:szCs w:val="24"/>
        </w:rPr>
        <w:t>Department of Economics and Public Finance “G.Prato” Working Paper Series No. 1</w:t>
      </w:r>
      <w:r w:rsidRPr="001161A4">
        <w:rPr>
          <w:szCs w:val="24"/>
        </w:rPr>
        <w:t>, Universita Degli Studi di Torino</w:t>
      </w:r>
    </w:p>
    <w:p w:rsidR="00B20685" w:rsidRDefault="00E62B5D" w:rsidP="00B20685">
      <w:pPr>
        <w:rPr>
          <w:szCs w:val="24"/>
        </w:rPr>
      </w:pPr>
      <w:r w:rsidRPr="00481B27">
        <w:rPr>
          <w:szCs w:val="24"/>
        </w:rPr>
        <w:t xml:space="preserve">Tabbach, Avraham D., 2003, ‘Criminal Behavior, Sanctions, and Income Taxation: An Economic Analysis,’ </w:t>
      </w:r>
      <w:r w:rsidRPr="00481B27">
        <w:rPr>
          <w:i/>
          <w:iCs/>
          <w:szCs w:val="24"/>
        </w:rPr>
        <w:t>Journal of Legal Studies</w:t>
      </w:r>
      <w:r w:rsidRPr="00481B27">
        <w:rPr>
          <w:szCs w:val="24"/>
        </w:rPr>
        <w:t>, Vol. 32, No. 2, pp. 383-406</w:t>
      </w:r>
      <w:r w:rsidR="00B20685" w:rsidRPr="00B20685">
        <w:rPr>
          <w:szCs w:val="24"/>
        </w:rPr>
        <w:t xml:space="preserve"> </w:t>
      </w:r>
    </w:p>
    <w:p w:rsidR="00B20685" w:rsidRPr="00481B27" w:rsidRDefault="00B20685" w:rsidP="00B20685">
      <w:pPr>
        <w:rPr>
          <w:szCs w:val="24"/>
        </w:rPr>
      </w:pPr>
      <w:r w:rsidRPr="00481B27">
        <w:rPr>
          <w:szCs w:val="24"/>
        </w:rPr>
        <w:t xml:space="preserve">Usher, Dan, 2009, ‘Why the Legal System is Not Necessarily Less Efficient than the Income Tax In Redistributing Income,’ </w:t>
      </w:r>
      <w:r w:rsidRPr="00481B27">
        <w:rPr>
          <w:i/>
          <w:iCs/>
          <w:szCs w:val="24"/>
        </w:rPr>
        <w:t>Queen’s Economics Department Working Paper No. 1210</w:t>
      </w:r>
      <w:r w:rsidRPr="00481B27">
        <w:rPr>
          <w:szCs w:val="24"/>
        </w:rPr>
        <w:t>, Queen’s University**</w:t>
      </w:r>
    </w:p>
    <w:p w:rsidR="00E62B5D" w:rsidRPr="00481B27" w:rsidRDefault="00E62B5D" w:rsidP="00CB6F6D">
      <w:pPr>
        <w:rPr>
          <w:rFonts w:cs="cmbx10"/>
          <w:b/>
          <w:bCs/>
          <w:szCs w:val="22"/>
          <w:u w:val="single"/>
        </w:rPr>
      </w:pPr>
      <w:r w:rsidRPr="00481B27">
        <w:rPr>
          <w:rFonts w:cs="cmbx10"/>
          <w:b/>
          <w:bCs/>
          <w:szCs w:val="22"/>
          <w:u w:val="single"/>
        </w:rPr>
        <w:t>Family</w:t>
      </w:r>
    </w:p>
    <w:p w:rsidR="00E62B5D" w:rsidRPr="00481B27" w:rsidRDefault="00E62B5D" w:rsidP="009F5858">
      <w:pPr>
        <w:rPr>
          <w:szCs w:val="22"/>
        </w:rPr>
      </w:pPr>
      <w:r w:rsidRPr="00481B27">
        <w:rPr>
          <w:szCs w:val="22"/>
        </w:rPr>
        <w:t xml:space="preserve">Aizer, Anna, and Pedro Dal Bó, 2007, “Love, Hate and Murder: Commitment Devices in Violent Relationships,” </w:t>
      </w:r>
      <w:r w:rsidRPr="00481B27">
        <w:rPr>
          <w:i/>
          <w:iCs/>
          <w:szCs w:val="22"/>
        </w:rPr>
        <w:t>NBER Working Paper 13492</w:t>
      </w:r>
      <w:r w:rsidRPr="00481B27">
        <w:rPr>
          <w:szCs w:val="22"/>
        </w:rPr>
        <w:t xml:space="preserve">, National Bureau of Economic Research: Cambridge, MA. </w:t>
      </w:r>
    </w:p>
    <w:p w:rsidR="00E62B5D" w:rsidRPr="00481B27" w:rsidRDefault="00E62B5D" w:rsidP="0000176B">
      <w:pPr>
        <w:rPr>
          <w:szCs w:val="22"/>
        </w:rPr>
      </w:pPr>
      <w:r w:rsidRPr="00481B27">
        <w:rPr>
          <w:szCs w:val="22"/>
        </w:rPr>
        <w:t xml:space="preserve">Brinig, Margaret F., 1990, ‘Rings and Promises,’ </w:t>
      </w:r>
      <w:r w:rsidRPr="00481B27">
        <w:rPr>
          <w:i/>
          <w:iCs/>
          <w:szCs w:val="22"/>
        </w:rPr>
        <w:t>Journal of Law, Economics, &amp; Organization</w:t>
      </w:r>
      <w:r w:rsidRPr="00481B27">
        <w:rPr>
          <w:szCs w:val="22"/>
        </w:rPr>
        <w:t>, Vol. 6, No. 1, pp. 203-215</w:t>
      </w:r>
    </w:p>
    <w:p w:rsidR="00E62B5D" w:rsidRPr="00481B27" w:rsidRDefault="00E62B5D" w:rsidP="009F5858">
      <w:pPr>
        <w:rPr>
          <w:szCs w:val="22"/>
        </w:rPr>
      </w:pPr>
      <w:r w:rsidRPr="00481B27">
        <w:rPr>
          <w:szCs w:val="22"/>
        </w:rPr>
        <w:t xml:space="preserve">Blank, Rebecca M., Charles, Kerwin Kofi, and James M. Sallee, 2007, “Do State Law affect the Age of Marriage? A Cautionary Tale about Avoidance Behaviour,” </w:t>
      </w:r>
      <w:r w:rsidRPr="00481B27">
        <w:rPr>
          <w:i/>
          <w:iCs/>
          <w:szCs w:val="22"/>
        </w:rPr>
        <w:t>NBER Working Paper 13667</w:t>
      </w:r>
      <w:r w:rsidRPr="00481B27">
        <w:rPr>
          <w:szCs w:val="22"/>
        </w:rPr>
        <w:t>, National Bureau of Economic Research: Cambridge, MA</w:t>
      </w:r>
    </w:p>
    <w:p w:rsidR="00CC6474" w:rsidRDefault="00CC6474" w:rsidP="00CC6474">
      <w:pPr>
        <w:rPr>
          <w:szCs w:val="22"/>
        </w:rPr>
      </w:pPr>
      <w:r w:rsidRPr="00CC6474">
        <w:rPr>
          <w:szCs w:val="22"/>
        </w:rPr>
        <w:t>Cai</w:t>
      </w:r>
      <w:r>
        <w:rPr>
          <w:szCs w:val="22"/>
        </w:rPr>
        <w:t>,</w:t>
      </w:r>
      <w:r w:rsidRPr="00CC6474">
        <w:rPr>
          <w:szCs w:val="22"/>
        </w:rPr>
        <w:t xml:space="preserve"> Hongbin, Hanming Fang and Lixin Colin Xu</w:t>
      </w:r>
      <w:r>
        <w:rPr>
          <w:szCs w:val="22"/>
        </w:rPr>
        <w:t>, 2011, “</w:t>
      </w:r>
      <w:r w:rsidRPr="00CC6474">
        <w:rPr>
          <w:szCs w:val="22"/>
        </w:rPr>
        <w:t>Eat, Drink, Firms, Government: An Investigation of Corruption from the Entertainment and Travel Costs of Chinese Firms</w:t>
      </w:r>
      <w:r>
        <w:rPr>
          <w:szCs w:val="22"/>
        </w:rPr>
        <w:t xml:space="preserve">”, </w:t>
      </w:r>
      <w:r w:rsidRPr="00CC6474">
        <w:rPr>
          <w:i/>
          <w:iCs/>
          <w:szCs w:val="22"/>
        </w:rPr>
        <w:t>Journal of Law and Economics</w:t>
      </w:r>
      <w:r>
        <w:rPr>
          <w:szCs w:val="22"/>
        </w:rPr>
        <w:t xml:space="preserve">, </w:t>
      </w:r>
      <w:r w:rsidRPr="00CC6474">
        <w:rPr>
          <w:szCs w:val="22"/>
        </w:rPr>
        <w:t xml:space="preserve">Vol. 54, No. 1 (February 2011), pp. 55-78 </w:t>
      </w:r>
    </w:p>
    <w:p w:rsidR="00E62B5D" w:rsidRPr="00481B27" w:rsidRDefault="00E62B5D" w:rsidP="00CC6474">
      <w:pPr>
        <w:rPr>
          <w:szCs w:val="22"/>
        </w:rPr>
      </w:pPr>
      <w:r w:rsidRPr="00481B27">
        <w:rPr>
          <w:szCs w:val="22"/>
        </w:rPr>
        <w:lastRenderedPageBreak/>
        <w:t xml:space="preserve">Cohen, Lloyd, 1987, ‘Marriage, Divorce, and Quasi Rents; Or, "I Gave Him the Best Years of My Life",’ </w:t>
      </w:r>
      <w:r w:rsidRPr="00481B27">
        <w:rPr>
          <w:i/>
          <w:iCs/>
          <w:szCs w:val="22"/>
        </w:rPr>
        <w:t>Journal of Legal Studies</w:t>
      </w:r>
      <w:r w:rsidRPr="00481B27">
        <w:rPr>
          <w:szCs w:val="22"/>
        </w:rPr>
        <w:t>, Vol. 16, No. 2, pp. 267-303</w:t>
      </w:r>
    </w:p>
    <w:p w:rsidR="0000303A" w:rsidRDefault="0000303A" w:rsidP="0000303A">
      <w:pPr>
        <w:rPr>
          <w:szCs w:val="22"/>
        </w:rPr>
      </w:pPr>
      <w:r w:rsidRPr="0000303A">
        <w:rPr>
          <w:szCs w:val="22"/>
        </w:rPr>
        <w:t xml:space="preserve">Chou </w:t>
      </w:r>
      <w:r>
        <w:rPr>
          <w:szCs w:val="22"/>
        </w:rPr>
        <w:t>,</w:t>
      </w:r>
      <w:r w:rsidRPr="0000303A">
        <w:rPr>
          <w:szCs w:val="22"/>
        </w:rPr>
        <w:t>Shin‐Yi, Inas Rashad and Michael Grossman</w:t>
      </w:r>
      <w:r>
        <w:rPr>
          <w:szCs w:val="22"/>
        </w:rPr>
        <w:t>, 2008, “</w:t>
      </w:r>
      <w:r w:rsidRPr="0000303A">
        <w:rPr>
          <w:szCs w:val="22"/>
        </w:rPr>
        <w:t>Fast‐Food Restaurant Advertising on Television and Its Influence on Childhood Obesity</w:t>
      </w:r>
      <w:r>
        <w:rPr>
          <w:szCs w:val="22"/>
        </w:rPr>
        <w:t xml:space="preserve">,” </w:t>
      </w:r>
      <w:r w:rsidRPr="0000303A">
        <w:rPr>
          <w:i/>
          <w:iCs/>
          <w:szCs w:val="22"/>
        </w:rPr>
        <w:t>Journal of Law and Economics</w:t>
      </w:r>
      <w:r>
        <w:rPr>
          <w:szCs w:val="22"/>
        </w:rPr>
        <w:t xml:space="preserve">, </w:t>
      </w:r>
      <w:r w:rsidRPr="0000303A">
        <w:rPr>
          <w:szCs w:val="22"/>
        </w:rPr>
        <w:t>Vol. 51, No. 4 (November 2008), pp. 599-618</w:t>
      </w:r>
    </w:p>
    <w:p w:rsidR="006821D6" w:rsidRDefault="006821D6" w:rsidP="006821D6">
      <w:pPr>
        <w:rPr>
          <w:szCs w:val="22"/>
        </w:rPr>
      </w:pPr>
      <w:r w:rsidRPr="006821D6">
        <w:rPr>
          <w:szCs w:val="22"/>
        </w:rPr>
        <w:t>Khwaja</w:t>
      </w:r>
      <w:r>
        <w:rPr>
          <w:szCs w:val="22"/>
        </w:rPr>
        <w:t>,</w:t>
      </w:r>
      <w:r w:rsidRPr="006821D6">
        <w:rPr>
          <w:szCs w:val="22"/>
        </w:rPr>
        <w:t xml:space="preserve"> Ahmed, Frank Sloan and Yang Wang</w:t>
      </w:r>
      <w:r>
        <w:rPr>
          <w:szCs w:val="22"/>
        </w:rPr>
        <w:t>, 2009, “</w:t>
      </w:r>
      <w:r w:rsidRPr="006821D6">
        <w:rPr>
          <w:szCs w:val="22"/>
        </w:rPr>
        <w:t>Do Smokers Value Their Health and Longevity Less?</w:t>
      </w:r>
      <w:r>
        <w:rPr>
          <w:szCs w:val="22"/>
        </w:rPr>
        <w:t xml:space="preserve">” </w:t>
      </w:r>
      <w:r w:rsidRPr="006821D6">
        <w:rPr>
          <w:i/>
          <w:iCs/>
          <w:szCs w:val="22"/>
        </w:rPr>
        <w:t>Journal of Law and Economics</w:t>
      </w:r>
      <w:r>
        <w:rPr>
          <w:szCs w:val="22"/>
        </w:rPr>
        <w:t xml:space="preserve">, </w:t>
      </w:r>
      <w:r w:rsidRPr="006821D6">
        <w:rPr>
          <w:szCs w:val="22"/>
        </w:rPr>
        <w:t xml:space="preserve">Vol. 52, No. 1 (February 2009), pp. 171-196 </w:t>
      </w:r>
    </w:p>
    <w:p w:rsidR="00E62B5D" w:rsidRPr="00481B27" w:rsidRDefault="00E62B5D" w:rsidP="006821D6">
      <w:pPr>
        <w:rPr>
          <w:szCs w:val="22"/>
        </w:rPr>
      </w:pPr>
      <w:r w:rsidRPr="00481B27">
        <w:rPr>
          <w:szCs w:val="22"/>
        </w:rPr>
        <w:t xml:space="preserve">Klick, Jonathan and Thomas Stratmann, 2003, ‘The Effect of Abortion Legalization on Sexual Behavior: Evidence from Sexually Transmitted Diseases,’ </w:t>
      </w:r>
      <w:r w:rsidRPr="00481B27">
        <w:rPr>
          <w:i/>
          <w:iCs/>
          <w:szCs w:val="22"/>
        </w:rPr>
        <w:t>Journal of Legal Studies</w:t>
      </w:r>
      <w:r w:rsidRPr="00481B27">
        <w:rPr>
          <w:szCs w:val="22"/>
        </w:rPr>
        <w:t>, Vol. 32, No. 2, pp. 407-433</w:t>
      </w:r>
    </w:p>
    <w:p w:rsidR="00A616CB" w:rsidRDefault="00A616CB" w:rsidP="00A616CB">
      <w:pPr>
        <w:rPr>
          <w:szCs w:val="22"/>
        </w:rPr>
      </w:pPr>
      <w:r w:rsidRPr="00A616CB">
        <w:rPr>
          <w:szCs w:val="22"/>
        </w:rPr>
        <w:t>Matouschek</w:t>
      </w:r>
      <w:r>
        <w:rPr>
          <w:szCs w:val="22"/>
        </w:rPr>
        <w:t>,</w:t>
      </w:r>
      <w:r w:rsidRPr="00A616CB">
        <w:rPr>
          <w:szCs w:val="22"/>
        </w:rPr>
        <w:t xml:space="preserve"> Niko and Imran Rasul</w:t>
      </w:r>
      <w:r>
        <w:rPr>
          <w:szCs w:val="22"/>
        </w:rPr>
        <w:t>, 2008, “</w:t>
      </w:r>
      <w:r w:rsidRPr="00A616CB">
        <w:rPr>
          <w:szCs w:val="22"/>
        </w:rPr>
        <w:t>The Economics of the Marriage Contract: Theories and Evidence</w:t>
      </w:r>
      <w:r>
        <w:rPr>
          <w:szCs w:val="22"/>
        </w:rPr>
        <w:t xml:space="preserve">,” </w:t>
      </w:r>
      <w:r w:rsidRPr="00A616CB">
        <w:rPr>
          <w:i/>
          <w:iCs/>
          <w:szCs w:val="22"/>
        </w:rPr>
        <w:t>Journal of Law and Economics</w:t>
      </w:r>
      <w:r>
        <w:rPr>
          <w:szCs w:val="22"/>
        </w:rPr>
        <w:t xml:space="preserve">, </w:t>
      </w:r>
      <w:r w:rsidRPr="00A616CB">
        <w:rPr>
          <w:szCs w:val="22"/>
        </w:rPr>
        <w:t>Vol. 51, No. 1 (February 2008), pp. 59-110</w:t>
      </w:r>
    </w:p>
    <w:p w:rsidR="007F340F" w:rsidRDefault="007F340F" w:rsidP="007F340F">
      <w:pPr>
        <w:rPr>
          <w:szCs w:val="22"/>
        </w:rPr>
      </w:pPr>
      <w:r w:rsidRPr="007F340F">
        <w:rPr>
          <w:szCs w:val="22"/>
        </w:rPr>
        <w:t>Prescott</w:t>
      </w:r>
      <w:r>
        <w:rPr>
          <w:szCs w:val="22"/>
        </w:rPr>
        <w:t>, J.J.</w:t>
      </w:r>
      <w:r w:rsidRPr="007F340F">
        <w:rPr>
          <w:szCs w:val="22"/>
        </w:rPr>
        <w:t xml:space="preserve"> and Jonah E. Rockoff</w:t>
      </w:r>
      <w:r>
        <w:rPr>
          <w:szCs w:val="22"/>
        </w:rPr>
        <w:t>, 2011, “</w:t>
      </w:r>
      <w:r w:rsidRPr="007F340F">
        <w:rPr>
          <w:szCs w:val="22"/>
        </w:rPr>
        <w:t>Do Sex Offender Registration and Notification Laws Affect Criminal Behavior?</w:t>
      </w:r>
      <w:r>
        <w:rPr>
          <w:szCs w:val="22"/>
        </w:rPr>
        <w:t xml:space="preserve">” </w:t>
      </w:r>
      <w:r w:rsidRPr="007F340F">
        <w:rPr>
          <w:i/>
          <w:iCs/>
          <w:szCs w:val="22"/>
        </w:rPr>
        <w:t>Journal of Law and Economics</w:t>
      </w:r>
      <w:r>
        <w:rPr>
          <w:szCs w:val="22"/>
        </w:rPr>
        <w:t xml:space="preserve">, </w:t>
      </w:r>
      <w:r w:rsidRPr="007F340F">
        <w:rPr>
          <w:szCs w:val="22"/>
        </w:rPr>
        <w:t>Vol. 54, No. 1 (February 2011) pp. 161-206</w:t>
      </w:r>
    </w:p>
    <w:p w:rsidR="00E62B5D" w:rsidRPr="00481B27" w:rsidRDefault="00E62B5D" w:rsidP="007F340F">
      <w:pPr>
        <w:rPr>
          <w:szCs w:val="22"/>
        </w:rPr>
      </w:pPr>
      <w:r w:rsidRPr="00481B27">
        <w:rPr>
          <w:szCs w:val="22"/>
        </w:rPr>
        <w:t xml:space="preserve">Rasul, Imran, 2006, ‘Marriage Markets and Divorce Laws,’ </w:t>
      </w:r>
      <w:r w:rsidRPr="00481B27">
        <w:rPr>
          <w:i/>
          <w:iCs/>
          <w:szCs w:val="22"/>
        </w:rPr>
        <w:t>Journal of Law, Economics, &amp; Organization</w:t>
      </w:r>
      <w:r w:rsidRPr="00481B27">
        <w:rPr>
          <w:szCs w:val="22"/>
        </w:rPr>
        <w:t>, Vol. 22, No. 1, pp. 30-69</w:t>
      </w:r>
    </w:p>
    <w:p w:rsidR="00E62B5D" w:rsidRPr="00481B27" w:rsidRDefault="00E62B5D" w:rsidP="00CB6F6D">
      <w:pPr>
        <w:rPr>
          <w:szCs w:val="22"/>
        </w:rPr>
      </w:pPr>
      <w:r w:rsidRPr="00481B27">
        <w:rPr>
          <w:szCs w:val="22"/>
        </w:rPr>
        <w:t xml:space="preserve">Yi, Lu and Zhigang, Tao, 2009, ‘Contract Enforcement and Family Control of Business: Evidence from China,’ </w:t>
      </w:r>
      <w:r w:rsidRPr="00481B27">
        <w:rPr>
          <w:i/>
          <w:iCs/>
          <w:szCs w:val="22"/>
        </w:rPr>
        <w:t xml:space="preserve">MPRA Paper No. 18209, </w:t>
      </w:r>
      <w:r w:rsidRPr="00481B27">
        <w:rPr>
          <w:szCs w:val="22"/>
        </w:rPr>
        <w:t>June 2009</w:t>
      </w:r>
    </w:p>
    <w:p w:rsidR="00E62B5D" w:rsidRPr="00481B27" w:rsidRDefault="00B20685" w:rsidP="00CB6F6D">
      <w:pPr>
        <w:rPr>
          <w:b/>
          <w:bCs/>
          <w:szCs w:val="22"/>
          <w:u w:val="single"/>
        </w:rPr>
      </w:pPr>
      <w:r>
        <w:rPr>
          <w:b/>
          <w:bCs/>
          <w:szCs w:val="22"/>
          <w:u w:val="single"/>
        </w:rPr>
        <w:t>Legal Institution</w:t>
      </w:r>
    </w:p>
    <w:p w:rsidR="000E3DB4" w:rsidRDefault="000E3DB4" w:rsidP="000E3DB4">
      <w:pPr>
        <w:rPr>
          <w:szCs w:val="24"/>
        </w:rPr>
      </w:pPr>
      <w:r w:rsidRPr="00C07879">
        <w:rPr>
          <w:szCs w:val="24"/>
        </w:rPr>
        <w:t>Bhattacharya</w:t>
      </w:r>
      <w:r>
        <w:rPr>
          <w:szCs w:val="24"/>
        </w:rPr>
        <w:t>,</w:t>
      </w:r>
      <w:r w:rsidRPr="00C07879">
        <w:rPr>
          <w:szCs w:val="24"/>
        </w:rPr>
        <w:t xml:space="preserve"> Utpal, Neal Galpin and Bruce Haslem</w:t>
      </w:r>
      <w:r>
        <w:rPr>
          <w:szCs w:val="24"/>
        </w:rPr>
        <w:t>, 2007, “</w:t>
      </w:r>
      <w:r w:rsidRPr="00C07879">
        <w:rPr>
          <w:szCs w:val="24"/>
        </w:rPr>
        <w:t>The Home Court Advantage in International Corporate Litigation</w:t>
      </w:r>
      <w:r>
        <w:rPr>
          <w:szCs w:val="24"/>
        </w:rPr>
        <w:t>,”</w:t>
      </w:r>
      <w:r w:rsidRPr="000E3DB4">
        <w:rPr>
          <w:i/>
          <w:iCs/>
          <w:szCs w:val="24"/>
        </w:rPr>
        <w:t>Journal of Law and Economics</w:t>
      </w:r>
      <w:r>
        <w:rPr>
          <w:szCs w:val="24"/>
        </w:rPr>
        <w:t xml:space="preserve">, </w:t>
      </w:r>
      <w:r w:rsidRPr="00C07879">
        <w:rPr>
          <w:szCs w:val="24"/>
        </w:rPr>
        <w:t>Vol. 50, No. 4 (November 2007), pp. 625-660</w:t>
      </w:r>
    </w:p>
    <w:p w:rsidR="000E3DB4" w:rsidRDefault="000E3DB4" w:rsidP="000E3DB4">
      <w:pPr>
        <w:rPr>
          <w:szCs w:val="24"/>
        </w:rPr>
      </w:pPr>
      <w:r w:rsidRPr="000E3DB4">
        <w:rPr>
          <w:szCs w:val="24"/>
        </w:rPr>
        <w:t>Casas‐Arce</w:t>
      </w:r>
      <w:r>
        <w:rPr>
          <w:szCs w:val="24"/>
        </w:rPr>
        <w:t>,</w:t>
      </w:r>
      <w:r w:rsidRPr="000E3DB4">
        <w:rPr>
          <w:szCs w:val="24"/>
        </w:rPr>
        <w:t xml:space="preserve"> Pablo and Albert Saiz</w:t>
      </w:r>
      <w:r>
        <w:rPr>
          <w:szCs w:val="24"/>
        </w:rPr>
        <w:t>, 2010, “</w:t>
      </w:r>
      <w:r w:rsidRPr="000E3DB4">
        <w:rPr>
          <w:szCs w:val="24"/>
        </w:rPr>
        <w:t>Owning versus Renting: Do Courts Matter?</w:t>
      </w:r>
      <w:r>
        <w:rPr>
          <w:szCs w:val="24"/>
        </w:rPr>
        <w:t xml:space="preserve">” </w:t>
      </w:r>
      <w:r w:rsidRPr="000E3DB4">
        <w:rPr>
          <w:i/>
          <w:iCs/>
          <w:szCs w:val="24"/>
        </w:rPr>
        <w:t>Journal of Law and Economics</w:t>
      </w:r>
      <w:r>
        <w:rPr>
          <w:szCs w:val="24"/>
        </w:rPr>
        <w:t xml:space="preserve">, </w:t>
      </w:r>
      <w:r w:rsidRPr="000E3DB4">
        <w:rPr>
          <w:szCs w:val="24"/>
        </w:rPr>
        <w:t>Vol. 53, No. 1 (February 2010), pp. 137-165</w:t>
      </w:r>
    </w:p>
    <w:p w:rsidR="00E62B5D" w:rsidRDefault="00E62B5D" w:rsidP="009F5858">
      <w:pPr>
        <w:rPr>
          <w:szCs w:val="24"/>
        </w:rPr>
      </w:pPr>
      <w:r w:rsidRPr="00481B27">
        <w:rPr>
          <w:szCs w:val="24"/>
        </w:rPr>
        <w:t xml:space="preserve">Immordino, Giovanni and Michele Polo, 2008, “Judicial Errors and Innovative Activity,” </w:t>
      </w:r>
      <w:r w:rsidRPr="00481B27">
        <w:rPr>
          <w:i/>
          <w:iCs/>
          <w:szCs w:val="24"/>
        </w:rPr>
        <w:t>Working Paper No. 196</w:t>
      </w:r>
      <w:r w:rsidRPr="00481B27">
        <w:rPr>
          <w:szCs w:val="24"/>
        </w:rPr>
        <w:t>, CSEF Centre for Studies in Economics and Finance</w:t>
      </w:r>
    </w:p>
    <w:p w:rsidR="000E3DB4" w:rsidRDefault="000E3DB4" w:rsidP="000E3DB4">
      <w:pPr>
        <w:rPr>
          <w:szCs w:val="24"/>
        </w:rPr>
      </w:pPr>
      <w:r w:rsidRPr="000E3DB4">
        <w:rPr>
          <w:szCs w:val="24"/>
        </w:rPr>
        <w:t xml:space="preserve">Owens </w:t>
      </w:r>
      <w:r>
        <w:rPr>
          <w:szCs w:val="24"/>
        </w:rPr>
        <w:t>Emily G., 2009, “</w:t>
      </w:r>
      <w:r w:rsidRPr="000E3DB4">
        <w:rPr>
          <w:szCs w:val="24"/>
        </w:rPr>
        <w:t>More Time, Less Crime? Estimating the Incapacitative Effect of Sentence Enhancements</w:t>
      </w:r>
      <w:r>
        <w:rPr>
          <w:szCs w:val="24"/>
        </w:rPr>
        <w:t xml:space="preserve">,” </w:t>
      </w:r>
      <w:r w:rsidRPr="000E3DB4">
        <w:rPr>
          <w:i/>
          <w:iCs/>
          <w:szCs w:val="24"/>
        </w:rPr>
        <w:t>Journal of Law and Economics</w:t>
      </w:r>
      <w:r>
        <w:rPr>
          <w:szCs w:val="24"/>
        </w:rPr>
        <w:t xml:space="preserve">, </w:t>
      </w:r>
      <w:r w:rsidRPr="000E3DB4">
        <w:rPr>
          <w:szCs w:val="24"/>
        </w:rPr>
        <w:t>Vol. 52, No. 3 (August 2009) (pp. 551-579)</w:t>
      </w:r>
    </w:p>
    <w:p w:rsidR="00F04E28" w:rsidRDefault="00F04E28" w:rsidP="00F04E28">
      <w:r>
        <w:t>Rubin, Jared, 2009, “Social Insurance, Commitment, and the Origin of Law: Interest Bans in Early Christianity,”</w:t>
      </w:r>
      <w:r>
        <w:rPr>
          <w:rStyle w:val="HTMLCite"/>
        </w:rPr>
        <w:t xml:space="preserve"> Journal of Law and Economics</w:t>
      </w:r>
      <w:r w:rsidRPr="00F04E28">
        <w:rPr>
          <w:rStyle w:val="HTMLCite"/>
          <w:i w:val="0"/>
          <w:iCs w:val="0"/>
        </w:rPr>
        <w:t xml:space="preserve">, </w:t>
      </w:r>
      <w:r>
        <w:t xml:space="preserve">Vol. 52, No. 4 (November 2009), pp. 761-786 </w:t>
      </w:r>
    </w:p>
    <w:p w:rsidR="000E3DB4" w:rsidRDefault="000E3DB4" w:rsidP="000E3DB4">
      <w:pPr>
        <w:rPr>
          <w:szCs w:val="24"/>
        </w:rPr>
      </w:pPr>
      <w:r w:rsidRPr="00C07879">
        <w:rPr>
          <w:szCs w:val="24"/>
        </w:rPr>
        <w:t>Salzberger</w:t>
      </w:r>
      <w:r>
        <w:rPr>
          <w:szCs w:val="24"/>
        </w:rPr>
        <w:t>,</w:t>
      </w:r>
      <w:r w:rsidRPr="00C07879">
        <w:rPr>
          <w:szCs w:val="24"/>
        </w:rPr>
        <w:t xml:space="preserve"> Eli and Paul Fenn</w:t>
      </w:r>
      <w:r>
        <w:rPr>
          <w:szCs w:val="24"/>
        </w:rPr>
        <w:t>, 1999, “</w:t>
      </w:r>
      <w:r w:rsidRPr="00C07879">
        <w:rPr>
          <w:szCs w:val="24"/>
        </w:rPr>
        <w:t>Judicial Independence: Some Evidence from the English Court of Appeal</w:t>
      </w:r>
      <w:r>
        <w:rPr>
          <w:szCs w:val="24"/>
        </w:rPr>
        <w:t xml:space="preserve">,” </w:t>
      </w:r>
      <w:r w:rsidRPr="000E3DB4">
        <w:rPr>
          <w:i/>
          <w:iCs/>
          <w:szCs w:val="24"/>
        </w:rPr>
        <w:t>Journal of Law and Economics</w:t>
      </w:r>
      <w:r>
        <w:rPr>
          <w:szCs w:val="24"/>
        </w:rPr>
        <w:t xml:space="preserve">, </w:t>
      </w:r>
      <w:r w:rsidRPr="00C07879">
        <w:rPr>
          <w:szCs w:val="24"/>
        </w:rPr>
        <w:t>Vol. 42, No. 2 (October 1999), pp. 831-847</w:t>
      </w:r>
    </w:p>
    <w:p w:rsidR="00D5759E" w:rsidRDefault="00D5759E" w:rsidP="00D5759E">
      <w:pPr>
        <w:rPr>
          <w:szCs w:val="24"/>
        </w:rPr>
      </w:pPr>
      <w:r w:rsidRPr="001161A4">
        <w:rPr>
          <w:szCs w:val="24"/>
        </w:rPr>
        <w:t>Schweizer Urs, 2008, “Legal Damages for Losses of Chances,” Discussion Paper No. 235, Governance and the Efficiency of Economic Systems GESY.</w:t>
      </w:r>
    </w:p>
    <w:p w:rsidR="00E62B5D" w:rsidRPr="00481B27" w:rsidRDefault="00E62B5D" w:rsidP="001C336A">
      <w:pPr>
        <w:rPr>
          <w:b/>
          <w:bCs/>
          <w:szCs w:val="22"/>
          <w:u w:val="single"/>
        </w:rPr>
      </w:pPr>
      <w:r w:rsidRPr="00481B27">
        <w:rPr>
          <w:b/>
          <w:bCs/>
          <w:szCs w:val="22"/>
          <w:u w:val="single"/>
        </w:rPr>
        <w:lastRenderedPageBreak/>
        <w:t>Intellectual Property</w:t>
      </w:r>
    </w:p>
    <w:p w:rsidR="003B011E" w:rsidRDefault="003B011E" w:rsidP="003B011E">
      <w:pPr>
        <w:rPr>
          <w:szCs w:val="24"/>
        </w:rPr>
      </w:pPr>
      <w:r w:rsidRPr="003B011E">
        <w:rPr>
          <w:szCs w:val="24"/>
        </w:rPr>
        <w:t>Bakos</w:t>
      </w:r>
      <w:r>
        <w:rPr>
          <w:szCs w:val="24"/>
        </w:rPr>
        <w:t>,</w:t>
      </w:r>
      <w:r w:rsidRPr="003B011E">
        <w:rPr>
          <w:szCs w:val="24"/>
        </w:rPr>
        <w:t xml:space="preserve"> </w:t>
      </w:r>
      <w:r w:rsidRPr="003B011E">
        <w:rPr>
          <w:szCs w:val="24"/>
        </w:rPr>
        <w:t>Yannis, Erik Brynjolfsson and Douglas Lichtman</w:t>
      </w:r>
      <w:r>
        <w:rPr>
          <w:szCs w:val="24"/>
        </w:rPr>
        <w:t>, 1999, “</w:t>
      </w:r>
      <w:r w:rsidRPr="003B011E">
        <w:rPr>
          <w:szCs w:val="24"/>
        </w:rPr>
        <w:t>Shared Information Goods</w:t>
      </w:r>
      <w:r>
        <w:rPr>
          <w:szCs w:val="24"/>
        </w:rPr>
        <w:t xml:space="preserve">,” </w:t>
      </w:r>
      <w:r w:rsidRPr="003B011E">
        <w:rPr>
          <w:i/>
          <w:iCs/>
          <w:szCs w:val="24"/>
        </w:rPr>
        <w:t>Journal of Law and Economics</w:t>
      </w:r>
      <w:r>
        <w:rPr>
          <w:szCs w:val="24"/>
        </w:rPr>
        <w:t xml:space="preserve">, </w:t>
      </w:r>
      <w:r w:rsidRPr="003B011E">
        <w:rPr>
          <w:szCs w:val="24"/>
        </w:rPr>
        <w:t xml:space="preserve">Vol. 42, No. 1 (April 1999), pp. 117-156 </w:t>
      </w:r>
    </w:p>
    <w:p w:rsidR="00E62B5D" w:rsidRPr="001161A4" w:rsidRDefault="00E62B5D" w:rsidP="003B011E">
      <w:pPr>
        <w:rPr>
          <w:szCs w:val="24"/>
        </w:rPr>
      </w:pPr>
      <w:r w:rsidRPr="001161A4">
        <w:rPr>
          <w:szCs w:val="24"/>
        </w:rPr>
        <w:t xml:space="preserve">Erkal, Nisvan and Suzanne Scotchmer, 2007, “Scarcity of Ideas and Options to Invest in R&amp;D,” </w:t>
      </w:r>
      <w:r w:rsidRPr="001161A4">
        <w:rPr>
          <w:i/>
          <w:iCs/>
          <w:szCs w:val="24"/>
        </w:rPr>
        <w:t>Research Paper Number 1035</w:t>
      </w:r>
      <w:r w:rsidRPr="001161A4">
        <w:rPr>
          <w:szCs w:val="24"/>
        </w:rPr>
        <w:t>, Department of Economics, University of Melbourne, December 2007</w:t>
      </w:r>
    </w:p>
    <w:p w:rsidR="003B011E" w:rsidRDefault="003B011E" w:rsidP="003B011E">
      <w:pPr>
        <w:rPr>
          <w:szCs w:val="22"/>
        </w:rPr>
      </w:pPr>
      <w:r w:rsidRPr="003B011E">
        <w:rPr>
          <w:szCs w:val="22"/>
        </w:rPr>
        <w:t>Hazlett</w:t>
      </w:r>
      <w:r>
        <w:rPr>
          <w:szCs w:val="22"/>
        </w:rPr>
        <w:t>,</w:t>
      </w:r>
      <w:r w:rsidRPr="003B011E">
        <w:rPr>
          <w:szCs w:val="22"/>
        </w:rPr>
        <w:t xml:space="preserve"> </w:t>
      </w:r>
      <w:r w:rsidRPr="003B011E">
        <w:rPr>
          <w:szCs w:val="22"/>
        </w:rPr>
        <w:t>Thomas W.</w:t>
      </w:r>
      <w:r>
        <w:rPr>
          <w:szCs w:val="22"/>
        </w:rPr>
        <w:t>, 1998, “</w:t>
      </w:r>
      <w:r w:rsidRPr="003B011E">
        <w:rPr>
          <w:szCs w:val="22"/>
        </w:rPr>
        <w:t>The Law and Economics of Property Rights to Radio Spectrum: Introduction</w:t>
      </w:r>
      <w:r>
        <w:rPr>
          <w:szCs w:val="22"/>
        </w:rPr>
        <w:t xml:space="preserve">,” </w:t>
      </w:r>
      <w:r w:rsidRPr="003B011E">
        <w:rPr>
          <w:i/>
          <w:iCs/>
          <w:szCs w:val="22"/>
        </w:rPr>
        <w:t>Journal of Law and Economics</w:t>
      </w:r>
      <w:r>
        <w:rPr>
          <w:szCs w:val="22"/>
        </w:rPr>
        <w:t xml:space="preserve">, </w:t>
      </w:r>
      <w:r w:rsidRPr="003B011E">
        <w:rPr>
          <w:szCs w:val="22"/>
        </w:rPr>
        <w:t>Vol. 41, No. S2 (October 1998), pp. 521-522</w:t>
      </w:r>
    </w:p>
    <w:p w:rsidR="00E62B5D" w:rsidRPr="00481B27" w:rsidRDefault="00E62B5D" w:rsidP="007926AC">
      <w:pPr>
        <w:rPr>
          <w:szCs w:val="22"/>
        </w:rPr>
      </w:pPr>
      <w:r w:rsidRPr="00481B27">
        <w:rPr>
          <w:szCs w:val="22"/>
        </w:rPr>
        <w:t xml:space="preserve">Martínez-Sánchez, Francisco, 2008, “Learning by Copying,” </w:t>
      </w:r>
      <w:r w:rsidRPr="00481B27">
        <w:rPr>
          <w:i/>
          <w:iCs/>
          <w:szCs w:val="22"/>
        </w:rPr>
        <w:t>ThE Papers No. 08/05</w:t>
      </w:r>
      <w:r w:rsidRPr="00481B27">
        <w:rPr>
          <w:szCs w:val="22"/>
        </w:rPr>
        <w:t>, Department of Economic Theory and Economic History, University of Granada</w:t>
      </w:r>
    </w:p>
    <w:p w:rsidR="003B011E" w:rsidRDefault="003B011E" w:rsidP="003B011E">
      <w:pPr>
        <w:rPr>
          <w:szCs w:val="24"/>
        </w:rPr>
      </w:pPr>
      <w:r w:rsidRPr="003B011E">
        <w:rPr>
          <w:szCs w:val="24"/>
        </w:rPr>
        <w:t>Philipson</w:t>
      </w:r>
      <w:r>
        <w:rPr>
          <w:szCs w:val="24"/>
        </w:rPr>
        <w:t>,</w:t>
      </w:r>
      <w:r w:rsidRPr="003B011E">
        <w:rPr>
          <w:szCs w:val="24"/>
        </w:rPr>
        <w:t xml:space="preserve"> </w:t>
      </w:r>
      <w:r w:rsidRPr="003B011E">
        <w:rPr>
          <w:szCs w:val="24"/>
        </w:rPr>
        <w:t>Tomas J.</w:t>
      </w:r>
      <w:r>
        <w:rPr>
          <w:szCs w:val="24"/>
        </w:rPr>
        <w:t>, 2002, “</w:t>
      </w:r>
      <w:r w:rsidRPr="003B011E">
        <w:rPr>
          <w:szCs w:val="24"/>
        </w:rPr>
        <w:t>The Regulation of Medical Innovation and Pharmaceutical Markets</w:t>
      </w:r>
      <w:r>
        <w:rPr>
          <w:szCs w:val="24"/>
        </w:rPr>
        <w:t>,”</w:t>
      </w:r>
      <w:r w:rsidRPr="003B011E">
        <w:rPr>
          <w:szCs w:val="24"/>
        </w:rPr>
        <w:t xml:space="preserve"> </w:t>
      </w:r>
      <w:r w:rsidRPr="003B011E">
        <w:rPr>
          <w:i/>
          <w:iCs/>
          <w:szCs w:val="24"/>
        </w:rPr>
        <w:t>Journal of Law and Economics</w:t>
      </w:r>
      <w:r>
        <w:rPr>
          <w:i/>
          <w:iCs/>
          <w:szCs w:val="24"/>
        </w:rPr>
        <w:t xml:space="preserve">, </w:t>
      </w:r>
      <w:r w:rsidRPr="003B011E">
        <w:rPr>
          <w:szCs w:val="24"/>
        </w:rPr>
        <w:t>Vol. 45, No. S2, Part 2 (October 2002), pp. 583-586</w:t>
      </w:r>
    </w:p>
    <w:p w:rsidR="00E62B5D" w:rsidRPr="00481B27" w:rsidRDefault="00E62B5D" w:rsidP="00FF59B5">
      <w:pPr>
        <w:rPr>
          <w:szCs w:val="22"/>
        </w:rPr>
      </w:pPr>
      <w:r w:rsidRPr="00481B27">
        <w:rPr>
          <w:szCs w:val="22"/>
        </w:rPr>
        <w:t>Posner, Richard A., 2005, ‘Intellectual Property: The Law and Economic Approach,’</w:t>
      </w:r>
      <w:r w:rsidRPr="00481B27">
        <w:rPr>
          <w:i/>
          <w:iCs/>
          <w:szCs w:val="22"/>
        </w:rPr>
        <w:t xml:space="preserve"> Journal of Economic Perspectives</w:t>
      </w:r>
      <w:r w:rsidRPr="00481B27">
        <w:rPr>
          <w:szCs w:val="22"/>
        </w:rPr>
        <w:t>, Vol. 19, No. 2, pp. 57-73</w:t>
      </w:r>
    </w:p>
    <w:p w:rsidR="00E62B5D" w:rsidRPr="001161A4" w:rsidRDefault="00E62B5D" w:rsidP="00FF59B5">
      <w:pPr>
        <w:rPr>
          <w:szCs w:val="24"/>
        </w:rPr>
      </w:pPr>
      <w:r w:rsidRPr="001161A4">
        <w:rPr>
          <w:szCs w:val="24"/>
        </w:rPr>
        <w:t>Schmidt, Klaus M., 2008, “Complementary Patents and Market Structure,”</w:t>
      </w:r>
      <w:r w:rsidRPr="001161A4">
        <w:rPr>
          <w:i/>
          <w:iCs/>
          <w:szCs w:val="24"/>
        </w:rPr>
        <w:t xml:space="preserve"> Discussion Paper No. 249</w:t>
      </w:r>
      <w:r w:rsidRPr="001161A4">
        <w:rPr>
          <w:szCs w:val="24"/>
        </w:rPr>
        <w:t>, Governance and the Efficiency of Economic Systems GESY.</w:t>
      </w:r>
    </w:p>
    <w:p w:rsidR="00E62B5D" w:rsidRPr="001161A4" w:rsidRDefault="00E62B5D" w:rsidP="00FF59B5">
      <w:pPr>
        <w:rPr>
          <w:szCs w:val="24"/>
        </w:rPr>
      </w:pPr>
      <w:r w:rsidRPr="001161A4">
        <w:rPr>
          <w:szCs w:val="24"/>
        </w:rPr>
        <w:t>Vogel,</w:t>
      </w:r>
      <w:r w:rsidRPr="00FF59B5">
        <w:rPr>
          <w:szCs w:val="24"/>
        </w:rPr>
        <w:t xml:space="preserve"> </w:t>
      </w:r>
      <w:r w:rsidRPr="001161A4">
        <w:rPr>
          <w:szCs w:val="24"/>
        </w:rPr>
        <w:t>Carsten</w:t>
      </w:r>
      <w:r>
        <w:rPr>
          <w:szCs w:val="24"/>
        </w:rPr>
        <w:t>,</w:t>
      </w:r>
      <w:r w:rsidRPr="001161A4">
        <w:rPr>
          <w:szCs w:val="24"/>
        </w:rPr>
        <w:t xml:space="preserve"> 2006, “The Impact and the Implications of TRIPs in a Knowledge-based Global Economy: A Developing Country’s Perspective,” </w:t>
      </w:r>
      <w:r w:rsidRPr="001161A4">
        <w:rPr>
          <w:i/>
          <w:iCs/>
          <w:szCs w:val="24"/>
        </w:rPr>
        <w:t>Asia-Pacific Trade and Investment Review</w:t>
      </w:r>
      <w:r w:rsidRPr="001161A4">
        <w:rPr>
          <w:szCs w:val="24"/>
        </w:rPr>
        <w:t>, Vol. 2, No. 1, May 2006</w:t>
      </w:r>
    </w:p>
    <w:p w:rsidR="00E62B5D" w:rsidRPr="00E805BD" w:rsidRDefault="00E62B5D" w:rsidP="007926AC">
      <w:pPr>
        <w:rPr>
          <w:szCs w:val="22"/>
        </w:rPr>
      </w:pPr>
      <w:r w:rsidRPr="00481B27">
        <w:rPr>
          <w:szCs w:val="22"/>
        </w:rPr>
        <w:t xml:space="preserve">von Engelhardt, Sebastian, 2008, “The Economic Properties of Software,” </w:t>
      </w:r>
      <w:r w:rsidRPr="00481B27">
        <w:rPr>
          <w:i/>
          <w:iCs/>
          <w:szCs w:val="22"/>
        </w:rPr>
        <w:t>Jena Economic Research Papers 2008 – 045</w:t>
      </w:r>
      <w:r w:rsidRPr="00481B27">
        <w:rPr>
          <w:szCs w:val="22"/>
        </w:rPr>
        <w:t>, Friedrich Schiller University and the Max Planck Institute of Economics</w:t>
      </w:r>
    </w:p>
    <w:p w:rsidR="00E62B5D" w:rsidRPr="00481B27" w:rsidRDefault="00E62B5D" w:rsidP="00E81AA5">
      <w:pPr>
        <w:rPr>
          <w:b/>
          <w:bCs/>
          <w:szCs w:val="22"/>
          <w:u w:val="single"/>
        </w:rPr>
      </w:pPr>
      <w:r w:rsidRPr="00481B27">
        <w:rPr>
          <w:b/>
          <w:bCs/>
          <w:szCs w:val="22"/>
          <w:u w:val="single"/>
        </w:rPr>
        <w:t>Antitrust (Competition) Law</w:t>
      </w:r>
    </w:p>
    <w:p w:rsidR="000E3DB4" w:rsidRDefault="000E3DB4" w:rsidP="005E0EE4">
      <w:pPr>
        <w:rPr>
          <w:szCs w:val="22"/>
        </w:rPr>
      </w:pPr>
      <w:r w:rsidRPr="000E3DB4">
        <w:rPr>
          <w:szCs w:val="22"/>
        </w:rPr>
        <w:t>Baye</w:t>
      </w:r>
      <w:r>
        <w:rPr>
          <w:szCs w:val="22"/>
        </w:rPr>
        <w:t>,</w:t>
      </w:r>
      <w:r w:rsidRPr="000E3DB4">
        <w:rPr>
          <w:szCs w:val="22"/>
        </w:rPr>
        <w:t xml:space="preserve"> Michael R. and Joshua D. Wright</w:t>
      </w:r>
      <w:r>
        <w:rPr>
          <w:szCs w:val="22"/>
        </w:rPr>
        <w:t>, 2011, “</w:t>
      </w:r>
      <w:r w:rsidRPr="000E3DB4">
        <w:rPr>
          <w:szCs w:val="22"/>
        </w:rPr>
        <w:t>Is Antitrust Too Complicated for Generalist Judges? The Impact of Economic Complexity and Judicial Training on Appeals</w:t>
      </w:r>
      <w:r>
        <w:rPr>
          <w:szCs w:val="22"/>
        </w:rPr>
        <w:t xml:space="preserve">,” </w:t>
      </w:r>
      <w:r w:rsidRPr="000E3DB4">
        <w:rPr>
          <w:i/>
          <w:iCs/>
          <w:szCs w:val="22"/>
        </w:rPr>
        <w:t>Journal of Law and Economics</w:t>
      </w:r>
      <w:r>
        <w:rPr>
          <w:szCs w:val="22"/>
        </w:rPr>
        <w:t xml:space="preserve">, </w:t>
      </w:r>
      <w:r w:rsidRPr="000E3DB4">
        <w:rPr>
          <w:szCs w:val="22"/>
        </w:rPr>
        <w:t xml:space="preserve">Vol. 54, No. 1 (February 2011), pp. 1-24 </w:t>
      </w:r>
    </w:p>
    <w:p w:rsidR="00E62B5D" w:rsidRPr="00481B27" w:rsidRDefault="00E62B5D" w:rsidP="000E3DB4">
      <w:pPr>
        <w:rPr>
          <w:szCs w:val="22"/>
        </w:rPr>
      </w:pPr>
      <w:r w:rsidRPr="00481B27">
        <w:rPr>
          <w:szCs w:val="22"/>
        </w:rPr>
        <w:t xml:space="preserve">Dargaud, Emilie, 2008, “Mergers, cartels and leniency programs: the role of production capacities,” </w:t>
      </w:r>
      <w:r w:rsidRPr="00481B27">
        <w:rPr>
          <w:i/>
          <w:iCs/>
          <w:szCs w:val="22"/>
        </w:rPr>
        <w:t>GATE Groupe d’Analyse et de Théorie Économique Working Papers W.P. 08-14</w:t>
      </w:r>
      <w:r w:rsidRPr="00481B27">
        <w:rPr>
          <w:szCs w:val="22"/>
        </w:rPr>
        <w:t xml:space="preserve"> </w:t>
      </w:r>
    </w:p>
    <w:p w:rsidR="003C13E6" w:rsidRDefault="003C13E6" w:rsidP="003C13E6">
      <w:pPr>
        <w:rPr>
          <w:szCs w:val="22"/>
        </w:rPr>
      </w:pPr>
      <w:r w:rsidRPr="003C13E6">
        <w:rPr>
          <w:szCs w:val="22"/>
        </w:rPr>
        <w:t>Kamita</w:t>
      </w:r>
      <w:r>
        <w:rPr>
          <w:szCs w:val="22"/>
        </w:rPr>
        <w:t>,</w:t>
      </w:r>
      <w:r w:rsidRPr="003C13E6">
        <w:rPr>
          <w:szCs w:val="22"/>
        </w:rPr>
        <w:t xml:space="preserve"> Rene Y.</w:t>
      </w:r>
      <w:r>
        <w:rPr>
          <w:szCs w:val="22"/>
        </w:rPr>
        <w:t>, 2010, “</w:t>
      </w:r>
      <w:r w:rsidRPr="003C13E6">
        <w:rPr>
          <w:szCs w:val="22"/>
        </w:rPr>
        <w:t>Analyzing the Effects of Temporary Antitrust Immunity: The Aloha‐Hawaiian Immunity Agreement</w:t>
      </w:r>
      <w:r>
        <w:rPr>
          <w:szCs w:val="22"/>
        </w:rPr>
        <w:t xml:space="preserve">,” </w:t>
      </w:r>
      <w:r w:rsidRPr="003C13E6">
        <w:rPr>
          <w:i/>
          <w:iCs/>
          <w:szCs w:val="22"/>
        </w:rPr>
        <w:t>Journal of Law and Economics</w:t>
      </w:r>
      <w:r>
        <w:rPr>
          <w:szCs w:val="22"/>
        </w:rPr>
        <w:t xml:space="preserve">, </w:t>
      </w:r>
      <w:r w:rsidRPr="003C13E6">
        <w:rPr>
          <w:szCs w:val="22"/>
        </w:rPr>
        <w:t xml:space="preserve">Vol. 53, No. 2 (May 2010), pp. 239-261 </w:t>
      </w:r>
    </w:p>
    <w:p w:rsidR="000E3DB4" w:rsidRDefault="000E3DB4" w:rsidP="003C13E6">
      <w:pPr>
        <w:rPr>
          <w:szCs w:val="22"/>
        </w:rPr>
      </w:pPr>
      <w:r w:rsidRPr="000E3DB4">
        <w:rPr>
          <w:szCs w:val="22"/>
        </w:rPr>
        <w:t>Miller</w:t>
      </w:r>
      <w:r>
        <w:rPr>
          <w:szCs w:val="22"/>
        </w:rPr>
        <w:t xml:space="preserve">, </w:t>
      </w:r>
      <w:r w:rsidRPr="000E3DB4">
        <w:rPr>
          <w:szCs w:val="22"/>
        </w:rPr>
        <w:t>Amalia R.</w:t>
      </w:r>
      <w:r>
        <w:rPr>
          <w:szCs w:val="22"/>
        </w:rPr>
        <w:t>, 2010, “</w:t>
      </w:r>
      <w:r w:rsidRPr="000E3DB4">
        <w:rPr>
          <w:szCs w:val="22"/>
        </w:rPr>
        <w:t>Did the Airline Tariff Publishing Case Reduce Collusion?</w:t>
      </w:r>
      <w:r>
        <w:rPr>
          <w:szCs w:val="22"/>
        </w:rPr>
        <w:t xml:space="preserve">” </w:t>
      </w:r>
      <w:r w:rsidRPr="000E3DB4">
        <w:rPr>
          <w:i/>
          <w:iCs/>
          <w:szCs w:val="22"/>
        </w:rPr>
        <w:t>Journal of Law and Economics</w:t>
      </w:r>
      <w:r>
        <w:rPr>
          <w:szCs w:val="22"/>
        </w:rPr>
        <w:t xml:space="preserve">, </w:t>
      </w:r>
      <w:r w:rsidRPr="000E3DB4">
        <w:rPr>
          <w:szCs w:val="22"/>
        </w:rPr>
        <w:t xml:space="preserve">Vol. 53, No. 3 (August 2010), pp. 569-586 </w:t>
      </w:r>
    </w:p>
    <w:p w:rsidR="00AE14FB" w:rsidRDefault="00AE14FB" w:rsidP="00AE14FB">
      <w:pPr>
        <w:rPr>
          <w:szCs w:val="22"/>
        </w:rPr>
      </w:pPr>
      <w:r w:rsidRPr="00302D48">
        <w:rPr>
          <w:szCs w:val="22"/>
        </w:rPr>
        <w:t>Philipson</w:t>
      </w:r>
      <w:r>
        <w:rPr>
          <w:szCs w:val="22"/>
        </w:rPr>
        <w:t>,</w:t>
      </w:r>
      <w:r w:rsidRPr="00302D48">
        <w:rPr>
          <w:szCs w:val="22"/>
        </w:rPr>
        <w:t xml:space="preserve"> Tomas J. and Richard A. Posner</w:t>
      </w:r>
      <w:r>
        <w:rPr>
          <w:szCs w:val="22"/>
        </w:rPr>
        <w:t>, 2009, “</w:t>
      </w:r>
      <w:r w:rsidRPr="00302D48">
        <w:rPr>
          <w:szCs w:val="22"/>
        </w:rPr>
        <w:t>Antitrust in the Not‐for‐Profit Sector</w:t>
      </w:r>
      <w:r>
        <w:rPr>
          <w:szCs w:val="22"/>
        </w:rPr>
        <w:t xml:space="preserve">,” </w:t>
      </w:r>
      <w:r w:rsidRPr="00302D48">
        <w:rPr>
          <w:i/>
          <w:iCs/>
          <w:szCs w:val="22"/>
        </w:rPr>
        <w:t>Journal of Law and Economics</w:t>
      </w:r>
      <w:r>
        <w:rPr>
          <w:szCs w:val="22"/>
        </w:rPr>
        <w:t xml:space="preserve">, </w:t>
      </w:r>
      <w:r w:rsidRPr="00302D48">
        <w:rPr>
          <w:szCs w:val="22"/>
        </w:rPr>
        <w:t xml:space="preserve">Vol. 52, No. 1 (February 2009), pp. 1-18 </w:t>
      </w:r>
    </w:p>
    <w:p w:rsidR="00E62B5D" w:rsidRPr="00481B27" w:rsidRDefault="00E62B5D" w:rsidP="000E3DB4">
      <w:pPr>
        <w:rPr>
          <w:szCs w:val="22"/>
        </w:rPr>
      </w:pPr>
      <w:r w:rsidRPr="00481B27">
        <w:rPr>
          <w:szCs w:val="22"/>
        </w:rPr>
        <w:lastRenderedPageBreak/>
        <w:t xml:space="preserve">Roldán, Flavia, 2008, “Collusive Networks in Market Sharing Agreements in the Presence of an Antitrust Authority,” </w:t>
      </w:r>
      <w:r w:rsidRPr="00481B27">
        <w:rPr>
          <w:i/>
          <w:iCs/>
          <w:szCs w:val="22"/>
        </w:rPr>
        <w:t>Working Paper 08-50</w:t>
      </w:r>
      <w:r w:rsidRPr="00481B27">
        <w:rPr>
          <w:szCs w:val="22"/>
        </w:rPr>
        <w:t>, Departamento de Economía, Universidad Carlos III de Madrid</w:t>
      </w:r>
    </w:p>
    <w:p w:rsidR="00E62B5D" w:rsidRDefault="00D5759E" w:rsidP="00E81AA5">
      <w:pPr>
        <w:rPr>
          <w:b/>
          <w:bCs/>
          <w:szCs w:val="24"/>
          <w:u w:val="single"/>
        </w:rPr>
      </w:pPr>
      <w:r>
        <w:rPr>
          <w:b/>
          <w:bCs/>
          <w:szCs w:val="24"/>
          <w:u w:val="single"/>
        </w:rPr>
        <w:t>Theory of The Firm</w:t>
      </w:r>
    </w:p>
    <w:p w:rsidR="00D5759E" w:rsidRPr="00481B27" w:rsidRDefault="00D5759E" w:rsidP="00D5759E">
      <w:pPr>
        <w:rPr>
          <w:szCs w:val="22"/>
        </w:rPr>
      </w:pPr>
      <w:r w:rsidRPr="00481B27">
        <w:rPr>
          <w:szCs w:val="22"/>
        </w:rPr>
        <w:t xml:space="preserve">Ayotte, Kenneth, 2007, ‘Bankruptcy and Entrepreneurship: The Value of a Fresh Start,’ </w:t>
      </w:r>
      <w:r w:rsidRPr="00481B27">
        <w:rPr>
          <w:i/>
          <w:iCs/>
          <w:szCs w:val="22"/>
        </w:rPr>
        <w:t>Journal of Law, Economics, &amp; Organization</w:t>
      </w:r>
      <w:r w:rsidRPr="00481B27">
        <w:rPr>
          <w:szCs w:val="22"/>
        </w:rPr>
        <w:t>, Vol. 23, No. 1, pp. 161-185</w:t>
      </w:r>
    </w:p>
    <w:p w:rsidR="00D5759E" w:rsidRPr="00481B27" w:rsidRDefault="00D5759E" w:rsidP="00D5759E">
      <w:pPr>
        <w:rPr>
          <w:szCs w:val="24"/>
        </w:rPr>
      </w:pPr>
      <w:r w:rsidRPr="00481B27">
        <w:rPr>
          <w:szCs w:val="24"/>
        </w:rPr>
        <w:t xml:space="preserve">Brickley, James A., 2002, ‘Royalty Rates and Upfront Fees in Share Contracts: Evidence from Franchising,’ </w:t>
      </w:r>
      <w:r w:rsidRPr="00481B27">
        <w:rPr>
          <w:i/>
          <w:iCs/>
          <w:szCs w:val="24"/>
        </w:rPr>
        <w:t>Journal of Law, Economics, &amp; Organization</w:t>
      </w:r>
      <w:r w:rsidRPr="00481B27">
        <w:rPr>
          <w:szCs w:val="24"/>
        </w:rPr>
        <w:t>, Vol. 18, No. 2, pp. 511-535</w:t>
      </w:r>
    </w:p>
    <w:p w:rsidR="00D5759E" w:rsidRDefault="00D5759E" w:rsidP="00D5759E">
      <w:pPr>
        <w:rPr>
          <w:szCs w:val="24"/>
        </w:rPr>
      </w:pPr>
      <w:r w:rsidRPr="00481B27">
        <w:rPr>
          <w:szCs w:val="24"/>
        </w:rPr>
        <w:t xml:space="preserve">Deakin, Simon and Ajit Singh, 2008, “The Stock Market, the Market for Corporate Control, and the Theory of the Firm: Legal and Economic Perspectives and Implications for Public Policy,” </w:t>
      </w:r>
      <w:r w:rsidRPr="00481B27">
        <w:rPr>
          <w:i/>
          <w:iCs/>
          <w:szCs w:val="24"/>
        </w:rPr>
        <w:t>Centre for Business Research, University of Cambridge Working Paper No. 365</w:t>
      </w:r>
      <w:r w:rsidRPr="00481B27">
        <w:rPr>
          <w:szCs w:val="24"/>
        </w:rPr>
        <w:t>, CBR Research Programme on Corporate Governance</w:t>
      </w:r>
    </w:p>
    <w:p w:rsidR="00D5759E" w:rsidRPr="001161A4" w:rsidRDefault="00D5759E" w:rsidP="00D5759E">
      <w:pPr>
        <w:rPr>
          <w:szCs w:val="24"/>
        </w:rPr>
      </w:pPr>
      <w:r w:rsidRPr="001161A4">
        <w:rPr>
          <w:szCs w:val="24"/>
        </w:rPr>
        <w:t xml:space="preserve">Dur, Robert and Amihai Glazer, 2007, “Optimal Contracts When a Worker Envies His Boss,” </w:t>
      </w:r>
      <w:r w:rsidRPr="001161A4">
        <w:rPr>
          <w:i/>
          <w:iCs/>
          <w:szCs w:val="24"/>
        </w:rPr>
        <w:t>Journal of Law, Economics, &amp; Organization</w:t>
      </w:r>
      <w:r w:rsidRPr="001161A4">
        <w:rPr>
          <w:szCs w:val="24"/>
        </w:rPr>
        <w:t>, Vol. 24, No. 1, pp. 120-137</w:t>
      </w:r>
    </w:p>
    <w:p w:rsidR="00D5759E" w:rsidRPr="00481B27" w:rsidRDefault="00D5759E" w:rsidP="00D5759E">
      <w:pPr>
        <w:rPr>
          <w:szCs w:val="24"/>
        </w:rPr>
      </w:pPr>
      <w:r w:rsidRPr="00481B27">
        <w:rPr>
          <w:szCs w:val="24"/>
        </w:rPr>
        <w:t xml:space="preserve">Gibbons, Robert, Baker, G, and K J Murphy, 2002, “Relational Contracts and the Theory of the Firm,” </w:t>
      </w:r>
      <w:r w:rsidRPr="00481B27">
        <w:rPr>
          <w:i/>
          <w:iCs/>
          <w:szCs w:val="24"/>
        </w:rPr>
        <w:t>Quarterly Journal of Economics</w:t>
      </w:r>
      <w:r w:rsidRPr="00481B27">
        <w:rPr>
          <w:szCs w:val="24"/>
        </w:rPr>
        <w:t>, Vol. 117, pp. 39-83.</w:t>
      </w:r>
    </w:p>
    <w:p w:rsidR="00D5759E" w:rsidRPr="001161A4" w:rsidRDefault="00D5759E" w:rsidP="00D5759E">
      <w:pPr>
        <w:rPr>
          <w:szCs w:val="24"/>
        </w:rPr>
      </w:pPr>
      <w:r w:rsidRPr="001161A4">
        <w:rPr>
          <w:szCs w:val="24"/>
        </w:rPr>
        <w:t xml:space="preserve">Hadfield, Gillian and Eric Talley, 2006, “On Public versus Private Provision of Corporate Law,” </w:t>
      </w:r>
      <w:r w:rsidRPr="001161A4">
        <w:rPr>
          <w:i/>
          <w:iCs/>
          <w:szCs w:val="24"/>
        </w:rPr>
        <w:t>Journal of Law, Economics, &amp; Organization</w:t>
      </w:r>
      <w:r w:rsidRPr="001161A4">
        <w:rPr>
          <w:szCs w:val="24"/>
        </w:rPr>
        <w:t>, Vol. 22, No. 2, pp. 414-441</w:t>
      </w:r>
    </w:p>
    <w:p w:rsidR="00D5759E" w:rsidRDefault="00D5759E" w:rsidP="00D5759E">
      <w:pPr>
        <w:rPr>
          <w:szCs w:val="24"/>
        </w:rPr>
      </w:pPr>
      <w:r w:rsidRPr="001161A4">
        <w:rPr>
          <w:szCs w:val="24"/>
        </w:rPr>
        <w:t xml:space="preserve">Hart, Oliver, and John Moore, 2007, “Incomplete Contracts and Ownership: Some New Thoughts,” </w:t>
      </w:r>
      <w:r w:rsidRPr="001161A4">
        <w:rPr>
          <w:i/>
          <w:iCs/>
          <w:szCs w:val="24"/>
        </w:rPr>
        <w:t>mimeo</w:t>
      </w:r>
      <w:r w:rsidRPr="001161A4">
        <w:rPr>
          <w:szCs w:val="24"/>
        </w:rPr>
        <w:t>.</w:t>
      </w:r>
    </w:p>
    <w:p w:rsidR="00D5759E" w:rsidRPr="001161A4" w:rsidRDefault="00D5759E" w:rsidP="00D5759E">
      <w:pPr>
        <w:rPr>
          <w:szCs w:val="24"/>
        </w:rPr>
      </w:pPr>
      <w:r w:rsidRPr="001161A4">
        <w:rPr>
          <w:szCs w:val="24"/>
        </w:rPr>
        <w:t xml:space="preserve">Mullin, Wallace P. and Christopher M. Snyder, 2009, “Should Firms be Allowed to Indemnify Their Employees for Sanctions?” </w:t>
      </w:r>
      <w:r w:rsidRPr="001161A4">
        <w:rPr>
          <w:i/>
          <w:iCs/>
          <w:szCs w:val="24"/>
        </w:rPr>
        <w:t>Journal of Law, Economics, &amp; Organization</w:t>
      </w:r>
      <w:r w:rsidRPr="001161A4">
        <w:rPr>
          <w:szCs w:val="24"/>
        </w:rPr>
        <w:t>, Vol. 26, No. 1, pp. 30-53</w:t>
      </w:r>
    </w:p>
    <w:p w:rsidR="00D5759E" w:rsidRDefault="00D5759E" w:rsidP="00D5759E">
      <w:pPr>
        <w:rPr>
          <w:szCs w:val="24"/>
        </w:rPr>
      </w:pPr>
      <w:r w:rsidRPr="001161A4">
        <w:rPr>
          <w:szCs w:val="24"/>
        </w:rPr>
        <w:t xml:space="preserve">Rosston, Gregory L., Scott J. Savage, and Bradley S. Wimmer, 2008, “The Effect of Private Interests on Regulated Retail and Wholesale Prices,” </w:t>
      </w:r>
      <w:r w:rsidRPr="001161A4">
        <w:rPr>
          <w:i/>
          <w:iCs/>
          <w:szCs w:val="24"/>
        </w:rPr>
        <w:t>Journal of Law and Economics</w:t>
      </w:r>
      <w:r w:rsidRPr="001161A4">
        <w:rPr>
          <w:szCs w:val="24"/>
        </w:rPr>
        <w:t>, Vol. 51, pp.479-501</w:t>
      </w:r>
    </w:p>
    <w:p w:rsidR="00D5759E" w:rsidRPr="00481B27" w:rsidRDefault="00D5759E" w:rsidP="00D5759E">
      <w:pPr>
        <w:rPr>
          <w:szCs w:val="22"/>
        </w:rPr>
      </w:pPr>
      <w:r w:rsidRPr="00481B27">
        <w:rPr>
          <w:szCs w:val="22"/>
        </w:rPr>
        <w:t xml:space="preserve">Triantis, George G., 2000, ‘Financial Slack Policy and the Laws of Secured Transactions ,’ </w:t>
      </w:r>
      <w:r w:rsidRPr="00481B27">
        <w:rPr>
          <w:i/>
          <w:iCs/>
          <w:szCs w:val="22"/>
        </w:rPr>
        <w:t>Journal of Legal Studies</w:t>
      </w:r>
      <w:r w:rsidRPr="00481B27">
        <w:rPr>
          <w:szCs w:val="22"/>
        </w:rPr>
        <w:t>, Vol. 29, No. 1, pp. 35-69</w:t>
      </w:r>
    </w:p>
    <w:p w:rsidR="00D5759E" w:rsidRDefault="00D5759E" w:rsidP="00E81AA5">
      <w:pPr>
        <w:rPr>
          <w:b/>
          <w:bCs/>
          <w:szCs w:val="24"/>
          <w:u w:val="single"/>
        </w:rPr>
      </w:pPr>
      <w:r>
        <w:rPr>
          <w:b/>
          <w:bCs/>
          <w:szCs w:val="24"/>
          <w:u w:val="single"/>
        </w:rPr>
        <w:t>Finance and Financial Market</w:t>
      </w:r>
    </w:p>
    <w:p w:rsidR="00744FE3" w:rsidRDefault="00744FE3" w:rsidP="00744FE3">
      <w:pPr>
        <w:rPr>
          <w:color w:val="000000"/>
          <w:szCs w:val="24"/>
        </w:rPr>
      </w:pPr>
      <w:r w:rsidRPr="007142A8">
        <w:rPr>
          <w:color w:val="000000"/>
          <w:szCs w:val="24"/>
        </w:rPr>
        <w:t>Ayyagari, Meghana</w:t>
      </w:r>
      <w:r>
        <w:rPr>
          <w:color w:val="000000"/>
          <w:szCs w:val="24"/>
        </w:rPr>
        <w:t>,</w:t>
      </w:r>
      <w:r w:rsidRPr="007142A8">
        <w:rPr>
          <w:color w:val="000000"/>
          <w:szCs w:val="24"/>
        </w:rPr>
        <w:t xml:space="preserve"> Asli Demirguc-Kunt, </w:t>
      </w:r>
      <w:r>
        <w:rPr>
          <w:color w:val="000000"/>
          <w:szCs w:val="24"/>
        </w:rPr>
        <w:t xml:space="preserve">and </w:t>
      </w:r>
      <w:r w:rsidRPr="007142A8">
        <w:rPr>
          <w:color w:val="000000"/>
          <w:szCs w:val="24"/>
        </w:rPr>
        <w:t>Vojislav Maksimovic, 2010</w:t>
      </w:r>
      <w:r>
        <w:rPr>
          <w:color w:val="000000"/>
          <w:szCs w:val="24"/>
        </w:rPr>
        <w:t>,</w:t>
      </w:r>
      <w:r w:rsidRPr="007142A8">
        <w:rPr>
          <w:color w:val="000000"/>
          <w:szCs w:val="24"/>
        </w:rPr>
        <w:t xml:space="preserve"> "Are innovating firms victims or perpetrators? tax evasion, bribe payments, and the role of external finance in developing countries," </w:t>
      </w:r>
      <w:r w:rsidRPr="007142A8">
        <w:rPr>
          <w:i/>
          <w:iCs/>
          <w:color w:val="000000"/>
          <w:szCs w:val="24"/>
        </w:rPr>
        <w:t>Policy Research Working Paper Series 5389</w:t>
      </w:r>
      <w:r w:rsidRPr="007142A8">
        <w:rPr>
          <w:color w:val="000000"/>
          <w:szCs w:val="24"/>
        </w:rPr>
        <w:t>, The World Bank.</w:t>
      </w:r>
    </w:p>
    <w:p w:rsidR="00E62B5D" w:rsidRDefault="00E62B5D" w:rsidP="00BE17EC">
      <w:pPr>
        <w:autoSpaceDE w:val="0"/>
        <w:autoSpaceDN w:val="0"/>
        <w:adjustRightInd w:val="0"/>
        <w:rPr>
          <w:rFonts w:cs="TimesNewRoman"/>
          <w:szCs w:val="24"/>
        </w:rPr>
      </w:pPr>
      <w:r w:rsidRPr="00481B27">
        <w:rPr>
          <w:szCs w:val="24"/>
        </w:rPr>
        <w:t xml:space="preserve">Beck, Thorsten and Ross Levine, 2003, “Legal Institutions and Financial Development,” </w:t>
      </w:r>
      <w:r w:rsidRPr="00481B27">
        <w:rPr>
          <w:rFonts w:cs="TimesNewRoman"/>
          <w:i/>
          <w:iCs/>
          <w:szCs w:val="24"/>
        </w:rPr>
        <w:t>World Bank Policy Research Working Paper 3136</w:t>
      </w:r>
      <w:r w:rsidRPr="00481B27">
        <w:rPr>
          <w:rFonts w:cs="TimesNewRoman"/>
          <w:szCs w:val="24"/>
        </w:rPr>
        <w:t>, World Bank</w:t>
      </w:r>
    </w:p>
    <w:p w:rsidR="003C13E6" w:rsidRDefault="003C13E6" w:rsidP="00331F65">
      <w:pPr>
        <w:autoSpaceDE w:val="0"/>
        <w:autoSpaceDN w:val="0"/>
        <w:adjustRightInd w:val="0"/>
        <w:rPr>
          <w:rFonts w:cs="TimesNewRoman"/>
          <w:szCs w:val="24"/>
        </w:rPr>
      </w:pPr>
      <w:r w:rsidRPr="003C13E6">
        <w:rPr>
          <w:rFonts w:cs="TimesNewRoman"/>
          <w:szCs w:val="24"/>
        </w:rPr>
        <w:t>Beck, Thorsten</w:t>
      </w:r>
      <w:r>
        <w:rPr>
          <w:rFonts w:cs="TimesNewRoman"/>
          <w:szCs w:val="24"/>
        </w:rPr>
        <w:t>,</w:t>
      </w:r>
      <w:r w:rsidRPr="003C13E6">
        <w:rPr>
          <w:rFonts w:cs="TimesNewRoman"/>
          <w:szCs w:val="24"/>
        </w:rPr>
        <w:t xml:space="preserve"> </w:t>
      </w:r>
      <w:r>
        <w:rPr>
          <w:rFonts w:cs="TimesNewRoman"/>
          <w:szCs w:val="24"/>
        </w:rPr>
        <w:t>Asli</w:t>
      </w:r>
      <w:r w:rsidRPr="003C13E6">
        <w:rPr>
          <w:rFonts w:cs="TimesNewRoman"/>
          <w:szCs w:val="24"/>
        </w:rPr>
        <w:t xml:space="preserve"> Demirguc-Kunt, </w:t>
      </w:r>
      <w:r>
        <w:rPr>
          <w:rFonts w:cs="TimesNewRoman"/>
          <w:szCs w:val="24"/>
        </w:rPr>
        <w:t>and</w:t>
      </w:r>
      <w:r w:rsidRPr="003C13E6">
        <w:rPr>
          <w:rFonts w:cs="TimesNewRoman"/>
          <w:szCs w:val="24"/>
        </w:rPr>
        <w:t xml:space="preserve"> Vojislav Maksimovic, 2003</w:t>
      </w:r>
      <w:r>
        <w:rPr>
          <w:rFonts w:cs="TimesNewRoman"/>
          <w:szCs w:val="24"/>
        </w:rPr>
        <w:t>m</w:t>
      </w:r>
      <w:r w:rsidRPr="003C13E6">
        <w:rPr>
          <w:rFonts w:cs="TimesNewRoman"/>
          <w:szCs w:val="24"/>
        </w:rPr>
        <w:t xml:space="preserve"> "Financial and legal institutions and firm size," </w:t>
      </w:r>
      <w:r w:rsidRPr="003C13E6">
        <w:rPr>
          <w:rFonts w:cs="TimesNewRoman"/>
          <w:i/>
          <w:iCs/>
          <w:szCs w:val="24"/>
        </w:rPr>
        <w:t>Policy Research Working Paper Series 2997</w:t>
      </w:r>
      <w:r w:rsidRPr="003C13E6">
        <w:rPr>
          <w:rFonts w:cs="TimesNewRoman"/>
          <w:szCs w:val="24"/>
        </w:rPr>
        <w:t>, The World Bank.</w:t>
      </w:r>
    </w:p>
    <w:p w:rsidR="00DB5A8D" w:rsidRDefault="00DB5A8D" w:rsidP="00331F65">
      <w:pPr>
        <w:autoSpaceDE w:val="0"/>
        <w:autoSpaceDN w:val="0"/>
        <w:adjustRightInd w:val="0"/>
        <w:rPr>
          <w:rFonts w:cs="TimesNewRoman"/>
          <w:szCs w:val="24"/>
        </w:rPr>
      </w:pPr>
      <w:r w:rsidRPr="00DB5A8D">
        <w:rPr>
          <w:rFonts w:cs="TimesNewRoman"/>
          <w:szCs w:val="24"/>
        </w:rPr>
        <w:lastRenderedPageBreak/>
        <w:t>Beck</w:t>
      </w:r>
      <w:r>
        <w:rPr>
          <w:rFonts w:cs="TimesNewRoman"/>
          <w:szCs w:val="24"/>
        </w:rPr>
        <w:t xml:space="preserve">, </w:t>
      </w:r>
      <w:r w:rsidRPr="00DB5A8D">
        <w:rPr>
          <w:rFonts w:cs="TimesNewRoman"/>
          <w:szCs w:val="24"/>
        </w:rPr>
        <w:t>Thorsten</w:t>
      </w:r>
      <w:r>
        <w:rPr>
          <w:rFonts w:cs="TimesNewRoman"/>
          <w:szCs w:val="24"/>
        </w:rPr>
        <w:t>,</w:t>
      </w:r>
      <w:r w:rsidRPr="00DB5A8D">
        <w:rPr>
          <w:rFonts w:cs="TimesNewRoman"/>
          <w:szCs w:val="24"/>
        </w:rPr>
        <w:t xml:space="preserve"> Asli Demirguc-Kunt </w:t>
      </w:r>
      <w:r>
        <w:rPr>
          <w:rFonts w:cs="TimesNewRoman"/>
          <w:szCs w:val="24"/>
        </w:rPr>
        <w:t>and</w:t>
      </w:r>
      <w:r w:rsidRPr="00DB5A8D">
        <w:rPr>
          <w:rFonts w:cs="TimesNewRoman"/>
          <w:szCs w:val="24"/>
        </w:rPr>
        <w:t xml:space="preserve"> Ross Levine, 2004</w:t>
      </w:r>
      <w:r>
        <w:rPr>
          <w:rFonts w:cs="TimesNewRoman"/>
          <w:szCs w:val="24"/>
        </w:rPr>
        <w:t>,</w:t>
      </w:r>
      <w:r w:rsidRPr="00DB5A8D">
        <w:rPr>
          <w:rFonts w:cs="TimesNewRoman"/>
          <w:szCs w:val="24"/>
        </w:rPr>
        <w:t xml:space="preserve"> "Law and Firms' Access to Finance," </w:t>
      </w:r>
      <w:r w:rsidRPr="00DB5A8D">
        <w:rPr>
          <w:rFonts w:cs="TimesNewRoman"/>
          <w:i/>
          <w:iCs/>
          <w:szCs w:val="24"/>
        </w:rPr>
        <w:t>NBER Working Papers 10687</w:t>
      </w:r>
      <w:r w:rsidRPr="00DB5A8D">
        <w:rPr>
          <w:rFonts w:cs="TimesNewRoman"/>
          <w:szCs w:val="24"/>
        </w:rPr>
        <w:t xml:space="preserve">, National Bureau of Economic Research, Inc </w:t>
      </w:r>
    </w:p>
    <w:p w:rsidR="00331F65" w:rsidRPr="00481B27" w:rsidRDefault="00331F65" w:rsidP="00331F65">
      <w:pPr>
        <w:autoSpaceDE w:val="0"/>
        <w:autoSpaceDN w:val="0"/>
        <w:adjustRightInd w:val="0"/>
        <w:rPr>
          <w:rFonts w:cs="TimesNewRoman"/>
          <w:szCs w:val="24"/>
        </w:rPr>
      </w:pPr>
      <w:r w:rsidRPr="00331F65">
        <w:rPr>
          <w:rFonts w:cs="TimesNewRoman"/>
          <w:szCs w:val="24"/>
        </w:rPr>
        <w:t>Beck</w:t>
      </w:r>
      <w:r>
        <w:rPr>
          <w:rFonts w:cs="TimesNewRoman"/>
          <w:szCs w:val="24"/>
        </w:rPr>
        <w:t xml:space="preserve">, </w:t>
      </w:r>
      <w:r w:rsidRPr="00331F65">
        <w:rPr>
          <w:rFonts w:cs="TimesNewRoman"/>
          <w:szCs w:val="24"/>
        </w:rPr>
        <w:t>Thorsten</w:t>
      </w:r>
      <w:r>
        <w:rPr>
          <w:rFonts w:cs="TimesNewRoman"/>
          <w:szCs w:val="24"/>
        </w:rPr>
        <w:t>,</w:t>
      </w:r>
      <w:r w:rsidRPr="00331F65">
        <w:rPr>
          <w:rFonts w:cs="TimesNewRoman"/>
          <w:szCs w:val="24"/>
        </w:rPr>
        <w:t xml:space="preserve"> Asli Demirguc-Kunt </w:t>
      </w:r>
      <w:r>
        <w:rPr>
          <w:rFonts w:cs="TimesNewRoman"/>
          <w:szCs w:val="24"/>
        </w:rPr>
        <w:t>and</w:t>
      </w:r>
      <w:r w:rsidRPr="00331F65">
        <w:rPr>
          <w:rFonts w:cs="TimesNewRoman"/>
          <w:szCs w:val="24"/>
        </w:rPr>
        <w:t xml:space="preserve"> Ross Levine, 2005</w:t>
      </w:r>
      <w:r>
        <w:rPr>
          <w:rFonts w:cs="TimesNewRoman"/>
          <w:szCs w:val="24"/>
        </w:rPr>
        <w:t>,</w:t>
      </w:r>
      <w:r w:rsidRPr="00331F65">
        <w:rPr>
          <w:rFonts w:cs="TimesNewRoman"/>
          <w:szCs w:val="24"/>
        </w:rPr>
        <w:t xml:space="preserve"> "Bank Supervision and Corruption in Lending," </w:t>
      </w:r>
      <w:r w:rsidRPr="00331F65">
        <w:rPr>
          <w:rFonts w:cs="TimesNewRoman"/>
          <w:i/>
          <w:iCs/>
          <w:szCs w:val="24"/>
        </w:rPr>
        <w:t>NBER Working Papers 11498</w:t>
      </w:r>
      <w:r w:rsidRPr="00331F65">
        <w:rPr>
          <w:rFonts w:cs="TimesNewRoman"/>
          <w:szCs w:val="24"/>
        </w:rPr>
        <w:t>, National Bureau of Economic Research, Inc.</w:t>
      </w:r>
    </w:p>
    <w:p w:rsidR="00180637" w:rsidRDefault="00180637" w:rsidP="00BE17EC">
      <w:pPr>
        <w:autoSpaceDE w:val="0"/>
        <w:autoSpaceDN w:val="0"/>
        <w:adjustRightInd w:val="0"/>
        <w:rPr>
          <w:rFonts w:cs="TimesNewRoman"/>
          <w:szCs w:val="24"/>
        </w:rPr>
      </w:pPr>
      <w:r w:rsidRPr="00180637">
        <w:rPr>
          <w:rFonts w:cs="TimesNewRoman"/>
          <w:szCs w:val="24"/>
        </w:rPr>
        <w:t>Beck</w:t>
      </w:r>
      <w:r>
        <w:rPr>
          <w:rFonts w:cs="TimesNewRoman"/>
          <w:szCs w:val="24"/>
        </w:rPr>
        <w:t xml:space="preserve">, Thorsten, Asli </w:t>
      </w:r>
      <w:r w:rsidRPr="00180637">
        <w:rPr>
          <w:rFonts w:cs="TimesNewRoman"/>
          <w:szCs w:val="24"/>
        </w:rPr>
        <w:t xml:space="preserve">Demirguc-Kunt, </w:t>
      </w:r>
      <w:r>
        <w:rPr>
          <w:rFonts w:cs="TimesNewRoman"/>
          <w:szCs w:val="24"/>
        </w:rPr>
        <w:t>and Ross</w:t>
      </w:r>
      <w:r w:rsidRPr="00180637">
        <w:rPr>
          <w:rFonts w:cs="TimesNewRoman"/>
          <w:szCs w:val="24"/>
        </w:rPr>
        <w:t xml:space="preserve"> Levine, 2009</w:t>
      </w:r>
      <w:r>
        <w:rPr>
          <w:rFonts w:cs="TimesNewRoman"/>
          <w:szCs w:val="24"/>
        </w:rPr>
        <w:t>,</w:t>
      </w:r>
      <w:r w:rsidRPr="00180637">
        <w:rPr>
          <w:rFonts w:cs="TimesNewRoman"/>
          <w:szCs w:val="24"/>
        </w:rPr>
        <w:t xml:space="preserve"> "Financial institutions and markets across countries and over time - data and analysis," </w:t>
      </w:r>
      <w:r w:rsidRPr="00180637">
        <w:rPr>
          <w:rFonts w:cs="TimesNewRoman"/>
          <w:i/>
          <w:iCs/>
          <w:szCs w:val="24"/>
        </w:rPr>
        <w:t>Policy Research Working Paper Series 4943</w:t>
      </w:r>
      <w:r w:rsidRPr="00180637">
        <w:rPr>
          <w:rFonts w:cs="TimesNewRoman"/>
          <w:szCs w:val="24"/>
        </w:rPr>
        <w:t>, The World Bank</w:t>
      </w:r>
    </w:p>
    <w:p w:rsidR="00744FE3" w:rsidRDefault="00744FE3" w:rsidP="003D6DB6">
      <w:pPr>
        <w:rPr>
          <w:color w:val="000000"/>
          <w:szCs w:val="24"/>
        </w:rPr>
      </w:pPr>
      <w:r w:rsidRPr="00744FE3">
        <w:rPr>
          <w:color w:val="000000"/>
          <w:szCs w:val="24"/>
        </w:rPr>
        <w:t>Cull, Robert</w:t>
      </w:r>
      <w:r>
        <w:rPr>
          <w:color w:val="000000"/>
          <w:szCs w:val="24"/>
        </w:rPr>
        <w:t xml:space="preserve">, Asli </w:t>
      </w:r>
      <w:r w:rsidRPr="00744FE3">
        <w:rPr>
          <w:color w:val="000000"/>
          <w:szCs w:val="24"/>
        </w:rPr>
        <w:t xml:space="preserve">Demirguc-Kunt , </w:t>
      </w:r>
      <w:r>
        <w:rPr>
          <w:color w:val="000000"/>
          <w:szCs w:val="24"/>
        </w:rPr>
        <w:t xml:space="preserve">and </w:t>
      </w:r>
      <w:r w:rsidRPr="00744FE3">
        <w:rPr>
          <w:color w:val="000000"/>
          <w:szCs w:val="24"/>
        </w:rPr>
        <w:t xml:space="preserve"> Jonathan Morduch, 2009</w:t>
      </w:r>
      <w:r>
        <w:rPr>
          <w:color w:val="000000"/>
          <w:szCs w:val="24"/>
        </w:rPr>
        <w:t>,</w:t>
      </w:r>
      <w:r w:rsidRPr="00744FE3">
        <w:rPr>
          <w:color w:val="000000"/>
          <w:szCs w:val="24"/>
        </w:rPr>
        <w:t xml:space="preserve"> "Does regulatory supervision curtail microfinance profitability and outreach?," </w:t>
      </w:r>
      <w:r w:rsidRPr="00744FE3">
        <w:rPr>
          <w:i/>
          <w:iCs/>
          <w:color w:val="000000"/>
          <w:szCs w:val="24"/>
        </w:rPr>
        <w:t>Policy Research Working Paper Series 4948</w:t>
      </w:r>
      <w:r w:rsidRPr="00744FE3">
        <w:rPr>
          <w:color w:val="000000"/>
          <w:szCs w:val="24"/>
        </w:rPr>
        <w:t xml:space="preserve">, The World Bank. </w:t>
      </w:r>
    </w:p>
    <w:p w:rsidR="00012392" w:rsidRDefault="00012392" w:rsidP="003D6DB6">
      <w:pPr>
        <w:rPr>
          <w:color w:val="000000"/>
          <w:szCs w:val="24"/>
        </w:rPr>
      </w:pPr>
      <w:r w:rsidRPr="00012392">
        <w:rPr>
          <w:color w:val="000000"/>
          <w:szCs w:val="24"/>
        </w:rPr>
        <w:t>Demirguc-Kunt</w:t>
      </w:r>
      <w:r>
        <w:rPr>
          <w:color w:val="000000"/>
          <w:szCs w:val="24"/>
        </w:rPr>
        <w:t xml:space="preserve">, </w:t>
      </w:r>
      <w:r w:rsidRPr="00012392">
        <w:rPr>
          <w:color w:val="000000"/>
          <w:szCs w:val="24"/>
        </w:rPr>
        <w:t>Asli</w:t>
      </w:r>
      <w:r>
        <w:rPr>
          <w:color w:val="000000"/>
          <w:szCs w:val="24"/>
        </w:rPr>
        <w:t xml:space="preserve">, </w:t>
      </w:r>
      <w:r w:rsidRPr="00012392">
        <w:rPr>
          <w:color w:val="000000"/>
          <w:szCs w:val="24"/>
        </w:rPr>
        <w:t xml:space="preserve">Luc Laeven </w:t>
      </w:r>
      <w:r>
        <w:rPr>
          <w:color w:val="000000"/>
          <w:szCs w:val="24"/>
        </w:rPr>
        <w:t xml:space="preserve">and </w:t>
      </w:r>
      <w:r w:rsidRPr="00012392">
        <w:rPr>
          <w:color w:val="000000"/>
          <w:szCs w:val="24"/>
        </w:rPr>
        <w:t>Ross Levine, 2003</w:t>
      </w:r>
      <w:r>
        <w:rPr>
          <w:color w:val="000000"/>
          <w:szCs w:val="24"/>
        </w:rPr>
        <w:t>,</w:t>
      </w:r>
      <w:r w:rsidRPr="00012392">
        <w:rPr>
          <w:color w:val="000000"/>
          <w:szCs w:val="24"/>
        </w:rPr>
        <w:t xml:space="preserve"> "Regulations, Market Structure, Institutions, and the Cost of Financial Intermediation," </w:t>
      </w:r>
      <w:r w:rsidRPr="00012392">
        <w:rPr>
          <w:i/>
          <w:iCs/>
          <w:color w:val="000000"/>
          <w:szCs w:val="24"/>
        </w:rPr>
        <w:t>NBER Working Papers 9890</w:t>
      </w:r>
      <w:r w:rsidRPr="00012392">
        <w:rPr>
          <w:color w:val="000000"/>
          <w:szCs w:val="24"/>
        </w:rPr>
        <w:t>, National Bureau of Economic Research, Inc</w:t>
      </w:r>
    </w:p>
    <w:p w:rsidR="00E62B5D" w:rsidRDefault="00E62B5D" w:rsidP="003D6DB6">
      <w:pPr>
        <w:rPr>
          <w:color w:val="000000"/>
          <w:szCs w:val="24"/>
        </w:rPr>
      </w:pPr>
      <w:r w:rsidRPr="0039778F">
        <w:rPr>
          <w:color w:val="000000"/>
          <w:szCs w:val="24"/>
        </w:rPr>
        <w:t xml:space="preserve">Jarrell, Gregg A. and Annette B. Poulsen, 1989, ‘Stock Trading before the Announcement of Tender Offers: Insider Trading or Market Anticipation?,’ </w:t>
      </w:r>
      <w:r w:rsidRPr="0039778F">
        <w:rPr>
          <w:i/>
          <w:iCs/>
          <w:color w:val="000000"/>
          <w:szCs w:val="24"/>
        </w:rPr>
        <w:t>Journal of Law, Economics, &amp; Organization</w:t>
      </w:r>
      <w:r w:rsidRPr="0039778F">
        <w:rPr>
          <w:color w:val="000000"/>
          <w:szCs w:val="24"/>
        </w:rPr>
        <w:t>, Vol. 5, No. 2, pp. 225-248</w:t>
      </w:r>
    </w:p>
    <w:p w:rsidR="000E3DB4" w:rsidRDefault="000E3DB4" w:rsidP="000E3DB4">
      <w:pPr>
        <w:rPr>
          <w:color w:val="000000"/>
          <w:szCs w:val="24"/>
        </w:rPr>
      </w:pPr>
      <w:r w:rsidRPr="000E3DB4">
        <w:rPr>
          <w:color w:val="000000"/>
          <w:szCs w:val="24"/>
        </w:rPr>
        <w:t>Lerner</w:t>
      </w:r>
      <w:r>
        <w:rPr>
          <w:color w:val="000000"/>
          <w:szCs w:val="24"/>
        </w:rPr>
        <w:t>,</w:t>
      </w:r>
      <w:r w:rsidRPr="000E3DB4">
        <w:rPr>
          <w:color w:val="000000"/>
          <w:szCs w:val="24"/>
        </w:rPr>
        <w:t xml:space="preserve"> Josh</w:t>
      </w:r>
      <w:r>
        <w:rPr>
          <w:color w:val="000000"/>
          <w:szCs w:val="24"/>
        </w:rPr>
        <w:t>, 2010,</w:t>
      </w:r>
      <w:r w:rsidRPr="000E3DB4">
        <w:rPr>
          <w:color w:val="000000"/>
          <w:szCs w:val="24"/>
        </w:rPr>
        <w:t xml:space="preserve"> </w:t>
      </w:r>
      <w:r>
        <w:rPr>
          <w:color w:val="000000"/>
          <w:szCs w:val="24"/>
        </w:rPr>
        <w:t>“</w:t>
      </w:r>
      <w:r w:rsidRPr="000E3DB4">
        <w:rPr>
          <w:color w:val="000000"/>
          <w:szCs w:val="24"/>
        </w:rPr>
        <w:t>The Litigation of Financial Innovations</w:t>
      </w:r>
      <w:r>
        <w:rPr>
          <w:color w:val="000000"/>
          <w:szCs w:val="24"/>
        </w:rPr>
        <w:t xml:space="preserve">,” </w:t>
      </w:r>
      <w:r w:rsidRPr="000E3DB4">
        <w:rPr>
          <w:i/>
          <w:iCs/>
          <w:color w:val="000000"/>
          <w:szCs w:val="24"/>
        </w:rPr>
        <w:t>Journal of Law and Economics</w:t>
      </w:r>
      <w:r>
        <w:rPr>
          <w:color w:val="000000"/>
          <w:szCs w:val="24"/>
        </w:rPr>
        <w:t xml:space="preserve">, </w:t>
      </w:r>
      <w:r w:rsidRPr="000E3DB4">
        <w:rPr>
          <w:color w:val="000000"/>
          <w:szCs w:val="24"/>
        </w:rPr>
        <w:t xml:space="preserve">Vol. 53, No. 4 </w:t>
      </w:r>
      <w:r>
        <w:rPr>
          <w:color w:val="000000"/>
          <w:szCs w:val="24"/>
        </w:rPr>
        <w:t>(</w:t>
      </w:r>
      <w:r w:rsidRPr="000E3DB4">
        <w:rPr>
          <w:color w:val="000000"/>
          <w:szCs w:val="24"/>
        </w:rPr>
        <w:t>November 2010), pp. 807-831</w:t>
      </w:r>
    </w:p>
    <w:p w:rsidR="004041D6" w:rsidRDefault="004041D6" w:rsidP="004041D6">
      <w:pPr>
        <w:rPr>
          <w:color w:val="000000"/>
          <w:szCs w:val="24"/>
        </w:rPr>
      </w:pPr>
      <w:r w:rsidRPr="004041D6">
        <w:rPr>
          <w:color w:val="000000"/>
          <w:szCs w:val="24"/>
        </w:rPr>
        <w:t>Morley</w:t>
      </w:r>
      <w:r>
        <w:rPr>
          <w:color w:val="000000"/>
          <w:szCs w:val="24"/>
        </w:rPr>
        <w:t>,</w:t>
      </w:r>
      <w:r w:rsidRPr="004041D6">
        <w:rPr>
          <w:color w:val="000000"/>
          <w:szCs w:val="24"/>
        </w:rPr>
        <w:t xml:space="preserve"> John and Roberta Romano</w:t>
      </w:r>
      <w:r>
        <w:rPr>
          <w:color w:val="000000"/>
          <w:szCs w:val="24"/>
        </w:rPr>
        <w:t>, 2010, “</w:t>
      </w:r>
      <w:r w:rsidRPr="004041D6">
        <w:rPr>
          <w:color w:val="000000"/>
          <w:szCs w:val="24"/>
        </w:rPr>
        <w:t>The</w:t>
      </w:r>
      <w:r>
        <w:rPr>
          <w:color w:val="000000"/>
          <w:szCs w:val="24"/>
        </w:rPr>
        <w:t xml:space="preserve"> Future of Financial Regulation,” </w:t>
      </w:r>
      <w:r w:rsidRPr="004041D6">
        <w:rPr>
          <w:i/>
          <w:iCs/>
          <w:color w:val="000000"/>
          <w:szCs w:val="24"/>
        </w:rPr>
        <w:t>Yale Law &amp; Economics Research Paper No. 386</w:t>
      </w:r>
      <w:r>
        <w:rPr>
          <w:color w:val="000000"/>
          <w:szCs w:val="24"/>
        </w:rPr>
        <w:t xml:space="preserve">, </w:t>
      </w:r>
      <w:r w:rsidRPr="004041D6">
        <w:rPr>
          <w:color w:val="000000"/>
          <w:szCs w:val="24"/>
        </w:rPr>
        <w:t>University of Virginia School of Law and Yale Law School</w:t>
      </w:r>
    </w:p>
    <w:p w:rsidR="003A559F" w:rsidRPr="003A559F" w:rsidRDefault="003A559F" w:rsidP="003A559F">
      <w:pPr>
        <w:rPr>
          <w:color w:val="000000"/>
          <w:szCs w:val="24"/>
        </w:rPr>
      </w:pPr>
      <w:r w:rsidRPr="003A559F">
        <w:rPr>
          <w:color w:val="000000"/>
          <w:szCs w:val="24"/>
        </w:rPr>
        <w:t>Shadab</w:t>
      </w:r>
      <w:r>
        <w:rPr>
          <w:color w:val="000000"/>
          <w:szCs w:val="24"/>
        </w:rPr>
        <w:t xml:space="preserve">, </w:t>
      </w:r>
      <w:r w:rsidRPr="003A559F">
        <w:rPr>
          <w:color w:val="000000"/>
          <w:szCs w:val="24"/>
        </w:rPr>
        <w:t>Houman B.</w:t>
      </w:r>
      <w:r>
        <w:rPr>
          <w:color w:val="000000"/>
          <w:szCs w:val="24"/>
        </w:rPr>
        <w:t>, 2009 , “</w:t>
      </w:r>
      <w:r w:rsidRPr="003A559F">
        <w:rPr>
          <w:color w:val="000000"/>
          <w:szCs w:val="24"/>
        </w:rPr>
        <w:t>The Law and Economics of Hedge Funds: Financial Inn</w:t>
      </w:r>
      <w:r>
        <w:rPr>
          <w:color w:val="000000"/>
          <w:szCs w:val="24"/>
        </w:rPr>
        <w:t xml:space="preserve">ovation and Investor Protection,” </w:t>
      </w:r>
      <w:r w:rsidRPr="003A559F">
        <w:rPr>
          <w:i/>
          <w:iCs/>
          <w:color w:val="000000"/>
          <w:szCs w:val="24"/>
        </w:rPr>
        <w:t>Berkeley Business Law Journal</w:t>
      </w:r>
      <w:r>
        <w:rPr>
          <w:color w:val="000000"/>
          <w:szCs w:val="24"/>
        </w:rPr>
        <w:t>, Vol. 6, pp. 240-297</w:t>
      </w:r>
    </w:p>
    <w:p w:rsidR="00D5759E" w:rsidRPr="00D5759E" w:rsidRDefault="00D5759E" w:rsidP="003D6DB6">
      <w:pPr>
        <w:rPr>
          <w:b/>
          <w:bCs/>
          <w:color w:val="000000"/>
          <w:szCs w:val="24"/>
          <w:u w:val="single"/>
        </w:rPr>
      </w:pPr>
      <w:r w:rsidRPr="00D5759E">
        <w:rPr>
          <w:b/>
          <w:bCs/>
          <w:color w:val="000000"/>
          <w:szCs w:val="24"/>
          <w:u w:val="single"/>
        </w:rPr>
        <w:t>International Aspect</w:t>
      </w:r>
    </w:p>
    <w:p w:rsidR="003A559F" w:rsidRPr="003A559F" w:rsidRDefault="003A559F" w:rsidP="003A559F">
      <w:pPr>
        <w:rPr>
          <w:szCs w:val="24"/>
        </w:rPr>
      </w:pPr>
      <w:r w:rsidRPr="003A559F">
        <w:rPr>
          <w:szCs w:val="24"/>
        </w:rPr>
        <w:t>Dunoff</w:t>
      </w:r>
      <w:r>
        <w:rPr>
          <w:szCs w:val="24"/>
        </w:rPr>
        <w:t>,</w:t>
      </w:r>
      <w:r w:rsidRPr="003A559F">
        <w:rPr>
          <w:szCs w:val="24"/>
        </w:rPr>
        <w:t xml:space="preserve"> Jeffrey L. and Joel P. Trachtman</w:t>
      </w:r>
      <w:r>
        <w:rPr>
          <w:szCs w:val="24"/>
        </w:rPr>
        <w:t>, 1998, “</w:t>
      </w:r>
      <w:r w:rsidRPr="003A559F">
        <w:rPr>
          <w:szCs w:val="24"/>
        </w:rPr>
        <w:t>Economic Analysis of International Law: An Invitation and a Caveat</w:t>
      </w:r>
      <w:r>
        <w:rPr>
          <w:szCs w:val="24"/>
        </w:rPr>
        <w:t>,”</w:t>
      </w:r>
      <w:r w:rsidRPr="003A559F">
        <w:rPr>
          <w:szCs w:val="24"/>
        </w:rPr>
        <w:t xml:space="preserve"> </w:t>
      </w:r>
      <w:r>
        <w:rPr>
          <w:szCs w:val="24"/>
        </w:rPr>
        <w:t xml:space="preserve">Working Paper Series </w:t>
      </w:r>
    </w:p>
    <w:p w:rsidR="00E62B5D" w:rsidRDefault="00E62B5D" w:rsidP="003D6DB6">
      <w:pPr>
        <w:rPr>
          <w:szCs w:val="24"/>
        </w:rPr>
      </w:pPr>
      <w:r w:rsidRPr="00481B27">
        <w:rPr>
          <w:szCs w:val="24"/>
        </w:rPr>
        <w:t xml:space="preserve">Kirstein, Roland, Schmidtchen, Dieter, and Neunzig, Alexander, 2004, ‘Conflict of law rules and international trade: a transaction costs approach,’ </w:t>
      </w:r>
      <w:r w:rsidRPr="00481B27">
        <w:rPr>
          <w:i/>
          <w:iCs/>
          <w:szCs w:val="24"/>
        </w:rPr>
        <w:t>CSLE Discussion Paper 2004-01</w:t>
      </w:r>
      <w:r w:rsidRPr="00481B27">
        <w:rPr>
          <w:szCs w:val="24"/>
        </w:rPr>
        <w:t>, CSLE - Forschungsstelle zur Ökonomischen Analyse des Rechts, Universität des Saarlandes</w:t>
      </w:r>
    </w:p>
    <w:p w:rsidR="00B80958" w:rsidRDefault="00B80958" w:rsidP="00B80958">
      <w:pPr>
        <w:rPr>
          <w:szCs w:val="24"/>
        </w:rPr>
      </w:pPr>
      <w:r w:rsidRPr="00B80958">
        <w:rPr>
          <w:szCs w:val="24"/>
        </w:rPr>
        <w:t>Sandler</w:t>
      </w:r>
      <w:r>
        <w:rPr>
          <w:szCs w:val="24"/>
        </w:rPr>
        <w:t>,</w:t>
      </w:r>
      <w:r w:rsidRPr="00B80958">
        <w:rPr>
          <w:szCs w:val="24"/>
        </w:rPr>
        <w:t xml:space="preserve"> Todd, Daniel G. Arce and Walter Enders</w:t>
      </w:r>
      <w:r>
        <w:rPr>
          <w:szCs w:val="24"/>
        </w:rPr>
        <w:t>, 2011, “</w:t>
      </w:r>
      <w:r w:rsidRPr="00B80958">
        <w:rPr>
          <w:szCs w:val="24"/>
        </w:rPr>
        <w:t>An Evaluation of Interpol’s Cooperative-Based Counterterrorism Linkages</w:t>
      </w:r>
      <w:r>
        <w:rPr>
          <w:szCs w:val="24"/>
        </w:rPr>
        <w:t xml:space="preserve">,” </w:t>
      </w:r>
      <w:r w:rsidRPr="00B80958">
        <w:rPr>
          <w:i/>
          <w:iCs/>
          <w:szCs w:val="24"/>
        </w:rPr>
        <w:t>Journal of Law and Economics</w:t>
      </w:r>
      <w:r>
        <w:rPr>
          <w:szCs w:val="24"/>
        </w:rPr>
        <w:t xml:space="preserve">, </w:t>
      </w:r>
      <w:r w:rsidRPr="00B80958">
        <w:rPr>
          <w:szCs w:val="24"/>
        </w:rPr>
        <w:t>Vol. 54, No. 1 (February 2011), pp. 79-110</w:t>
      </w:r>
    </w:p>
    <w:p w:rsidR="00E62B5D" w:rsidRDefault="00E62B5D" w:rsidP="00210E09">
      <w:pPr>
        <w:rPr>
          <w:szCs w:val="24"/>
        </w:rPr>
      </w:pPr>
      <w:r w:rsidRPr="00481B27">
        <w:rPr>
          <w:szCs w:val="24"/>
        </w:rPr>
        <w:t xml:space="preserve">Schmidt-Trenz, Hans-Jörg, and Schmidtchen, Dieter, 2006, ‘Territoriality of Law and the International Trade Game: Towards a New Institutional Economics of International Transactions,’ </w:t>
      </w:r>
      <w:r w:rsidRPr="00481B27">
        <w:rPr>
          <w:i/>
          <w:iCs/>
          <w:szCs w:val="24"/>
        </w:rPr>
        <w:t>CSLE Discussion Paper 2006-06</w:t>
      </w:r>
      <w:r w:rsidRPr="00481B27">
        <w:rPr>
          <w:szCs w:val="24"/>
        </w:rPr>
        <w:t>, CSLE - Forschungsstelle zur Ökonomischen Analyse des Rechts, Universität des Saarlandes</w:t>
      </w:r>
    </w:p>
    <w:p w:rsidR="00B80958" w:rsidRPr="00B80958" w:rsidRDefault="00B80958" w:rsidP="00210E09">
      <w:pPr>
        <w:rPr>
          <w:b/>
          <w:bCs/>
          <w:szCs w:val="24"/>
          <w:u w:val="single"/>
        </w:rPr>
      </w:pPr>
      <w:r w:rsidRPr="00B80958">
        <w:rPr>
          <w:b/>
          <w:bCs/>
          <w:szCs w:val="24"/>
          <w:u w:val="single"/>
        </w:rPr>
        <w:t>Norms</w:t>
      </w:r>
    </w:p>
    <w:p w:rsidR="00B80958" w:rsidRPr="00B80958" w:rsidRDefault="00B80958" w:rsidP="00B80958">
      <w:pPr>
        <w:rPr>
          <w:szCs w:val="24"/>
        </w:rPr>
      </w:pPr>
      <w:r w:rsidRPr="00B80958">
        <w:rPr>
          <w:szCs w:val="24"/>
        </w:rPr>
        <w:t>Brion</w:t>
      </w:r>
      <w:r>
        <w:rPr>
          <w:szCs w:val="24"/>
        </w:rPr>
        <w:t>,</w:t>
      </w:r>
      <w:r w:rsidRPr="00B80958">
        <w:rPr>
          <w:szCs w:val="24"/>
        </w:rPr>
        <w:t xml:space="preserve"> Denis J.</w:t>
      </w:r>
      <w:r>
        <w:rPr>
          <w:szCs w:val="24"/>
        </w:rPr>
        <w:t xml:space="preserve">, 1999, “0800-Norms and Values in Law and Economics,” </w:t>
      </w:r>
      <w:r>
        <w:rPr>
          <w:i/>
          <w:iCs/>
          <w:szCs w:val="24"/>
        </w:rPr>
        <w:t>Encyclopedia of Law and Economics</w:t>
      </w:r>
      <w:r>
        <w:rPr>
          <w:szCs w:val="24"/>
        </w:rPr>
        <w:t>, University of Ghent.</w:t>
      </w:r>
    </w:p>
    <w:p w:rsidR="00B80958" w:rsidRDefault="00B80958" w:rsidP="00B80958">
      <w:pPr>
        <w:rPr>
          <w:szCs w:val="24"/>
        </w:rPr>
      </w:pPr>
      <w:r w:rsidRPr="00B80958">
        <w:rPr>
          <w:szCs w:val="24"/>
        </w:rPr>
        <w:lastRenderedPageBreak/>
        <w:t>Costa</w:t>
      </w:r>
      <w:r>
        <w:rPr>
          <w:szCs w:val="24"/>
        </w:rPr>
        <w:t xml:space="preserve">, </w:t>
      </w:r>
      <w:r w:rsidRPr="00B80958">
        <w:rPr>
          <w:szCs w:val="24"/>
        </w:rPr>
        <w:t>Dora L. and Matthew E. Kahn</w:t>
      </w:r>
      <w:r>
        <w:rPr>
          <w:szCs w:val="24"/>
        </w:rPr>
        <w:t>, 2007, “</w:t>
      </w:r>
      <w:r w:rsidRPr="00B80958">
        <w:rPr>
          <w:szCs w:val="24"/>
        </w:rPr>
        <w:t>Deserters, Social Norms, and Migration</w:t>
      </w:r>
      <w:r>
        <w:rPr>
          <w:szCs w:val="24"/>
        </w:rPr>
        <w:t xml:space="preserve">,” </w:t>
      </w:r>
      <w:r w:rsidRPr="00B80958">
        <w:rPr>
          <w:i/>
          <w:iCs/>
          <w:szCs w:val="24"/>
        </w:rPr>
        <w:t>Journal of Law and Economics</w:t>
      </w:r>
      <w:r>
        <w:rPr>
          <w:szCs w:val="24"/>
        </w:rPr>
        <w:t xml:space="preserve">, </w:t>
      </w:r>
      <w:r w:rsidRPr="00B80958">
        <w:rPr>
          <w:szCs w:val="24"/>
        </w:rPr>
        <w:t>Vol. 50, No. 2 (May 2007), pp. 323-353</w:t>
      </w:r>
    </w:p>
    <w:p w:rsidR="00B80958" w:rsidRDefault="00B80958" w:rsidP="00B80958">
      <w:pPr>
        <w:rPr>
          <w:szCs w:val="24"/>
        </w:rPr>
      </w:pPr>
      <w:r>
        <w:rPr>
          <w:szCs w:val="24"/>
        </w:rPr>
        <w:t xml:space="preserve">McAdams, Richard H and Eric B Rasmusen, 2004, “Norms in Law and Economics,” </w:t>
      </w:r>
      <w:r w:rsidRPr="00B80958">
        <w:rPr>
          <w:i/>
          <w:iCs/>
          <w:szCs w:val="24"/>
        </w:rPr>
        <w:t>Department of Business Economics and Public Policy Working Paper 2004-11</w:t>
      </w:r>
      <w:r>
        <w:rPr>
          <w:szCs w:val="24"/>
        </w:rPr>
        <w:t>, Indiana University</w:t>
      </w:r>
    </w:p>
    <w:p w:rsidR="00E62B5D" w:rsidRPr="001161A4" w:rsidRDefault="00E62B5D" w:rsidP="00E805BD">
      <w:pPr>
        <w:rPr>
          <w:b/>
          <w:bCs/>
          <w:szCs w:val="24"/>
          <w:u w:val="single"/>
        </w:rPr>
      </w:pPr>
      <w:r w:rsidRPr="001161A4">
        <w:rPr>
          <w:b/>
          <w:bCs/>
          <w:szCs w:val="24"/>
          <w:u w:val="single"/>
        </w:rPr>
        <w:t>Environment</w:t>
      </w:r>
    </w:p>
    <w:p w:rsidR="00E62B5D" w:rsidRPr="001161A4" w:rsidRDefault="00E62B5D" w:rsidP="00E805BD">
      <w:pPr>
        <w:rPr>
          <w:sz w:val="32"/>
          <w:szCs w:val="32"/>
          <w:cs/>
          <w:lang w:val="en-GB"/>
        </w:rPr>
      </w:pPr>
      <w:r w:rsidRPr="001161A4">
        <w:rPr>
          <w:szCs w:val="24"/>
        </w:rPr>
        <w:t xml:space="preserve">Alfredo, Burlando and Motta Albertoy, 2008, “Self Reporting reduces corruption in law enforcement,” </w:t>
      </w:r>
      <w:r w:rsidRPr="001161A4">
        <w:rPr>
          <w:i/>
          <w:iCs/>
          <w:szCs w:val="24"/>
        </w:rPr>
        <w:t>MPRA Paper No. 7264</w:t>
      </w:r>
      <w:r w:rsidRPr="001161A4">
        <w:rPr>
          <w:szCs w:val="24"/>
        </w:rPr>
        <w:t>, Munich Personal RePEc Archive</w:t>
      </w:r>
      <w:r w:rsidRPr="001161A4">
        <w:rPr>
          <w:szCs w:val="24"/>
          <w:cs/>
        </w:rPr>
        <w:t xml:space="preserve"> </w:t>
      </w:r>
    </w:p>
    <w:p w:rsidR="00E62B5D" w:rsidRPr="001161A4" w:rsidRDefault="00E62B5D" w:rsidP="00E805BD">
      <w:pPr>
        <w:rPr>
          <w:szCs w:val="24"/>
        </w:rPr>
      </w:pPr>
      <w:r w:rsidRPr="001161A4">
        <w:rPr>
          <w:szCs w:val="24"/>
        </w:rPr>
        <w:t xml:space="preserve">Cassing, James and Thomas Kuhn, 2003, “The Political Economy of Strategic Environmental Policy: When Waste Products Are Tradeable,” </w:t>
      </w:r>
      <w:r w:rsidRPr="001161A4">
        <w:rPr>
          <w:i/>
          <w:iCs/>
          <w:szCs w:val="24"/>
        </w:rPr>
        <w:t>Review of International Economics</w:t>
      </w:r>
      <w:r w:rsidRPr="001161A4">
        <w:rPr>
          <w:szCs w:val="24"/>
        </w:rPr>
        <w:t>, Vol. 11, Issue 3, pp. 495-511.</w:t>
      </w:r>
    </w:p>
    <w:p w:rsidR="00E62B5D" w:rsidRPr="001161A4" w:rsidRDefault="00E62B5D" w:rsidP="00E805BD">
      <w:pPr>
        <w:rPr>
          <w:szCs w:val="24"/>
        </w:rPr>
      </w:pPr>
      <w:r w:rsidRPr="001161A4">
        <w:rPr>
          <w:szCs w:val="24"/>
        </w:rPr>
        <w:t xml:space="preserve">Deardorff, Alan V., 1996, “International externalities in the use of pollution policies,” </w:t>
      </w:r>
      <w:r w:rsidRPr="001161A4">
        <w:rPr>
          <w:i/>
          <w:iCs/>
          <w:szCs w:val="24"/>
        </w:rPr>
        <w:t>International Review of Law and Economics</w:t>
      </w:r>
      <w:r w:rsidRPr="001161A4">
        <w:rPr>
          <w:szCs w:val="24"/>
        </w:rPr>
        <w:t xml:space="preserve">, vol. 16, issue 1, pp. 53-59 </w:t>
      </w:r>
    </w:p>
    <w:p w:rsidR="00E62B5D" w:rsidRPr="001161A4" w:rsidRDefault="00E62B5D" w:rsidP="00E805BD">
      <w:pPr>
        <w:rPr>
          <w:szCs w:val="24"/>
        </w:rPr>
      </w:pPr>
      <w:r w:rsidRPr="001161A4">
        <w:rPr>
          <w:szCs w:val="24"/>
        </w:rPr>
        <w:t xml:space="preserve">Eckert, Andrew, R. Todd Smith, and Henry van Egteren, 2007, “Environmental Liability in Transboundary Harms: Law and Forum Choice,” </w:t>
      </w:r>
      <w:r w:rsidRPr="001161A4">
        <w:rPr>
          <w:i/>
          <w:iCs/>
          <w:szCs w:val="24"/>
        </w:rPr>
        <w:t>Journal of Law, Economics, &amp; Organization</w:t>
      </w:r>
      <w:r w:rsidRPr="001161A4">
        <w:rPr>
          <w:szCs w:val="24"/>
        </w:rPr>
        <w:t>, Vol. 24, No. 2, pp. 434-457</w:t>
      </w:r>
    </w:p>
    <w:p w:rsidR="00E62B5D" w:rsidRPr="001161A4" w:rsidRDefault="00E62B5D" w:rsidP="00E805BD">
      <w:pPr>
        <w:rPr>
          <w:sz w:val="32"/>
          <w:szCs w:val="32"/>
        </w:rPr>
      </w:pPr>
      <w:r w:rsidRPr="001161A4">
        <w:rPr>
          <w:szCs w:val="24"/>
        </w:rPr>
        <w:t xml:space="preserve">Epple, Dennis and Michael Visscher, 1984, “Environmental Pollution: Modeling Occurrence, Detection, and Deterrence,” </w:t>
      </w:r>
      <w:r w:rsidRPr="001161A4">
        <w:rPr>
          <w:i/>
          <w:iCs/>
          <w:szCs w:val="24"/>
        </w:rPr>
        <w:t>Journal of Law &amp; Economics</w:t>
      </w:r>
      <w:r w:rsidRPr="001161A4">
        <w:rPr>
          <w:szCs w:val="24"/>
        </w:rPr>
        <w:t>, vol. 27, issue 1, pp. 29-60</w:t>
      </w:r>
      <w:r w:rsidRPr="001161A4">
        <w:rPr>
          <w:szCs w:val="24"/>
          <w:cs/>
        </w:rPr>
        <w:t xml:space="preserve"> </w:t>
      </w:r>
    </w:p>
    <w:p w:rsidR="00E62B5D" w:rsidRPr="001161A4" w:rsidRDefault="00E62B5D" w:rsidP="00E805BD">
      <w:pPr>
        <w:rPr>
          <w:szCs w:val="24"/>
        </w:rPr>
      </w:pPr>
      <w:r w:rsidRPr="001161A4">
        <w:rPr>
          <w:szCs w:val="24"/>
        </w:rPr>
        <w:t>Fredriksson, Per G. and Muthukumara Mani, 2002, “The Rule of Law and the Pattern of Environmental Protection</w:t>
      </w:r>
      <w:r w:rsidRPr="001161A4">
        <w:rPr>
          <w:i/>
          <w:iCs/>
          <w:szCs w:val="24"/>
        </w:rPr>
        <w:t>,</w:t>
      </w:r>
      <w:r w:rsidRPr="001161A4">
        <w:rPr>
          <w:szCs w:val="24"/>
        </w:rPr>
        <w:t>”</w:t>
      </w:r>
      <w:r w:rsidRPr="001161A4">
        <w:rPr>
          <w:i/>
          <w:iCs/>
          <w:szCs w:val="24"/>
        </w:rPr>
        <w:t xml:space="preserve"> IMF Working Paper WP/02/49</w:t>
      </w:r>
      <w:r w:rsidRPr="001161A4">
        <w:rPr>
          <w:szCs w:val="24"/>
        </w:rPr>
        <w:t>.</w:t>
      </w:r>
    </w:p>
    <w:p w:rsidR="00E62B5D" w:rsidRPr="001161A4" w:rsidRDefault="00E62B5D" w:rsidP="00E805BD">
      <w:pPr>
        <w:rPr>
          <w:szCs w:val="24"/>
        </w:rPr>
      </w:pPr>
      <w:r w:rsidRPr="001161A4">
        <w:rPr>
          <w:szCs w:val="24"/>
        </w:rPr>
        <w:t xml:space="preserve">Innes, Robert and Abdoul G. Sam, 2008, “Voluntary Pollution Reductions and the Enforcement of Environmental Law: An Empirical Study of the 33/50 Program,” </w:t>
      </w:r>
      <w:r w:rsidRPr="001161A4">
        <w:rPr>
          <w:i/>
          <w:iCs/>
          <w:szCs w:val="24"/>
        </w:rPr>
        <w:t>Journal of Law and Economics</w:t>
      </w:r>
      <w:r w:rsidRPr="001161A4">
        <w:rPr>
          <w:szCs w:val="24"/>
        </w:rPr>
        <w:t xml:space="preserve">, Vol. 51, pp. 271-296. </w:t>
      </w:r>
    </w:p>
    <w:p w:rsidR="00E62B5D" w:rsidRPr="001161A4" w:rsidRDefault="00E62B5D" w:rsidP="00E805BD">
      <w:pPr>
        <w:rPr>
          <w:szCs w:val="24"/>
        </w:rPr>
      </w:pPr>
      <w:r w:rsidRPr="001161A4">
        <w:rPr>
          <w:szCs w:val="24"/>
        </w:rPr>
        <w:t xml:space="preserve">Iwata, Kazuyuki and Toshi H. Arimura, 2008, “Economic Analysis of a Japanese Air Pollution Regulation: An Optimal Retirement Problem under Vehicle Type Regulation in the NOx–Particulate Matter Law,” </w:t>
      </w:r>
      <w:r w:rsidRPr="001161A4">
        <w:rPr>
          <w:i/>
          <w:iCs/>
          <w:szCs w:val="24"/>
        </w:rPr>
        <w:t>RFF Discussion Paper DP 08-15</w:t>
      </w:r>
      <w:r w:rsidRPr="001161A4">
        <w:rPr>
          <w:szCs w:val="24"/>
        </w:rPr>
        <w:t xml:space="preserve">, Resources for the Future. </w:t>
      </w:r>
    </w:p>
    <w:p w:rsidR="00E62B5D" w:rsidRPr="001161A4" w:rsidRDefault="00E62B5D" w:rsidP="00E805BD">
      <w:pPr>
        <w:rPr>
          <w:szCs w:val="24"/>
        </w:rPr>
      </w:pPr>
      <w:r w:rsidRPr="001161A4">
        <w:rPr>
          <w:szCs w:val="24"/>
        </w:rPr>
        <w:t xml:space="preserve">Jenkins, Rhys, 1998, “Environmental Regulation and International Competitiveness: A Review Literature and Some European Evidence,” </w:t>
      </w:r>
      <w:r w:rsidRPr="001161A4">
        <w:rPr>
          <w:i/>
          <w:iCs/>
          <w:szCs w:val="24"/>
        </w:rPr>
        <w:t>INTECH Discussion Paper Series 9801</w:t>
      </w:r>
      <w:r w:rsidRPr="001161A4">
        <w:rPr>
          <w:szCs w:val="24"/>
        </w:rPr>
        <w:t>, Institute for New Technologies, The United Nations University.</w:t>
      </w:r>
    </w:p>
    <w:p w:rsidR="00E62B5D" w:rsidRPr="001161A4" w:rsidRDefault="00E62B5D" w:rsidP="00E805BD">
      <w:pPr>
        <w:rPr>
          <w:szCs w:val="24"/>
        </w:rPr>
      </w:pPr>
      <w:r w:rsidRPr="001161A4">
        <w:rPr>
          <w:szCs w:val="24"/>
        </w:rPr>
        <w:t xml:space="preserve">Lionel Fontagné, 2001, “Protection(ism): The Environment and the WTO,” </w:t>
      </w:r>
      <w:r w:rsidRPr="001161A4">
        <w:rPr>
          <w:i/>
          <w:iCs/>
          <w:szCs w:val="24"/>
        </w:rPr>
        <w:t>La Lattre du CEPII</w:t>
      </w:r>
      <w:r w:rsidRPr="001161A4">
        <w:rPr>
          <w:szCs w:val="24"/>
        </w:rPr>
        <w:t>, No. 206, Centre d’etudes prospectives et d’informations internationales.</w:t>
      </w:r>
      <w:r w:rsidRPr="001161A4">
        <w:rPr>
          <w:szCs w:val="24"/>
          <w:cs/>
        </w:rPr>
        <w:t xml:space="preserve"> </w:t>
      </w:r>
    </w:p>
    <w:p w:rsidR="00E62B5D" w:rsidRPr="001161A4" w:rsidRDefault="00E62B5D" w:rsidP="00E805BD">
      <w:pPr>
        <w:rPr>
          <w:szCs w:val="24"/>
        </w:rPr>
      </w:pPr>
      <w:r w:rsidRPr="001161A4">
        <w:rPr>
          <w:szCs w:val="24"/>
        </w:rPr>
        <w:t xml:space="preserve">Macho-Stadler, Inés and David Pérez-Castrillo, 2004, “Optimal Enforcement Policy and Firms’ Emissions and Compliance with Environmental Taxes” </w:t>
      </w:r>
      <w:r w:rsidRPr="001161A4">
        <w:rPr>
          <w:i/>
          <w:iCs/>
          <w:szCs w:val="24"/>
        </w:rPr>
        <w:t>Journal of Environmental Economics and Management</w:t>
      </w:r>
      <w:r w:rsidRPr="001161A4">
        <w:rPr>
          <w:szCs w:val="24"/>
        </w:rPr>
        <w:t>, Vol. 51, Issue 1, pp. 110-131.</w:t>
      </w:r>
    </w:p>
    <w:p w:rsidR="00E62B5D" w:rsidRPr="001161A4" w:rsidRDefault="00E62B5D" w:rsidP="00E805BD">
      <w:pPr>
        <w:rPr>
          <w:szCs w:val="24"/>
        </w:rPr>
      </w:pPr>
      <w:r w:rsidRPr="001161A4">
        <w:rPr>
          <w:szCs w:val="24"/>
        </w:rPr>
        <w:t xml:space="preserve">Parchomovsky, Gideon and Peter Siegelman, 2003, “Selling Mayberry: Communities and Individuals in Law and Economics,” </w:t>
      </w:r>
      <w:r w:rsidRPr="001161A4">
        <w:rPr>
          <w:i/>
          <w:iCs/>
          <w:szCs w:val="24"/>
        </w:rPr>
        <w:t>University of Pennsylvania Law School Paper 21</w:t>
      </w:r>
      <w:r w:rsidRPr="001161A4">
        <w:rPr>
          <w:szCs w:val="24"/>
        </w:rPr>
        <w:t>.</w:t>
      </w:r>
    </w:p>
    <w:p w:rsidR="00E62B5D" w:rsidRPr="001161A4" w:rsidRDefault="00E62B5D" w:rsidP="00E805BD">
      <w:pPr>
        <w:rPr>
          <w:szCs w:val="24"/>
        </w:rPr>
      </w:pPr>
      <w:r w:rsidRPr="001161A4">
        <w:rPr>
          <w:szCs w:val="24"/>
        </w:rPr>
        <w:lastRenderedPageBreak/>
        <w:t xml:space="preserve">Rosenthal, Leslie, 2004, “Economic Efficiency, Nuisance and Sewage: New Lessons from Attorney-General v Council of the Borough of Birmingham, 1858-1895,” </w:t>
      </w:r>
      <w:r w:rsidRPr="001161A4">
        <w:rPr>
          <w:i/>
          <w:iCs/>
          <w:szCs w:val="24"/>
        </w:rPr>
        <w:t>Keele Economics Research Papers 2004/08</w:t>
      </w:r>
      <w:r w:rsidRPr="001161A4">
        <w:rPr>
          <w:szCs w:val="24"/>
        </w:rPr>
        <w:t>. Keele University.</w:t>
      </w:r>
    </w:p>
    <w:p w:rsidR="00E62B5D" w:rsidRPr="001161A4" w:rsidRDefault="00E62B5D" w:rsidP="00E805BD">
      <w:pPr>
        <w:rPr>
          <w:szCs w:val="24"/>
        </w:rPr>
      </w:pPr>
      <w:r w:rsidRPr="001161A4">
        <w:rPr>
          <w:szCs w:val="24"/>
        </w:rPr>
        <w:t xml:space="preserve">Rousseau, Sandra, 2007, “Timing of environmental inspections: survival of the compliant,” </w:t>
      </w:r>
      <w:r w:rsidRPr="001161A4">
        <w:rPr>
          <w:i/>
          <w:iCs/>
          <w:szCs w:val="24"/>
        </w:rPr>
        <w:t>Journal of Regulatory Economics</w:t>
      </w:r>
      <w:r w:rsidRPr="001161A4">
        <w:rPr>
          <w:szCs w:val="24"/>
        </w:rPr>
        <w:t>, Vol. 32, pp 17-36</w:t>
      </w:r>
    </w:p>
    <w:p w:rsidR="00E62B5D" w:rsidRPr="001161A4" w:rsidRDefault="00E62B5D" w:rsidP="00E805BD">
      <w:pPr>
        <w:rPr>
          <w:szCs w:val="24"/>
        </w:rPr>
      </w:pPr>
      <w:r w:rsidRPr="001161A4">
        <w:rPr>
          <w:szCs w:val="24"/>
        </w:rPr>
        <w:t xml:space="preserve">Shimshack, Jay P. and Michael B. Ward, 2007, “Enforcement and Over-Compliance,” </w:t>
      </w:r>
      <w:r w:rsidRPr="001161A4">
        <w:rPr>
          <w:i/>
          <w:iCs/>
          <w:szCs w:val="24"/>
        </w:rPr>
        <w:t>Economic Department Working Paper</w:t>
      </w:r>
      <w:r w:rsidRPr="001161A4">
        <w:rPr>
          <w:szCs w:val="24"/>
        </w:rPr>
        <w:t>, Tufts University.</w:t>
      </w:r>
    </w:p>
    <w:p w:rsidR="00E62B5D" w:rsidRDefault="00E62B5D" w:rsidP="00E805BD">
      <w:pPr>
        <w:rPr>
          <w:szCs w:val="24"/>
        </w:rPr>
      </w:pPr>
      <w:r w:rsidRPr="001161A4">
        <w:rPr>
          <w:szCs w:val="24"/>
        </w:rPr>
        <w:t xml:space="preserve">Wenders, John T, 1973, “Corrective Taxes and Pollution Abatement,” </w:t>
      </w:r>
      <w:r w:rsidRPr="001161A4">
        <w:rPr>
          <w:i/>
          <w:iCs/>
          <w:szCs w:val="24"/>
        </w:rPr>
        <w:t>Journal of Law &amp; Economics</w:t>
      </w:r>
      <w:r w:rsidRPr="001161A4">
        <w:rPr>
          <w:szCs w:val="24"/>
        </w:rPr>
        <w:t>, vol. 16, issue 2, pp 365-68.</w:t>
      </w:r>
    </w:p>
    <w:p w:rsidR="00B20685" w:rsidRPr="00481B27" w:rsidRDefault="00B20685" w:rsidP="00B20685">
      <w:pPr>
        <w:rPr>
          <w:b/>
          <w:bCs/>
          <w:szCs w:val="22"/>
          <w:u w:val="single"/>
        </w:rPr>
      </w:pPr>
      <w:r>
        <w:rPr>
          <w:b/>
          <w:bCs/>
          <w:szCs w:val="22"/>
          <w:u w:val="single"/>
        </w:rPr>
        <w:t>Others</w:t>
      </w:r>
    </w:p>
    <w:p w:rsidR="00B20685" w:rsidRPr="00481B27" w:rsidRDefault="00B20685" w:rsidP="00B20685">
      <w:pPr>
        <w:rPr>
          <w:szCs w:val="22"/>
        </w:rPr>
      </w:pPr>
      <w:r w:rsidRPr="00481B27">
        <w:rPr>
          <w:szCs w:val="22"/>
        </w:rPr>
        <w:t xml:space="preserve">Adler, Barry, Ben Polak, and Alan Schwartz, 2000, ‘Regulating Consumer Bankruptcy: A Theoretical Inquiry Regulating Consumer Bankruptcy: A Theoretical Inquiry,’ </w:t>
      </w:r>
      <w:r w:rsidRPr="00481B27">
        <w:rPr>
          <w:i/>
          <w:iCs/>
          <w:szCs w:val="22"/>
        </w:rPr>
        <w:t>Journal of Legal Studies</w:t>
      </w:r>
      <w:r w:rsidRPr="00481B27">
        <w:rPr>
          <w:szCs w:val="22"/>
        </w:rPr>
        <w:t>, Vol. 29, No. 2, pp. 585-613</w:t>
      </w:r>
    </w:p>
    <w:p w:rsidR="00B20685" w:rsidRPr="001161A4" w:rsidRDefault="00B20685" w:rsidP="00B20685">
      <w:pPr>
        <w:rPr>
          <w:szCs w:val="24"/>
        </w:rPr>
      </w:pPr>
      <w:r w:rsidRPr="001161A4">
        <w:rPr>
          <w:szCs w:val="24"/>
        </w:rPr>
        <w:t>Andrianova, Svetlana and Nicolas Melissas, 2008, “Corruption, Extortion, and the Boundaries of the Law</w:t>
      </w:r>
      <w:r w:rsidRPr="001161A4">
        <w:rPr>
          <w:i/>
          <w:iCs/>
          <w:szCs w:val="24"/>
        </w:rPr>
        <w:t>,” Journal of Law, Economics, &amp; Organization</w:t>
      </w:r>
      <w:r w:rsidRPr="001161A4">
        <w:rPr>
          <w:szCs w:val="24"/>
        </w:rPr>
        <w:t>, Vol. 25, No. 2, pp. 442-471</w:t>
      </w:r>
    </w:p>
    <w:p w:rsidR="00D5759E" w:rsidRPr="00481B27" w:rsidRDefault="00D5759E" w:rsidP="00D5759E">
      <w:pPr>
        <w:rPr>
          <w:szCs w:val="22"/>
        </w:rPr>
      </w:pPr>
      <w:r w:rsidRPr="00481B27">
        <w:rPr>
          <w:szCs w:val="22"/>
        </w:rPr>
        <w:t xml:space="preserve">Bettio, Francesca and Tushar K.Nandi, 2008, “Evidence on women trafficked for sexual exploitation: A rights based analysis,” </w:t>
      </w:r>
      <w:r w:rsidRPr="00481B27">
        <w:rPr>
          <w:i/>
          <w:iCs/>
          <w:szCs w:val="22"/>
        </w:rPr>
        <w:t>Quaderni Ded Dipartimento Di Economia Politica No. 543</w:t>
      </w:r>
      <w:r w:rsidRPr="00481B27">
        <w:rPr>
          <w:szCs w:val="22"/>
        </w:rPr>
        <w:t xml:space="preserve">, Università Degli Studi di Siena. </w:t>
      </w:r>
    </w:p>
    <w:p w:rsidR="00D5759E" w:rsidRPr="00481B27" w:rsidRDefault="00D5759E" w:rsidP="00D5759E">
      <w:pPr>
        <w:rPr>
          <w:color w:val="000000"/>
          <w:szCs w:val="22"/>
        </w:rPr>
      </w:pPr>
      <w:r w:rsidRPr="00481B27">
        <w:rPr>
          <w:color w:val="000000"/>
          <w:szCs w:val="22"/>
        </w:rPr>
        <w:t xml:space="preserve">Branco, M. ,2006, ‘The Right to Work and the Political Economy of Human Rights,’ </w:t>
      </w:r>
      <w:r w:rsidRPr="00481B27">
        <w:rPr>
          <w:i/>
          <w:iCs/>
          <w:color w:val="000000"/>
          <w:szCs w:val="22"/>
        </w:rPr>
        <w:t>Documento de Trabalho nº 2006/08</w:t>
      </w:r>
      <w:r w:rsidRPr="00481B27">
        <w:rPr>
          <w:color w:val="000000"/>
          <w:szCs w:val="22"/>
        </w:rPr>
        <w:t>, Universidade de Évora, Departamento de Economia.</w:t>
      </w:r>
    </w:p>
    <w:p w:rsidR="00B20685" w:rsidRPr="00481B27" w:rsidRDefault="00B20685" w:rsidP="00B20685">
      <w:pPr>
        <w:rPr>
          <w:szCs w:val="22"/>
        </w:rPr>
      </w:pPr>
      <w:r w:rsidRPr="00481B27">
        <w:rPr>
          <w:szCs w:val="22"/>
        </w:rPr>
        <w:t xml:space="preserve">Buscaglia, Edgardo, 2008, ‘The Paradox of Expected Punishment: Legal and Economic Factors Determining Success and Failure in the Fight against Organized Crime,’ </w:t>
      </w:r>
      <w:r w:rsidRPr="00481B27">
        <w:rPr>
          <w:i/>
          <w:iCs/>
          <w:szCs w:val="22"/>
        </w:rPr>
        <w:t>Review of Law &amp; Economics</w:t>
      </w:r>
      <w:r w:rsidRPr="00481B27">
        <w:rPr>
          <w:szCs w:val="22"/>
        </w:rPr>
        <w:t xml:space="preserve">: Vol. 4 : Iss. 1, Article 14. </w:t>
      </w:r>
    </w:p>
    <w:p w:rsidR="00D5759E" w:rsidRPr="00481B27" w:rsidRDefault="00D5759E" w:rsidP="00D5759E">
      <w:pPr>
        <w:rPr>
          <w:szCs w:val="24"/>
        </w:rPr>
      </w:pPr>
      <w:r w:rsidRPr="00481B27">
        <w:rPr>
          <w:szCs w:val="24"/>
        </w:rPr>
        <w:t xml:space="preserve">Butler, Henry N., and Jason Scott Johnston, 2008, ‘Consumer Harm Acts? An Economic Analysis of State Consumer Protection Acts,’ </w:t>
      </w:r>
      <w:r w:rsidRPr="00481B27">
        <w:rPr>
          <w:i/>
          <w:iCs/>
          <w:szCs w:val="24"/>
        </w:rPr>
        <w:t>Northwestern Law &amp; Economic Research Paper No. 08-02</w:t>
      </w:r>
      <w:r w:rsidRPr="00481B27">
        <w:rPr>
          <w:szCs w:val="24"/>
        </w:rPr>
        <w:t>, Northwestern University School of Law</w:t>
      </w:r>
    </w:p>
    <w:p w:rsidR="00D5759E" w:rsidRPr="00481B27" w:rsidRDefault="00D5759E" w:rsidP="00D5759E">
      <w:pPr>
        <w:rPr>
          <w:szCs w:val="22"/>
        </w:rPr>
      </w:pPr>
      <w:r w:rsidRPr="00481B27">
        <w:rPr>
          <w:szCs w:val="22"/>
        </w:rPr>
        <w:t xml:space="preserve">Carneiro, Pedro, Heckman, James J. and Dimitriy V. Masterov, 2005, ‘Labor Market  Discrimination and Racial Differences in Premarket Factors,’ </w:t>
      </w:r>
      <w:r w:rsidRPr="00481B27">
        <w:rPr>
          <w:i/>
          <w:iCs/>
          <w:szCs w:val="22"/>
        </w:rPr>
        <w:t>Journal of Law and Economics</w:t>
      </w:r>
      <w:r w:rsidRPr="00481B27">
        <w:rPr>
          <w:szCs w:val="22"/>
        </w:rPr>
        <w:t>, Vol. 48, No. 1, pp. 1-39</w:t>
      </w:r>
    </w:p>
    <w:p w:rsidR="00D5759E" w:rsidRPr="00481B27" w:rsidRDefault="00D5759E" w:rsidP="00D5759E">
      <w:pPr>
        <w:rPr>
          <w:rFonts w:cs="cmbx10"/>
          <w:szCs w:val="22"/>
        </w:rPr>
      </w:pPr>
      <w:r w:rsidRPr="00481B27">
        <w:rPr>
          <w:rFonts w:cs="cmbx10"/>
          <w:szCs w:val="22"/>
        </w:rPr>
        <w:t xml:space="preserve">Cedrangolo, Ugo, 2009, ‘The Optional Protocol to the Convention on the Rights of the Child on the Sale of Children, Child Prostitution and Child Pornography and the jurisprudence of the Committee on the Rights of the Child,’ </w:t>
      </w:r>
      <w:r w:rsidRPr="00481B27">
        <w:rPr>
          <w:rFonts w:cs="cmbx10"/>
          <w:i/>
          <w:iCs/>
          <w:szCs w:val="22"/>
        </w:rPr>
        <w:t>Innocenti Working Papers inwopa09/55</w:t>
      </w:r>
      <w:r w:rsidRPr="00481B27">
        <w:rPr>
          <w:rFonts w:cs="cmbx10"/>
          <w:szCs w:val="22"/>
        </w:rPr>
        <w:t>, UNICEF Innocenti Research Centre</w:t>
      </w:r>
    </w:p>
    <w:p w:rsidR="00B20685" w:rsidRPr="00481B27" w:rsidRDefault="00B20685" w:rsidP="00B20685">
      <w:pPr>
        <w:rPr>
          <w:szCs w:val="22"/>
        </w:rPr>
      </w:pPr>
      <w:r w:rsidRPr="00481B27">
        <w:rPr>
          <w:szCs w:val="22"/>
        </w:rPr>
        <w:t xml:space="preserve">Corman, Hope, and Naci Mocan, 2005, ‘Carrots, Sticks, and Broken Windows,’ </w:t>
      </w:r>
      <w:r w:rsidRPr="00481B27">
        <w:rPr>
          <w:i/>
          <w:iCs/>
          <w:szCs w:val="22"/>
        </w:rPr>
        <w:t>Journal of Law and Economics</w:t>
      </w:r>
      <w:r w:rsidRPr="00481B27">
        <w:rPr>
          <w:szCs w:val="22"/>
        </w:rPr>
        <w:t>,Vol. XLVIII, pp. 235-266</w:t>
      </w:r>
    </w:p>
    <w:p w:rsidR="00D5759E" w:rsidRPr="0039778F" w:rsidRDefault="00D5759E" w:rsidP="00D5759E">
      <w:pPr>
        <w:rPr>
          <w:color w:val="000000"/>
          <w:szCs w:val="24"/>
        </w:rPr>
      </w:pPr>
      <w:r w:rsidRPr="0039778F">
        <w:rPr>
          <w:color w:val="000000"/>
          <w:szCs w:val="24"/>
        </w:rPr>
        <w:t xml:space="preserve">Coase, R.H., 1959, ‘The Federal Communications Commission,’ </w:t>
      </w:r>
      <w:r w:rsidRPr="0039778F">
        <w:rPr>
          <w:i/>
          <w:iCs/>
          <w:color w:val="000000"/>
          <w:szCs w:val="24"/>
        </w:rPr>
        <w:t>Journal of Law and Economics</w:t>
      </w:r>
      <w:r w:rsidRPr="0039778F">
        <w:rPr>
          <w:color w:val="000000"/>
          <w:szCs w:val="24"/>
        </w:rPr>
        <w:t>,’ Vol. 2, pp. 1-40.</w:t>
      </w:r>
    </w:p>
    <w:p w:rsidR="00B20685" w:rsidRPr="00481B27" w:rsidRDefault="00B20685" w:rsidP="00B20685">
      <w:pPr>
        <w:rPr>
          <w:szCs w:val="24"/>
        </w:rPr>
      </w:pPr>
      <w:r w:rsidRPr="00481B27">
        <w:rPr>
          <w:szCs w:val="24"/>
        </w:rPr>
        <w:t xml:space="preserve">Curry, Philip A., and Steeve Mongrain, 2008, “What is a Gang and Why Does the Law Care?” </w:t>
      </w:r>
      <w:r w:rsidRPr="00481B27">
        <w:rPr>
          <w:i/>
          <w:iCs/>
          <w:szCs w:val="24"/>
        </w:rPr>
        <w:t>Department of Economics Working Papers 08-04</w:t>
      </w:r>
      <w:r w:rsidRPr="00481B27">
        <w:rPr>
          <w:szCs w:val="24"/>
        </w:rPr>
        <w:t>, Simon Fraser University.</w:t>
      </w:r>
    </w:p>
    <w:p w:rsidR="00D5759E" w:rsidRDefault="00D5759E" w:rsidP="00D5759E">
      <w:pPr>
        <w:rPr>
          <w:szCs w:val="24"/>
        </w:rPr>
      </w:pPr>
      <w:r w:rsidRPr="00481B27">
        <w:rPr>
          <w:szCs w:val="24"/>
        </w:rPr>
        <w:lastRenderedPageBreak/>
        <w:t xml:space="preserve">De Long, J. Bradford, and Andrei Shleifer, 1993, ‘Princes and Merchants: European City Growth before the Industrial Revolution,’ </w:t>
      </w:r>
      <w:r w:rsidRPr="00481B27">
        <w:rPr>
          <w:i/>
          <w:iCs/>
          <w:szCs w:val="24"/>
        </w:rPr>
        <w:t>Journal of Law and Economics</w:t>
      </w:r>
      <w:r w:rsidRPr="00481B27">
        <w:rPr>
          <w:szCs w:val="24"/>
        </w:rPr>
        <w:t>, Vol. 36, No. 2, pp. 671-702</w:t>
      </w:r>
    </w:p>
    <w:p w:rsidR="00D5759E" w:rsidRPr="0039778F" w:rsidRDefault="00D5759E" w:rsidP="00D5759E">
      <w:pPr>
        <w:rPr>
          <w:color w:val="000000"/>
          <w:szCs w:val="24"/>
        </w:rPr>
      </w:pPr>
      <w:r w:rsidRPr="0039778F">
        <w:rPr>
          <w:color w:val="000000"/>
          <w:szCs w:val="24"/>
        </w:rPr>
        <w:t xml:space="preserve">Djankov, Simeon, Tatiana Nenova, Caralee McLiesh, and Andrei Shleifer, 2003, ‘Who Owns the Media?,’ </w:t>
      </w:r>
      <w:r w:rsidRPr="0039778F">
        <w:rPr>
          <w:i/>
          <w:iCs/>
          <w:color w:val="000000"/>
          <w:szCs w:val="24"/>
        </w:rPr>
        <w:t>Journal of Law and Economics</w:t>
      </w:r>
      <w:r w:rsidRPr="0039778F">
        <w:rPr>
          <w:color w:val="000000"/>
          <w:szCs w:val="24"/>
        </w:rPr>
        <w:t>, Vol. 46, No. 2, pp. 341-381</w:t>
      </w:r>
    </w:p>
    <w:p w:rsidR="00B20685" w:rsidRPr="00481B27" w:rsidRDefault="00B20685" w:rsidP="00B20685">
      <w:pPr>
        <w:rPr>
          <w:szCs w:val="24"/>
        </w:rPr>
      </w:pPr>
      <w:r w:rsidRPr="00481B27">
        <w:rPr>
          <w:szCs w:val="24"/>
        </w:rPr>
        <w:t xml:space="preserve">Grinolsa, Earl L. and David B. Mustard, 2001, ‘Business Profitability versus Social Profitability: Evaluating Industries with Externalities, The Case of Casinos,’ </w:t>
      </w:r>
      <w:r w:rsidRPr="00481B27">
        <w:rPr>
          <w:i/>
          <w:iCs/>
          <w:szCs w:val="24"/>
        </w:rPr>
        <w:t>Managerial Decision Economics</w:t>
      </w:r>
      <w:r w:rsidRPr="00481B27">
        <w:rPr>
          <w:szCs w:val="24"/>
        </w:rPr>
        <w:t>, Vol. 22, pp. 143–162</w:t>
      </w:r>
    </w:p>
    <w:p w:rsidR="00B20685" w:rsidRPr="00481B27" w:rsidRDefault="00B20685" w:rsidP="00B20685">
      <w:pPr>
        <w:rPr>
          <w:rFonts w:cs="cmbx10"/>
          <w:szCs w:val="22"/>
        </w:rPr>
      </w:pPr>
      <w:r w:rsidRPr="00481B27">
        <w:rPr>
          <w:rFonts w:cs="cmbx10"/>
          <w:szCs w:val="22"/>
        </w:rPr>
        <w:t xml:space="preserve">Feldmann, H., 2009, ‘The Quality of the Legal System and Labor Market Performance around the World. </w:t>
      </w:r>
      <w:r w:rsidRPr="00481B27">
        <w:rPr>
          <w:rFonts w:cs="cmbx10"/>
          <w:i/>
          <w:iCs/>
          <w:szCs w:val="22"/>
        </w:rPr>
        <w:t>Bath Economics Working Papers No. 12/09</w:t>
      </w:r>
      <w:r w:rsidRPr="00481B27">
        <w:rPr>
          <w:rFonts w:cs="cmbx10"/>
          <w:szCs w:val="22"/>
        </w:rPr>
        <w:t>. Bath, UK: Department of Economics, University of Bath.</w:t>
      </w:r>
    </w:p>
    <w:p w:rsidR="00D5759E" w:rsidRPr="0039778F" w:rsidRDefault="00D5759E" w:rsidP="00D5759E">
      <w:pPr>
        <w:rPr>
          <w:color w:val="000000"/>
          <w:szCs w:val="24"/>
          <w:cs/>
        </w:rPr>
      </w:pPr>
      <w:r w:rsidRPr="0039778F">
        <w:rPr>
          <w:color w:val="000000"/>
          <w:szCs w:val="24"/>
        </w:rPr>
        <w:t xml:space="preserve">Ferguson, James M., ‘Daily Newspaper Advertising Rates, Local Media Cross-Ownership, Newspaper Chains, and Media Competition,’ </w:t>
      </w:r>
      <w:r w:rsidRPr="0039778F">
        <w:rPr>
          <w:i/>
          <w:iCs/>
          <w:color w:val="000000"/>
          <w:szCs w:val="24"/>
        </w:rPr>
        <w:t>Journal of Law and Economics</w:t>
      </w:r>
      <w:r w:rsidRPr="0039778F">
        <w:rPr>
          <w:color w:val="000000"/>
          <w:szCs w:val="24"/>
        </w:rPr>
        <w:t>, Vol. 26, No. 3, pp. 635-654</w:t>
      </w:r>
    </w:p>
    <w:p w:rsidR="00D5759E" w:rsidRDefault="00D5759E" w:rsidP="00D5759E">
      <w:pPr>
        <w:rPr>
          <w:szCs w:val="24"/>
        </w:rPr>
      </w:pPr>
      <w:r w:rsidRPr="00481B27">
        <w:rPr>
          <w:szCs w:val="24"/>
        </w:rPr>
        <w:t xml:space="preserve">Haupt, Stefan, 2003, ‘An Economic Analysis of Consumer Protection Law,’ </w:t>
      </w:r>
      <w:r w:rsidRPr="00481B27">
        <w:rPr>
          <w:i/>
          <w:iCs/>
          <w:szCs w:val="24"/>
        </w:rPr>
        <w:t>German Law Journal</w:t>
      </w:r>
      <w:r w:rsidRPr="00481B27">
        <w:rPr>
          <w:szCs w:val="24"/>
        </w:rPr>
        <w:t>, Vol. 4, No. 11, pp. 1137-1164</w:t>
      </w:r>
    </w:p>
    <w:p w:rsidR="00B20685" w:rsidRPr="00481B27" w:rsidRDefault="00B20685" w:rsidP="00B20685">
      <w:pPr>
        <w:rPr>
          <w:szCs w:val="22"/>
        </w:rPr>
      </w:pPr>
      <w:r w:rsidRPr="00481B27">
        <w:rPr>
          <w:szCs w:val="22"/>
        </w:rPr>
        <w:t xml:space="preserve">Jones, Ethel B., 1991, ‘The Economics of Woman Suffrage,’ </w:t>
      </w:r>
      <w:r w:rsidRPr="00481B27">
        <w:rPr>
          <w:i/>
          <w:iCs/>
          <w:szCs w:val="22"/>
        </w:rPr>
        <w:t>Journal of Legal Studies</w:t>
      </w:r>
      <w:r w:rsidRPr="00481B27">
        <w:rPr>
          <w:szCs w:val="22"/>
        </w:rPr>
        <w:t>, Vol. 20, No. 2, pp. 423-437</w:t>
      </w:r>
    </w:p>
    <w:p w:rsidR="00D5759E" w:rsidRPr="00481B27" w:rsidRDefault="00D5759E" w:rsidP="00D5759E">
      <w:pPr>
        <w:rPr>
          <w:szCs w:val="22"/>
        </w:rPr>
      </w:pPr>
      <w:r w:rsidRPr="00481B27">
        <w:rPr>
          <w:szCs w:val="22"/>
        </w:rPr>
        <w:t xml:space="preserve">Kaplow, Louis, 2005, ‘Pareto Principle and Competing Principles,’ </w:t>
      </w:r>
      <w:r w:rsidRPr="00481B27">
        <w:rPr>
          <w:i/>
          <w:iCs/>
          <w:szCs w:val="22"/>
        </w:rPr>
        <w:t>Harvard John M Olin Discussion Paper No. 519</w:t>
      </w:r>
      <w:r w:rsidRPr="00481B27">
        <w:rPr>
          <w:szCs w:val="22"/>
        </w:rPr>
        <w:t>, Harvard Law School, Cambridge, MA 02138</w:t>
      </w:r>
    </w:p>
    <w:p w:rsidR="00D5759E" w:rsidRPr="001161A4" w:rsidRDefault="00D5759E" w:rsidP="00D5759E">
      <w:pPr>
        <w:rPr>
          <w:szCs w:val="24"/>
        </w:rPr>
      </w:pPr>
      <w:r w:rsidRPr="001161A4">
        <w:rPr>
          <w:szCs w:val="24"/>
        </w:rPr>
        <w:t xml:space="preserve">Kohlscheen, Emanuel, 2007, “Why Are There Serial Defaulters? Evidence from Constitutions,” </w:t>
      </w:r>
      <w:r w:rsidRPr="001161A4">
        <w:rPr>
          <w:i/>
          <w:iCs/>
          <w:szCs w:val="24"/>
        </w:rPr>
        <w:t>Journal of Law and Economics</w:t>
      </w:r>
      <w:r w:rsidRPr="001161A4">
        <w:rPr>
          <w:szCs w:val="24"/>
        </w:rPr>
        <w:t>, Vol. 50, pp. 713-730</w:t>
      </w:r>
    </w:p>
    <w:p w:rsidR="00B20685" w:rsidRPr="00481B27" w:rsidRDefault="00B20685" w:rsidP="00B20685">
      <w:pPr>
        <w:rPr>
          <w:szCs w:val="22"/>
        </w:rPr>
      </w:pPr>
      <w:r w:rsidRPr="00481B27">
        <w:rPr>
          <w:szCs w:val="22"/>
        </w:rPr>
        <w:t xml:space="preserve">Lleras-Muney, Adriana, 2002, ‘Were Compulsory Attendance and Child Labor Laws Effective? An Analysis from 1915 to 1939,’ </w:t>
      </w:r>
      <w:r w:rsidRPr="00481B27">
        <w:rPr>
          <w:i/>
          <w:iCs/>
          <w:szCs w:val="22"/>
        </w:rPr>
        <w:t>Journal of Law and Economics</w:t>
      </w:r>
      <w:r w:rsidRPr="00481B27">
        <w:rPr>
          <w:szCs w:val="22"/>
        </w:rPr>
        <w:t>, Vol. 45, No. 2, Part 1 (Oct., 2002), pp. 401-435</w:t>
      </w:r>
    </w:p>
    <w:p w:rsidR="00D5759E" w:rsidRDefault="00D5759E" w:rsidP="00D5759E">
      <w:pPr>
        <w:rPr>
          <w:szCs w:val="24"/>
        </w:rPr>
      </w:pPr>
      <w:r w:rsidRPr="0039778F">
        <w:rPr>
          <w:color w:val="000000"/>
          <w:szCs w:val="24"/>
        </w:rPr>
        <w:t xml:space="preserve">Moreton, Patrick S. and Pablo T. Spiller, 1998, ‘What's in the Air: Interlicense Synergies in the Federal Communications Commission's Broadband Personal Communication Service Spectrum Auctions,’ </w:t>
      </w:r>
      <w:r w:rsidRPr="0039778F">
        <w:rPr>
          <w:i/>
          <w:iCs/>
          <w:color w:val="000000"/>
          <w:szCs w:val="24"/>
        </w:rPr>
        <w:t>Journal of Law and Economics</w:t>
      </w:r>
      <w:r w:rsidRPr="0039778F">
        <w:rPr>
          <w:color w:val="000000"/>
          <w:szCs w:val="24"/>
        </w:rPr>
        <w:t>, Vol. 41, No. 2, Part 2, The Law and Economics of Property Rights to Radio Spectrum: A Conference Sponsored by the Program on Telecommunications Policy, Institute of Governmental Affairs, University of California, Davis, pp. 677-716</w:t>
      </w:r>
    </w:p>
    <w:p w:rsidR="00B20685" w:rsidRPr="00481B27" w:rsidRDefault="00B20685" w:rsidP="00B20685">
      <w:pPr>
        <w:rPr>
          <w:szCs w:val="22"/>
        </w:rPr>
      </w:pPr>
      <w:r w:rsidRPr="00481B27">
        <w:rPr>
          <w:szCs w:val="22"/>
        </w:rPr>
        <w:t xml:space="preserve">Neumayer , Eric, 2005, ‘Do International Human Rights Treaties Improve Respect for Human Rights?’ </w:t>
      </w:r>
      <w:r w:rsidRPr="00481B27">
        <w:rPr>
          <w:i/>
          <w:iCs/>
          <w:szCs w:val="22"/>
        </w:rPr>
        <w:t>Journal of Conflict Resolution,</w:t>
      </w:r>
      <w:r w:rsidRPr="00481B27">
        <w:rPr>
          <w:szCs w:val="22"/>
        </w:rPr>
        <w:t xml:space="preserve"> Vol. 49, No. 6, pp. 925-953</w:t>
      </w:r>
    </w:p>
    <w:p w:rsidR="00B20685" w:rsidRPr="00481B27" w:rsidRDefault="00B20685" w:rsidP="00B20685">
      <w:pPr>
        <w:rPr>
          <w:szCs w:val="22"/>
        </w:rPr>
      </w:pPr>
      <w:r w:rsidRPr="00481B27">
        <w:rPr>
          <w:szCs w:val="22"/>
        </w:rPr>
        <w:t xml:space="preserve">Ramseyer, J. Mark , 1991, ‘Indentured Prostitution in Imperial Japan: Credible Commitments in the Commercial Sex Industry,’ </w:t>
      </w:r>
      <w:r w:rsidRPr="00481B27">
        <w:rPr>
          <w:i/>
          <w:iCs/>
          <w:szCs w:val="22"/>
        </w:rPr>
        <w:t>Journal of Law, Economics, &amp; Organization</w:t>
      </w:r>
      <w:r w:rsidRPr="00481B27">
        <w:rPr>
          <w:szCs w:val="22"/>
        </w:rPr>
        <w:t>, Vol. 7, No. 1, pp. 89-116</w:t>
      </w:r>
    </w:p>
    <w:p w:rsidR="00D5759E" w:rsidRPr="00481B27" w:rsidRDefault="00D5759E" w:rsidP="00D5759E">
      <w:pPr>
        <w:rPr>
          <w:szCs w:val="24"/>
        </w:rPr>
      </w:pPr>
      <w:r w:rsidRPr="00481B27">
        <w:rPr>
          <w:szCs w:val="24"/>
        </w:rPr>
        <w:t xml:space="preserve">Rasmusen, Eric, 1996, ‘Stigma and Self-Fulfilling Expectations of Criminality,’ </w:t>
      </w:r>
      <w:r w:rsidRPr="00481B27">
        <w:rPr>
          <w:i/>
          <w:iCs/>
          <w:szCs w:val="24"/>
        </w:rPr>
        <w:t>Journal of Law and Economics</w:t>
      </w:r>
      <w:r w:rsidRPr="00481B27">
        <w:rPr>
          <w:szCs w:val="24"/>
        </w:rPr>
        <w:t>,’ Vol. 39, No. 2, pp. 519-543</w:t>
      </w:r>
    </w:p>
    <w:p w:rsidR="00D5759E" w:rsidRPr="001161A4" w:rsidRDefault="00D5759E" w:rsidP="00D5759E">
      <w:pPr>
        <w:rPr>
          <w:szCs w:val="24"/>
        </w:rPr>
      </w:pPr>
      <w:r w:rsidRPr="001161A4">
        <w:rPr>
          <w:szCs w:val="24"/>
        </w:rPr>
        <w:t xml:space="preserve">Renas, Stephen M., Rishi Kumar, Charles J. Hartmann, and Donn G. Shankland, 1983, “Toward an Economic Theory of Defamation, Liability, and the Press,” </w:t>
      </w:r>
      <w:r w:rsidRPr="001161A4">
        <w:rPr>
          <w:i/>
          <w:iCs/>
          <w:szCs w:val="24"/>
        </w:rPr>
        <w:t>Southern Economic Journal</w:t>
      </w:r>
      <w:r w:rsidRPr="001161A4">
        <w:rPr>
          <w:szCs w:val="24"/>
        </w:rPr>
        <w:t>, Vol. 50, No. 2 (Oct., 1983), pp. 451-460</w:t>
      </w:r>
    </w:p>
    <w:p w:rsidR="00D5759E" w:rsidRPr="00481B27" w:rsidRDefault="00D5759E" w:rsidP="00D5759E">
      <w:pPr>
        <w:rPr>
          <w:szCs w:val="22"/>
        </w:rPr>
      </w:pPr>
      <w:r w:rsidRPr="00481B27">
        <w:rPr>
          <w:szCs w:val="22"/>
        </w:rPr>
        <w:lastRenderedPageBreak/>
        <w:t>Risse, Mathias, 2007, ‘Right to Work? A Right to Holidays with Pay? Labor Rights as Human Rights,’</w:t>
      </w:r>
      <w:r w:rsidRPr="00481B27">
        <w:rPr>
          <w:i/>
          <w:iCs/>
          <w:szCs w:val="22"/>
        </w:rPr>
        <w:t xml:space="preserve"> John F. Kennedy School of Government Working Paper Series rwp07-058</w:t>
      </w:r>
      <w:r w:rsidRPr="00481B27">
        <w:rPr>
          <w:szCs w:val="22"/>
        </w:rPr>
        <w:t>, Harvard University, Cambridge, MA</w:t>
      </w:r>
    </w:p>
    <w:p w:rsidR="00D5759E" w:rsidRPr="00481B27" w:rsidRDefault="00D5759E" w:rsidP="00D5759E">
      <w:pPr>
        <w:rPr>
          <w:szCs w:val="22"/>
        </w:rPr>
      </w:pPr>
      <w:r w:rsidRPr="00481B27">
        <w:rPr>
          <w:szCs w:val="22"/>
        </w:rPr>
        <w:t xml:space="preserve">Spier, Kathryn E., 2002, ‘Settlement with Multiple Plaintiffs: The Role of Insolvency,’ </w:t>
      </w:r>
      <w:r w:rsidRPr="00481B27">
        <w:rPr>
          <w:i/>
          <w:iCs/>
          <w:szCs w:val="22"/>
        </w:rPr>
        <w:t>Journal of Law, Economics, &amp; Organization</w:t>
      </w:r>
      <w:r w:rsidRPr="00481B27">
        <w:rPr>
          <w:szCs w:val="22"/>
        </w:rPr>
        <w:t>, Vol. 18, No. 2, pp. 295-323</w:t>
      </w:r>
    </w:p>
    <w:p w:rsidR="00B20685" w:rsidRPr="00481B27" w:rsidRDefault="00B20685" w:rsidP="00B20685">
      <w:pPr>
        <w:rPr>
          <w:szCs w:val="22"/>
        </w:rPr>
      </w:pPr>
      <w:r w:rsidRPr="00481B27">
        <w:rPr>
          <w:szCs w:val="22"/>
        </w:rPr>
        <w:t xml:space="preserve">Veseth, Michael, 1982, ‘The Economics of Property Rights and Human Rights,’ </w:t>
      </w:r>
      <w:r w:rsidRPr="00481B27">
        <w:rPr>
          <w:i/>
          <w:iCs/>
          <w:szCs w:val="22"/>
        </w:rPr>
        <w:t>American Journal of Economics and Sociology</w:t>
      </w:r>
      <w:r w:rsidRPr="00481B27">
        <w:rPr>
          <w:szCs w:val="22"/>
        </w:rPr>
        <w:t>, Vol. 41, No. 2, pp. 169-181</w:t>
      </w:r>
    </w:p>
    <w:p w:rsidR="00B20685" w:rsidRPr="00481B27" w:rsidRDefault="00B20685" w:rsidP="00B20685">
      <w:pPr>
        <w:rPr>
          <w:szCs w:val="22"/>
        </w:rPr>
      </w:pPr>
      <w:r w:rsidRPr="00481B27">
        <w:rPr>
          <w:szCs w:val="22"/>
        </w:rPr>
        <w:t xml:space="preserve">Wei Fan and Michelle J. White, 2003, ‘Personal Bankruptcy and the Level of Entrepreneurial Activity Personal Bankruptcy and the Level of Entrepreneurial Activity,’ </w:t>
      </w:r>
      <w:r w:rsidRPr="00481B27">
        <w:rPr>
          <w:i/>
          <w:iCs/>
          <w:szCs w:val="22"/>
        </w:rPr>
        <w:t>Journal of Law and Economics</w:t>
      </w:r>
      <w:r w:rsidRPr="00481B27">
        <w:rPr>
          <w:szCs w:val="22"/>
        </w:rPr>
        <w:t>, Vol. 46, No. 2, pp. 543-567</w:t>
      </w:r>
    </w:p>
    <w:p w:rsidR="00B20685" w:rsidRPr="00B20685" w:rsidRDefault="00B20685" w:rsidP="00E805BD">
      <w:pPr>
        <w:rPr>
          <w:szCs w:val="24"/>
          <w:cs/>
        </w:rPr>
      </w:pPr>
    </w:p>
    <w:sectPr w:rsidR="00B20685" w:rsidRPr="00B20685" w:rsidSect="00481B27">
      <w:pgSz w:w="12240" w:h="15840"/>
      <w:pgMar w:top="1440" w:right="1080" w:bottom="144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ngsana New">
    <w:panose1 w:val="02020603050405020304"/>
    <w:charset w:val="00"/>
    <w:family w:val="roman"/>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DilleniaUPC">
    <w:panose1 w:val="02020603050405020304"/>
    <w:charset w:val="DE"/>
    <w:family w:val="roman"/>
    <w:pitch w:val="variable"/>
    <w:sig w:usb0="01000001" w:usb1="00000000" w:usb2="00000000" w:usb3="00000000" w:csb0="00010000" w:csb1="00000000"/>
  </w:font>
  <w:font w:name="cmbx10">
    <w:panose1 w:val="020B0500000000000000"/>
    <w:charset w:val="00"/>
    <w:family w:val="swiss"/>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ordia New">
    <w:panose1 w:val="020B0304020202020204"/>
    <w:charset w:val="00"/>
    <w:family w:val="swiss"/>
    <w:pitch w:val="variable"/>
    <w:sig w:usb0="01000003" w:usb1="00000000" w:usb2="00000000" w:usb3="00000000" w:csb0="0001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embedSystemFonts/>
  <w:stylePaneFormatFilter w:val="3F01"/>
  <w:defaultTabStop w:val="720"/>
  <w:doNotHyphenateCaps/>
  <w:drawingGridHorizontalSpacing w:val="110"/>
  <w:displayHorizontalDrawingGridEvery w:val="2"/>
  <w:characterSpacingControl w:val="doNotCompress"/>
  <w:doNotValidateAgainstSchema/>
  <w:doNotDemarcateInvalidXml/>
  <w:compat>
    <w:applyBreakingRules/>
  </w:compat>
  <w:rsids>
    <w:rsidRoot w:val="00B56BA8"/>
    <w:rsid w:val="0000176B"/>
    <w:rsid w:val="0000303A"/>
    <w:rsid w:val="00012392"/>
    <w:rsid w:val="00054881"/>
    <w:rsid w:val="000A71E8"/>
    <w:rsid w:val="000E3DB4"/>
    <w:rsid w:val="001161A4"/>
    <w:rsid w:val="00180637"/>
    <w:rsid w:val="001C336A"/>
    <w:rsid w:val="001D015E"/>
    <w:rsid w:val="00210E09"/>
    <w:rsid w:val="00263752"/>
    <w:rsid w:val="002B1686"/>
    <w:rsid w:val="002E4666"/>
    <w:rsid w:val="00302D48"/>
    <w:rsid w:val="00331F65"/>
    <w:rsid w:val="00364A23"/>
    <w:rsid w:val="00386DFF"/>
    <w:rsid w:val="0039778F"/>
    <w:rsid w:val="003A559F"/>
    <w:rsid w:val="003B011E"/>
    <w:rsid w:val="003C13E6"/>
    <w:rsid w:val="003D6DB6"/>
    <w:rsid w:val="004041D6"/>
    <w:rsid w:val="00446D4B"/>
    <w:rsid w:val="00481B27"/>
    <w:rsid w:val="0058327B"/>
    <w:rsid w:val="00587969"/>
    <w:rsid w:val="005E0EE4"/>
    <w:rsid w:val="00634740"/>
    <w:rsid w:val="0064624D"/>
    <w:rsid w:val="006821D6"/>
    <w:rsid w:val="007142A8"/>
    <w:rsid w:val="00732505"/>
    <w:rsid w:val="00744FE3"/>
    <w:rsid w:val="00747A04"/>
    <w:rsid w:val="007926AC"/>
    <w:rsid w:val="007F340F"/>
    <w:rsid w:val="008245C5"/>
    <w:rsid w:val="009339F2"/>
    <w:rsid w:val="009869A5"/>
    <w:rsid w:val="009C2384"/>
    <w:rsid w:val="009F5858"/>
    <w:rsid w:val="00A334B5"/>
    <w:rsid w:val="00A616CB"/>
    <w:rsid w:val="00A96BDE"/>
    <w:rsid w:val="00AE14FB"/>
    <w:rsid w:val="00AF7F74"/>
    <w:rsid w:val="00B07906"/>
    <w:rsid w:val="00B20685"/>
    <w:rsid w:val="00B56BA8"/>
    <w:rsid w:val="00B71CF6"/>
    <w:rsid w:val="00B80958"/>
    <w:rsid w:val="00BE17EC"/>
    <w:rsid w:val="00BF5D7D"/>
    <w:rsid w:val="00C07879"/>
    <w:rsid w:val="00CB6F6D"/>
    <w:rsid w:val="00CC6474"/>
    <w:rsid w:val="00D568BF"/>
    <w:rsid w:val="00D5759E"/>
    <w:rsid w:val="00DB5A8D"/>
    <w:rsid w:val="00DE480A"/>
    <w:rsid w:val="00E127E0"/>
    <w:rsid w:val="00E20C0A"/>
    <w:rsid w:val="00E3329A"/>
    <w:rsid w:val="00E62B5D"/>
    <w:rsid w:val="00E805BD"/>
    <w:rsid w:val="00E81AA5"/>
    <w:rsid w:val="00E91F12"/>
    <w:rsid w:val="00F04E28"/>
    <w:rsid w:val="00F903E4"/>
    <w:rsid w:val="00F91D46"/>
    <w:rsid w:val="00FE0149"/>
    <w:rsid w:val="00FF59B5"/>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ngsana New"/>
        <w:lang w:val="en-US" w:eastAsia="en-US" w:bidi="th-TH"/>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HTML Cite"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47A04"/>
    <w:pPr>
      <w:spacing w:after="200" w:line="276" w:lineRule="auto"/>
    </w:pPr>
    <w:rPr>
      <w:rFonts w:eastAsia="Times New Roman"/>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B56BA8"/>
    <w:rPr>
      <w:rFonts w:cs="Times New Roman"/>
      <w:i/>
      <w:iCs/>
    </w:rPr>
  </w:style>
  <w:style w:type="character" w:styleId="Strong">
    <w:name w:val="Strong"/>
    <w:basedOn w:val="DefaultParagraphFont"/>
    <w:qFormat/>
    <w:rsid w:val="00B56BA8"/>
    <w:rPr>
      <w:rFonts w:cs="Times New Roman"/>
      <w:b/>
      <w:bCs/>
    </w:rPr>
  </w:style>
  <w:style w:type="character" w:styleId="Hyperlink">
    <w:name w:val="Hyperlink"/>
    <w:basedOn w:val="DefaultParagraphFont"/>
    <w:rsid w:val="00B71CF6"/>
    <w:rPr>
      <w:rFonts w:cs="Times New Roman"/>
      <w:color w:val="0000FF"/>
      <w:u w:val="single"/>
    </w:rPr>
  </w:style>
  <w:style w:type="character" w:styleId="HTMLCite">
    <w:name w:val="HTML Cite"/>
    <w:basedOn w:val="DefaultParagraphFont"/>
    <w:uiPriority w:val="99"/>
    <w:unhideWhenUsed/>
    <w:rsid w:val="00F04E28"/>
    <w:rPr>
      <w:i/>
      <w:iCs/>
    </w:rPr>
  </w:style>
</w:styles>
</file>

<file path=word/webSettings.xml><?xml version="1.0" encoding="utf-8"?>
<w:webSettings xmlns:r="http://schemas.openxmlformats.org/officeDocument/2006/relationships" xmlns:w="http://schemas.openxmlformats.org/wordprocessingml/2006/main">
  <w:divs>
    <w:div w:id="3">
      <w:marLeft w:val="0"/>
      <w:marRight w:val="0"/>
      <w:marTop w:val="0"/>
      <w:marBottom w:val="0"/>
      <w:divBdr>
        <w:top w:val="none" w:sz="0" w:space="0" w:color="auto"/>
        <w:left w:val="none" w:sz="0" w:space="0" w:color="auto"/>
        <w:bottom w:val="none" w:sz="0" w:space="0" w:color="auto"/>
        <w:right w:val="none" w:sz="0" w:space="0" w:color="auto"/>
      </w:divBdr>
      <w:divsChild>
        <w:div w:id="16">
          <w:marLeft w:val="31"/>
          <w:marRight w:val="31"/>
          <w:marTop w:val="41"/>
          <w:marBottom w:val="10"/>
          <w:divBdr>
            <w:top w:val="single" w:sz="2" w:space="0" w:color="E9E6D1"/>
            <w:left w:val="single" w:sz="4" w:space="0" w:color="E9E6D1"/>
            <w:bottom w:val="single" w:sz="4" w:space="0" w:color="E9E6D1"/>
            <w:right w:val="single" w:sz="4" w:space="0" w:color="E9E6D1"/>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240"/>
                  <w:marBottom w:val="0"/>
                  <w:divBdr>
                    <w:top w:val="single" w:sz="4" w:space="0" w:color="B7B387"/>
                    <w:left w:val="single" w:sz="4" w:space="12" w:color="B7B387"/>
                    <w:bottom w:val="single" w:sz="4" w:space="12" w:color="E5E3CB"/>
                    <w:right w:val="single" w:sz="4" w:space="12" w:color="E5E3CB"/>
                  </w:divBdr>
                </w:div>
              </w:divsChild>
            </w:div>
          </w:divsChild>
        </w:div>
      </w:divsChild>
    </w:div>
    <w:div w:id="7">
      <w:marLeft w:val="0"/>
      <w:marRight w:val="0"/>
      <w:marTop w:val="0"/>
      <w:marBottom w:val="0"/>
      <w:divBdr>
        <w:top w:val="none" w:sz="0" w:space="0" w:color="auto"/>
        <w:left w:val="none" w:sz="0" w:space="0" w:color="auto"/>
        <w:bottom w:val="none" w:sz="0" w:space="0" w:color="auto"/>
        <w:right w:val="none" w:sz="0" w:space="0" w:color="auto"/>
      </w:divBdr>
      <w:divsChild>
        <w:div w:id="5">
          <w:marLeft w:val="31"/>
          <w:marRight w:val="31"/>
          <w:marTop w:val="41"/>
          <w:marBottom w:val="10"/>
          <w:divBdr>
            <w:top w:val="single" w:sz="2" w:space="0" w:color="E9E6D1"/>
            <w:left w:val="single" w:sz="4" w:space="0" w:color="E9E6D1"/>
            <w:bottom w:val="single" w:sz="4" w:space="0" w:color="E9E6D1"/>
            <w:right w:val="single" w:sz="4" w:space="0" w:color="E9E6D1"/>
          </w:divBdr>
          <w:divsChild>
            <w:div w:id="2">
              <w:marLeft w:val="0"/>
              <w:marRight w:val="0"/>
              <w:marTop w:val="0"/>
              <w:marBottom w:val="0"/>
              <w:divBdr>
                <w:top w:val="none" w:sz="0" w:space="0" w:color="auto"/>
                <w:left w:val="none" w:sz="0" w:space="0" w:color="auto"/>
                <w:bottom w:val="single" w:sz="4" w:space="12" w:color="E9E6D1"/>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240"/>
                      <w:marBottom w:val="0"/>
                      <w:divBdr>
                        <w:top w:val="single" w:sz="4" w:space="0" w:color="B7B387"/>
                        <w:left w:val="single" w:sz="4" w:space="12" w:color="B7B387"/>
                        <w:bottom w:val="single" w:sz="4" w:space="12" w:color="E5E3CB"/>
                        <w:right w:val="single" w:sz="4" w:space="12" w:color="E5E3CB"/>
                      </w:divBdr>
                      <w:divsChild>
                        <w:div w:id="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
      <w:marLeft w:val="0"/>
      <w:marRight w:val="0"/>
      <w:marTop w:val="0"/>
      <w:marBottom w:val="0"/>
      <w:divBdr>
        <w:top w:val="none" w:sz="0" w:space="0" w:color="auto"/>
        <w:left w:val="none" w:sz="0" w:space="0" w:color="auto"/>
        <w:bottom w:val="none" w:sz="0" w:space="0" w:color="auto"/>
        <w:right w:val="none" w:sz="0" w:space="0" w:color="auto"/>
      </w:divBdr>
      <w:divsChild>
        <w:div w:id="1">
          <w:marLeft w:val="31"/>
          <w:marRight w:val="31"/>
          <w:marTop w:val="41"/>
          <w:marBottom w:val="10"/>
          <w:divBdr>
            <w:top w:val="single" w:sz="2" w:space="0" w:color="E9E6D1"/>
            <w:left w:val="single" w:sz="4" w:space="0" w:color="E9E6D1"/>
            <w:bottom w:val="single" w:sz="4" w:space="0" w:color="E9E6D1"/>
            <w:right w:val="single" w:sz="4" w:space="0" w:color="E9E6D1"/>
          </w:divBdr>
          <w:divsChild>
            <w:div w:id="14">
              <w:marLeft w:val="0"/>
              <w:marRight w:val="0"/>
              <w:marTop w:val="0"/>
              <w:marBottom w:val="0"/>
              <w:divBdr>
                <w:top w:val="none" w:sz="0" w:space="0" w:color="auto"/>
                <w:left w:val="none" w:sz="0" w:space="0" w:color="auto"/>
                <w:bottom w:val="single" w:sz="4" w:space="12" w:color="E9E6D1"/>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240"/>
                      <w:marBottom w:val="0"/>
                      <w:divBdr>
                        <w:top w:val="single" w:sz="4" w:space="0" w:color="B7B387"/>
                        <w:left w:val="single" w:sz="4" w:space="12" w:color="B7B387"/>
                        <w:bottom w:val="single" w:sz="4" w:space="12" w:color="E5E3CB"/>
                        <w:right w:val="single" w:sz="4" w:space="12" w:color="E5E3CB"/>
                      </w:divBdr>
                      <w:divsChild>
                        <w:div w:id="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5013571">
      <w:bodyDiv w:val="1"/>
      <w:marLeft w:val="0"/>
      <w:marRight w:val="0"/>
      <w:marTop w:val="0"/>
      <w:marBottom w:val="0"/>
      <w:divBdr>
        <w:top w:val="none" w:sz="0" w:space="0" w:color="auto"/>
        <w:left w:val="none" w:sz="0" w:space="0" w:color="auto"/>
        <w:bottom w:val="none" w:sz="0" w:space="0" w:color="auto"/>
        <w:right w:val="none" w:sz="0" w:space="0" w:color="auto"/>
      </w:divBdr>
      <w:divsChild>
        <w:div w:id="1626538930">
          <w:marLeft w:val="0"/>
          <w:marRight w:val="0"/>
          <w:marTop w:val="0"/>
          <w:marBottom w:val="0"/>
          <w:divBdr>
            <w:top w:val="none" w:sz="0" w:space="0" w:color="auto"/>
            <w:left w:val="none" w:sz="0" w:space="0" w:color="auto"/>
            <w:bottom w:val="none" w:sz="0" w:space="0" w:color="auto"/>
            <w:right w:val="none" w:sz="0" w:space="0" w:color="auto"/>
          </w:divBdr>
          <w:divsChild>
            <w:div w:id="42952340">
              <w:marLeft w:val="0"/>
              <w:marRight w:val="0"/>
              <w:marTop w:val="0"/>
              <w:marBottom w:val="0"/>
              <w:divBdr>
                <w:top w:val="none" w:sz="0" w:space="0" w:color="auto"/>
                <w:left w:val="none" w:sz="0" w:space="0" w:color="auto"/>
                <w:bottom w:val="none" w:sz="0" w:space="0" w:color="auto"/>
                <w:right w:val="none" w:sz="0" w:space="0" w:color="auto"/>
              </w:divBdr>
              <w:divsChild>
                <w:div w:id="1166047547">
                  <w:marLeft w:val="0"/>
                  <w:marRight w:val="0"/>
                  <w:marTop w:val="0"/>
                  <w:marBottom w:val="0"/>
                  <w:divBdr>
                    <w:top w:val="none" w:sz="0" w:space="0" w:color="auto"/>
                    <w:left w:val="none" w:sz="0" w:space="0" w:color="auto"/>
                    <w:bottom w:val="none" w:sz="0" w:space="0" w:color="auto"/>
                    <w:right w:val="none" w:sz="0" w:space="0" w:color="auto"/>
                  </w:divBdr>
                  <w:divsChild>
                    <w:div w:id="405304850">
                      <w:marLeft w:val="0"/>
                      <w:marRight w:val="0"/>
                      <w:marTop w:val="0"/>
                      <w:marBottom w:val="0"/>
                      <w:divBdr>
                        <w:top w:val="none" w:sz="0" w:space="0" w:color="auto"/>
                        <w:left w:val="none" w:sz="0" w:space="0" w:color="auto"/>
                        <w:bottom w:val="none" w:sz="0" w:space="0" w:color="auto"/>
                        <w:right w:val="none" w:sz="0" w:space="0" w:color="auto"/>
                      </w:divBdr>
                      <w:divsChild>
                        <w:div w:id="918249232">
                          <w:marLeft w:val="0"/>
                          <w:marRight w:val="0"/>
                          <w:marTop w:val="0"/>
                          <w:marBottom w:val="0"/>
                          <w:divBdr>
                            <w:top w:val="none" w:sz="0" w:space="0" w:color="auto"/>
                            <w:left w:val="none" w:sz="0" w:space="0" w:color="auto"/>
                            <w:bottom w:val="none" w:sz="0" w:space="0" w:color="auto"/>
                            <w:right w:val="none" w:sz="0" w:space="0" w:color="auto"/>
                          </w:divBdr>
                          <w:divsChild>
                            <w:div w:id="1362438894">
                              <w:marLeft w:val="0"/>
                              <w:marRight w:val="0"/>
                              <w:marTop w:val="0"/>
                              <w:marBottom w:val="0"/>
                              <w:divBdr>
                                <w:top w:val="none" w:sz="0" w:space="0" w:color="auto"/>
                                <w:left w:val="none" w:sz="0" w:space="0" w:color="auto"/>
                                <w:bottom w:val="none" w:sz="0" w:space="0" w:color="auto"/>
                                <w:right w:val="none" w:sz="0" w:space="0" w:color="auto"/>
                              </w:divBdr>
                            </w:div>
                            <w:div w:id="991251059">
                              <w:marLeft w:val="0"/>
                              <w:marRight w:val="0"/>
                              <w:marTop w:val="0"/>
                              <w:marBottom w:val="0"/>
                              <w:divBdr>
                                <w:top w:val="none" w:sz="0" w:space="0" w:color="auto"/>
                                <w:left w:val="none" w:sz="0" w:space="0" w:color="auto"/>
                                <w:bottom w:val="none" w:sz="0" w:space="0" w:color="auto"/>
                                <w:right w:val="none" w:sz="0" w:space="0" w:color="auto"/>
                              </w:divBdr>
                              <w:divsChild>
                                <w:div w:id="1056442">
                                  <w:marLeft w:val="0"/>
                                  <w:marRight w:val="0"/>
                                  <w:marTop w:val="0"/>
                                  <w:marBottom w:val="0"/>
                                  <w:divBdr>
                                    <w:top w:val="none" w:sz="0" w:space="0" w:color="auto"/>
                                    <w:left w:val="none" w:sz="0" w:space="0" w:color="auto"/>
                                    <w:bottom w:val="none" w:sz="0" w:space="0" w:color="auto"/>
                                    <w:right w:val="none" w:sz="0" w:space="0" w:color="auto"/>
                                  </w:divBdr>
                                </w:div>
                                <w:div w:id="145517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upruet@econ.tu.ac.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9</Pages>
  <Words>3248</Words>
  <Characters>18518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หากนักศึกษาสนใจบทความอื่น กรุณาส่งชื่อบทความและผู้แต่ง และ/หรือ ไฟล์ของบทความนั้นมาให้อาจารย์โดยด่วน ที่ supruet@hotmail</vt:lpstr>
    </vt:vector>
  </TitlesOfParts>
  <Company>faculty of economic</Company>
  <LinksUpToDate>false</LinksUpToDate>
  <CharactersWithSpaces>21723</CharactersWithSpaces>
  <SharedDoc>false</SharedDoc>
  <HLinks>
    <vt:vector size="6" baseType="variant">
      <vt:variant>
        <vt:i4>8323138</vt:i4>
      </vt:variant>
      <vt:variant>
        <vt:i4>0</vt:i4>
      </vt:variant>
      <vt:variant>
        <vt:i4>0</vt:i4>
      </vt:variant>
      <vt:variant>
        <vt:i4>5</vt:i4>
      </vt:variant>
      <vt:variant>
        <vt:lpwstr>mailto:supruet@hotmail.com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หากนักศึกษาสนใจบทความอื่น กรุณาส่งชื่อบทความและผู้แต่ง และ/หรือ ไฟล์ของบทความนั้นมาให้อาจารย์โดยด่วน ที่ supruet@hotmail</dc:title>
  <dc:subject/>
  <dc:creator>LABY-C99</dc:creator>
  <cp:keywords/>
  <dc:description/>
  <cp:lastModifiedBy>test</cp:lastModifiedBy>
  <cp:revision>26</cp:revision>
  <dcterms:created xsi:type="dcterms:W3CDTF">2011-08-26T08:23:00Z</dcterms:created>
  <dcterms:modified xsi:type="dcterms:W3CDTF">2011-08-26T09:52:00Z</dcterms:modified>
</cp:coreProperties>
</file>