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56AE9" w14:textId="77777777" w:rsidR="00176F3D" w:rsidRPr="002A0FC0" w:rsidRDefault="00176F3D" w:rsidP="00176F3D">
      <w:pPr>
        <w:pStyle w:val="Title"/>
        <w:jc w:val="left"/>
        <w:rPr>
          <w:rFonts w:asciiTheme="majorHAnsi" w:hAnsiTheme="majorHAnsi"/>
          <w:color w:val="auto"/>
          <w:sz w:val="24"/>
        </w:rPr>
      </w:pPr>
      <w:r w:rsidRPr="002A0FC0">
        <w:rPr>
          <w:rFonts w:asciiTheme="majorHAnsi" w:hAnsiTheme="majorHAnsi"/>
          <w:color w:val="auto"/>
          <w:sz w:val="24"/>
        </w:rPr>
        <w:t>CHAPTER 12: REPORTING AND INTERPRETING INVESTMENTS IN OTHER CORPORATIONS</w:t>
      </w:r>
    </w:p>
    <w:p w14:paraId="36B33507" w14:textId="77777777" w:rsidR="00176F3D" w:rsidRPr="002A0FC0" w:rsidRDefault="00176F3D" w:rsidP="00176F3D">
      <w:pPr>
        <w:pStyle w:val="Title"/>
        <w:jc w:val="left"/>
        <w:rPr>
          <w:rFonts w:asciiTheme="minorHAnsi" w:hAnsiTheme="minorHAnsi"/>
          <w:b w:val="0"/>
          <w:bCs w:val="0"/>
          <w:color w:val="auto"/>
          <w:sz w:val="20"/>
          <w:szCs w:val="20"/>
        </w:rPr>
      </w:pPr>
    </w:p>
    <w:p w14:paraId="140612DB" w14:textId="77777777" w:rsidR="00176F3D" w:rsidRPr="002A0FC0" w:rsidRDefault="00176F3D" w:rsidP="00176F3D">
      <w:pPr>
        <w:pStyle w:val="Title"/>
        <w:jc w:val="left"/>
        <w:outlineLvl w:val="0"/>
        <w:rPr>
          <w:rFonts w:asciiTheme="minorHAnsi" w:hAnsiTheme="minorHAnsi"/>
          <w:b w:val="0"/>
          <w:bCs w:val="0"/>
          <w:color w:val="auto"/>
          <w:sz w:val="20"/>
          <w:szCs w:val="20"/>
          <w:u w:val="single"/>
        </w:rPr>
      </w:pPr>
      <w:bookmarkStart w:id="0" w:name="_Toc200963527"/>
      <w:r w:rsidRPr="002A0FC0">
        <w:rPr>
          <w:rFonts w:asciiTheme="minorHAnsi" w:hAnsiTheme="minorHAnsi"/>
          <w:b w:val="0"/>
          <w:bCs w:val="0"/>
          <w:color w:val="auto"/>
          <w:sz w:val="20"/>
          <w:szCs w:val="20"/>
          <w:u w:val="single"/>
        </w:rPr>
        <w:t>CHAPTER SUMMARY</w:t>
      </w:r>
      <w:bookmarkEnd w:id="0"/>
    </w:p>
    <w:p w14:paraId="480E0FB5" w14:textId="77777777" w:rsidR="00176F3D" w:rsidRPr="002A0FC0" w:rsidRDefault="00176F3D" w:rsidP="00176F3D">
      <w:pPr>
        <w:pStyle w:val="Title"/>
        <w:jc w:val="left"/>
        <w:rPr>
          <w:rFonts w:asciiTheme="minorHAnsi" w:hAnsiTheme="minorHAnsi"/>
          <w:b w:val="0"/>
          <w:bCs w:val="0"/>
          <w:color w:val="auto"/>
          <w:sz w:val="20"/>
          <w:szCs w:val="20"/>
        </w:rPr>
      </w:pPr>
    </w:p>
    <w:p w14:paraId="5E7D7CC7" w14:textId="77777777" w:rsidR="00176F3D" w:rsidRPr="002A0FC0" w:rsidRDefault="00176F3D" w:rsidP="00176F3D">
      <w:pPr>
        <w:pStyle w:val="BodyText"/>
        <w:rPr>
          <w:rFonts w:asciiTheme="minorHAnsi" w:hAnsiTheme="minorHAnsi"/>
          <w:i w:val="0"/>
          <w:iCs w:val="0"/>
          <w:sz w:val="20"/>
          <w:szCs w:val="20"/>
        </w:rPr>
      </w:pPr>
      <w:r w:rsidRPr="002A0FC0">
        <w:rPr>
          <w:rFonts w:asciiTheme="minorHAnsi" w:hAnsiTheme="minorHAnsi"/>
          <w:i w:val="0"/>
          <w:iCs w:val="0"/>
          <w:sz w:val="20"/>
          <w:szCs w:val="20"/>
        </w:rPr>
        <w:t>A company may make investments in the stock or bonds of another corporation. A common motivation to invest in other companies is to receive a return on otherwise idle funds.</w:t>
      </w:r>
    </w:p>
    <w:p w14:paraId="0F28B8F6" w14:textId="77777777" w:rsidR="00176F3D" w:rsidRPr="002A0FC0" w:rsidRDefault="00176F3D" w:rsidP="00176F3D">
      <w:pPr>
        <w:pStyle w:val="BodyText"/>
        <w:rPr>
          <w:rFonts w:asciiTheme="minorHAnsi" w:hAnsiTheme="minorHAnsi"/>
          <w:i w:val="0"/>
          <w:iCs w:val="0"/>
          <w:sz w:val="20"/>
          <w:szCs w:val="20"/>
        </w:rPr>
      </w:pPr>
    </w:p>
    <w:p w14:paraId="284C609A" w14:textId="77777777" w:rsidR="00176F3D" w:rsidRPr="002A0FC0" w:rsidRDefault="00176F3D" w:rsidP="00176F3D">
      <w:pPr>
        <w:pStyle w:val="BodyText"/>
        <w:rPr>
          <w:rFonts w:asciiTheme="minorHAnsi" w:hAnsiTheme="minorHAnsi"/>
          <w:i w:val="0"/>
          <w:iCs w:val="0"/>
          <w:sz w:val="20"/>
          <w:szCs w:val="20"/>
        </w:rPr>
      </w:pPr>
      <w:r w:rsidRPr="002A0FC0">
        <w:rPr>
          <w:rFonts w:asciiTheme="minorHAnsi" w:hAnsiTheme="minorHAnsi"/>
          <w:i w:val="0"/>
          <w:iCs w:val="0"/>
          <w:sz w:val="20"/>
          <w:szCs w:val="20"/>
        </w:rPr>
        <w:t>The measuring and reporting of investments in the stock of another company are determined by the percent of shares owned in relation to the total number of shares outstanding. If the ownership level of voting shares is less than 20%, the market value method is used. Under this method, the investment is reported at the current market value. Unrealized gains and losses on securities in the trading portfolio are reported on the income statement while unrealized gains and losses on securities in the available-for-sale portfolio are reported as a component of stockholders' equity.</w:t>
      </w:r>
    </w:p>
    <w:p w14:paraId="1522C65F" w14:textId="77777777" w:rsidR="00176F3D" w:rsidRPr="002A0FC0" w:rsidRDefault="00176F3D" w:rsidP="00176F3D">
      <w:pPr>
        <w:pStyle w:val="BodyText"/>
        <w:rPr>
          <w:rFonts w:asciiTheme="minorHAnsi" w:hAnsiTheme="minorHAnsi"/>
          <w:i w:val="0"/>
          <w:iCs w:val="0"/>
          <w:sz w:val="20"/>
          <w:szCs w:val="20"/>
        </w:rPr>
      </w:pPr>
    </w:p>
    <w:p w14:paraId="7220D67E" w14:textId="77777777" w:rsidR="00176F3D" w:rsidRPr="002A0FC0" w:rsidRDefault="00176F3D" w:rsidP="00176F3D">
      <w:pPr>
        <w:pStyle w:val="BodyText"/>
        <w:rPr>
          <w:rFonts w:asciiTheme="minorHAnsi" w:hAnsiTheme="minorHAnsi"/>
          <w:i w:val="0"/>
          <w:iCs w:val="0"/>
          <w:sz w:val="20"/>
          <w:szCs w:val="20"/>
        </w:rPr>
      </w:pPr>
      <w:r w:rsidRPr="002A0FC0">
        <w:rPr>
          <w:rFonts w:asciiTheme="minorHAnsi" w:hAnsiTheme="minorHAnsi"/>
          <w:i w:val="0"/>
          <w:iCs w:val="0"/>
          <w:sz w:val="20"/>
          <w:szCs w:val="20"/>
        </w:rPr>
        <w:t>If the ownership is at least 20%, but not more than 50%, the equity method should be used. Under this method, the investment is recorded at cost by the investor at the date of acquisition. Each period thereafter, the investment account is increased (or decreased) by the proportionate interest in the income (or loss) reported by the investee corporation and decreased by the proportionate share of the dividends declared by the investee corporation. Each period the investor recognizes as revenue its proportionate share of the income (or loss) reported by the investee company.</w:t>
      </w:r>
    </w:p>
    <w:p w14:paraId="70D19183" w14:textId="77777777" w:rsidR="00176F3D" w:rsidRPr="002A0FC0" w:rsidRDefault="00176F3D" w:rsidP="00176F3D">
      <w:pPr>
        <w:pStyle w:val="BodyText"/>
        <w:rPr>
          <w:rFonts w:asciiTheme="minorHAnsi" w:hAnsiTheme="minorHAnsi"/>
          <w:i w:val="0"/>
          <w:iCs w:val="0"/>
          <w:sz w:val="20"/>
          <w:szCs w:val="20"/>
        </w:rPr>
      </w:pPr>
    </w:p>
    <w:p w14:paraId="32C84474" w14:textId="77777777" w:rsidR="00176F3D" w:rsidRPr="002A0FC0" w:rsidRDefault="00176F3D" w:rsidP="00176F3D">
      <w:pPr>
        <w:pStyle w:val="BodyText"/>
        <w:rPr>
          <w:rFonts w:asciiTheme="minorHAnsi" w:hAnsiTheme="minorHAnsi"/>
          <w:i w:val="0"/>
          <w:iCs w:val="0"/>
          <w:sz w:val="20"/>
          <w:szCs w:val="20"/>
        </w:rPr>
      </w:pPr>
      <w:r w:rsidRPr="002A0FC0">
        <w:rPr>
          <w:rFonts w:asciiTheme="minorHAnsi" w:hAnsiTheme="minorHAnsi"/>
          <w:i w:val="0"/>
          <w:iCs w:val="0"/>
          <w:sz w:val="20"/>
          <w:szCs w:val="20"/>
        </w:rPr>
        <w:t>Consolidated financial statements are presented when one corporation owns more than 50% of the outstanding voting stock of another corporation. The concept of consolidation is based on the view that a parent company and its subsidiaries constitute one economic entity. Therefore, their separate income statements, balance sheets, and statements of cash flows should be combined each period on an item-by-item basis as a single set of consolidated financial statements.</w:t>
      </w:r>
    </w:p>
    <w:p w14:paraId="47F6E557" w14:textId="77777777" w:rsidR="00176F3D" w:rsidRPr="002A0FC0" w:rsidRDefault="00176F3D" w:rsidP="00176F3D">
      <w:pPr>
        <w:pStyle w:val="Title"/>
        <w:jc w:val="left"/>
        <w:rPr>
          <w:rFonts w:asciiTheme="minorHAnsi" w:hAnsiTheme="minorHAnsi"/>
          <w:b w:val="0"/>
          <w:bCs w:val="0"/>
          <w:color w:val="auto"/>
          <w:sz w:val="20"/>
          <w:szCs w:val="20"/>
        </w:rPr>
      </w:pPr>
    </w:p>
    <w:p w14:paraId="65C91438" w14:textId="77777777" w:rsidR="00176F3D" w:rsidRPr="002A0FC0" w:rsidRDefault="00176F3D" w:rsidP="00176F3D">
      <w:pPr>
        <w:pStyle w:val="Title"/>
        <w:jc w:val="left"/>
        <w:outlineLvl w:val="0"/>
        <w:rPr>
          <w:rFonts w:asciiTheme="minorHAnsi" w:hAnsiTheme="minorHAnsi"/>
          <w:b w:val="0"/>
          <w:bCs w:val="0"/>
          <w:color w:val="auto"/>
          <w:sz w:val="20"/>
          <w:szCs w:val="20"/>
          <w:u w:val="single"/>
        </w:rPr>
      </w:pPr>
      <w:bookmarkStart w:id="1" w:name="_Toc200963528"/>
      <w:r w:rsidRPr="002A0FC0">
        <w:rPr>
          <w:rFonts w:asciiTheme="minorHAnsi" w:hAnsiTheme="minorHAnsi"/>
          <w:b w:val="0"/>
          <w:bCs w:val="0"/>
          <w:color w:val="auto"/>
          <w:sz w:val="20"/>
          <w:szCs w:val="20"/>
          <w:u w:val="single"/>
        </w:rPr>
        <w:t>CHAPTER OBJECTIVES</w:t>
      </w:r>
      <w:bookmarkEnd w:id="1"/>
    </w:p>
    <w:p w14:paraId="6E198B79" w14:textId="77777777" w:rsidR="00176F3D" w:rsidRPr="002A0FC0" w:rsidRDefault="00176F3D" w:rsidP="00176F3D">
      <w:pPr>
        <w:pStyle w:val="Title"/>
        <w:jc w:val="left"/>
        <w:rPr>
          <w:rFonts w:asciiTheme="minorHAnsi" w:hAnsiTheme="minorHAnsi"/>
          <w:b w:val="0"/>
          <w:bCs w:val="0"/>
          <w:color w:val="auto"/>
          <w:sz w:val="20"/>
          <w:szCs w:val="20"/>
        </w:rPr>
      </w:pPr>
    </w:p>
    <w:p w14:paraId="650886B5"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r w:rsidRPr="002A0FC0">
        <w:rPr>
          <w:rFonts w:asciiTheme="minorHAnsi" w:hAnsiTheme="minorHAnsi"/>
          <w:b w:val="0"/>
          <w:bCs w:val="0"/>
          <w:sz w:val="20"/>
          <w:szCs w:val="20"/>
        </w:rPr>
        <w:t>LO1 Analyze and report bond investments held to maturity.</w:t>
      </w:r>
    </w:p>
    <w:p w14:paraId="1324C139"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r w:rsidRPr="002A0FC0">
        <w:rPr>
          <w:rFonts w:asciiTheme="minorHAnsi" w:hAnsiTheme="minorHAnsi"/>
          <w:b w:val="0"/>
          <w:bCs w:val="0"/>
          <w:sz w:val="20"/>
          <w:szCs w:val="20"/>
        </w:rPr>
        <w:t>LO2 Analyze and report passive investments in securities using the market value method.</w:t>
      </w:r>
    </w:p>
    <w:p w14:paraId="041557AA"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proofErr w:type="gramStart"/>
      <w:r w:rsidRPr="002A0FC0">
        <w:rPr>
          <w:rFonts w:asciiTheme="minorHAnsi" w:hAnsiTheme="minorHAnsi"/>
          <w:b w:val="0"/>
          <w:bCs w:val="0"/>
          <w:sz w:val="20"/>
          <w:szCs w:val="20"/>
        </w:rPr>
        <w:t>LO3 Analyze and report investments involving significant influence using the equity method.</w:t>
      </w:r>
      <w:proofErr w:type="gramEnd"/>
    </w:p>
    <w:p w14:paraId="41D0D1D3"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proofErr w:type="gramStart"/>
      <w:r w:rsidRPr="002A0FC0">
        <w:rPr>
          <w:rFonts w:asciiTheme="minorHAnsi" w:hAnsiTheme="minorHAnsi"/>
          <w:b w:val="0"/>
          <w:bCs w:val="0"/>
          <w:sz w:val="20"/>
          <w:szCs w:val="20"/>
        </w:rPr>
        <w:t>LO4 Analyze and report investments in controlling interests.</w:t>
      </w:r>
      <w:proofErr w:type="gramEnd"/>
    </w:p>
    <w:p w14:paraId="030E66EB"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r w:rsidRPr="002A0FC0">
        <w:rPr>
          <w:rFonts w:asciiTheme="minorHAnsi" w:hAnsiTheme="minorHAnsi"/>
          <w:b w:val="0"/>
          <w:bCs w:val="0"/>
          <w:sz w:val="20"/>
          <w:szCs w:val="20"/>
        </w:rPr>
        <w:t>LO5 Analyze and interpret the return on assets ratio.</w:t>
      </w:r>
    </w:p>
    <w:p w14:paraId="5A8F01FD" w14:textId="77777777" w:rsidR="00176F3D" w:rsidRPr="002A0FC0" w:rsidRDefault="00176F3D" w:rsidP="00176F3D">
      <w:pPr>
        <w:pStyle w:val="IRMLevel1"/>
        <w:numPr>
          <w:ilvl w:val="0"/>
          <w:numId w:val="0"/>
        </w:numPr>
        <w:spacing w:after="0"/>
        <w:ind w:left="540" w:hanging="540"/>
        <w:rPr>
          <w:rFonts w:asciiTheme="minorHAnsi" w:hAnsiTheme="minorHAnsi"/>
          <w:b w:val="0"/>
          <w:bCs w:val="0"/>
          <w:sz w:val="20"/>
          <w:szCs w:val="20"/>
        </w:rPr>
      </w:pPr>
    </w:p>
    <w:p w14:paraId="3B4C1EBB" w14:textId="77777777" w:rsidR="00176F3D" w:rsidRPr="002A0FC0" w:rsidRDefault="00176F3D">
      <w:pPr>
        <w:spacing w:after="200" w:line="276" w:lineRule="auto"/>
        <w:rPr>
          <w:rFonts w:asciiTheme="minorHAnsi" w:hAnsiTheme="minorHAnsi"/>
          <w:sz w:val="20"/>
          <w:szCs w:val="20"/>
          <w:u w:val="single"/>
        </w:rPr>
      </w:pPr>
      <w:bookmarkStart w:id="2" w:name="_Toc200963529"/>
      <w:r w:rsidRPr="002A0FC0">
        <w:rPr>
          <w:rFonts w:asciiTheme="minorHAnsi" w:hAnsiTheme="minorHAnsi"/>
          <w:b/>
          <w:bCs/>
          <w:sz w:val="20"/>
          <w:szCs w:val="20"/>
          <w:u w:val="single"/>
        </w:rPr>
        <w:br w:type="page"/>
      </w:r>
    </w:p>
    <w:p w14:paraId="7243B1EA" w14:textId="77777777" w:rsidR="00176F3D" w:rsidRPr="002A0FC0" w:rsidRDefault="00176F3D" w:rsidP="00176F3D">
      <w:pPr>
        <w:pStyle w:val="Title"/>
        <w:jc w:val="left"/>
        <w:outlineLvl w:val="0"/>
        <w:rPr>
          <w:rFonts w:asciiTheme="minorHAnsi" w:hAnsiTheme="minorHAnsi"/>
          <w:b w:val="0"/>
          <w:bCs w:val="0"/>
          <w:color w:val="auto"/>
          <w:sz w:val="20"/>
          <w:szCs w:val="20"/>
          <w:u w:val="single"/>
        </w:rPr>
      </w:pPr>
      <w:r w:rsidRPr="002A0FC0">
        <w:rPr>
          <w:rFonts w:asciiTheme="minorHAnsi" w:hAnsiTheme="minorHAnsi"/>
          <w:b w:val="0"/>
          <w:bCs w:val="0"/>
          <w:color w:val="auto"/>
          <w:sz w:val="20"/>
          <w:szCs w:val="20"/>
          <w:u w:val="single"/>
        </w:rPr>
        <w:lastRenderedPageBreak/>
        <w:t>CHAPTER OUTLINE</w:t>
      </w:r>
      <w:bookmarkEnd w:id="2"/>
    </w:p>
    <w:p w14:paraId="2A0D50E0" w14:textId="77777777" w:rsidR="00176F3D" w:rsidRPr="002A0FC0" w:rsidRDefault="00176F3D" w:rsidP="00176F3D">
      <w:pPr>
        <w:pStyle w:val="Title"/>
        <w:jc w:val="left"/>
        <w:rPr>
          <w:rFonts w:asciiTheme="minorHAnsi" w:hAnsiTheme="minorHAnsi"/>
          <w:b w:val="0"/>
          <w:bCs w:val="0"/>
          <w:color w:val="auto"/>
          <w:sz w:val="20"/>
          <w:szCs w:val="20"/>
        </w:rPr>
      </w:pPr>
    </w:p>
    <w:p w14:paraId="5BE46662"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t>UNDERSTANDING THE BUSINESS</w:t>
      </w:r>
    </w:p>
    <w:p w14:paraId="6438A29A" w14:textId="77777777" w:rsidR="00176F3D" w:rsidRPr="002A0FC0" w:rsidRDefault="00176F3D" w:rsidP="00176F3D">
      <w:pPr>
        <w:pStyle w:val="LLSLevel2"/>
        <w:numPr>
          <w:ilvl w:val="0"/>
          <w:numId w:val="7"/>
        </w:numPr>
        <w:rPr>
          <w:rFonts w:asciiTheme="minorHAnsi" w:hAnsiTheme="minorHAnsi"/>
          <w:sz w:val="20"/>
          <w:szCs w:val="20"/>
        </w:rPr>
      </w:pPr>
      <w:r w:rsidRPr="002A0FC0">
        <w:rPr>
          <w:rFonts w:asciiTheme="minorHAnsi" w:hAnsiTheme="minorHAnsi"/>
          <w:sz w:val="20"/>
          <w:szCs w:val="20"/>
        </w:rPr>
        <w:t>General</w:t>
      </w:r>
    </w:p>
    <w:p w14:paraId="6BC2E873" w14:textId="77777777" w:rsidR="00176F3D" w:rsidRPr="002A0FC0" w:rsidRDefault="00176F3D" w:rsidP="00176F3D">
      <w:pPr>
        <w:pStyle w:val="a"/>
        <w:widowControl/>
        <w:numPr>
          <w:ilvl w:val="0"/>
          <w:numId w:val="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Management may decide to invest idle cash in passive investments to earn a return on idle funds. We say these investments are passive because the managers are not interested in influencing or controlling the other companies.</w:t>
      </w:r>
    </w:p>
    <w:p w14:paraId="2F5C834E" w14:textId="77777777" w:rsidR="00176F3D" w:rsidRPr="002A0FC0" w:rsidRDefault="00176F3D" w:rsidP="00176F3D">
      <w:pPr>
        <w:pStyle w:val="a"/>
        <w:widowControl/>
        <w:numPr>
          <w:ilvl w:val="0"/>
          <w:numId w:val="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At other times, management may desire to influence or control another company's policies and activities.</w:t>
      </w:r>
    </w:p>
    <w:p w14:paraId="0B262706"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51B3C2EE" w14:textId="77777777" w:rsidR="00176F3D" w:rsidRPr="002A0FC0" w:rsidRDefault="00176F3D" w:rsidP="00176F3D">
      <w:pPr>
        <w:pStyle w:val="LLSLevel2"/>
        <w:numPr>
          <w:ilvl w:val="0"/>
          <w:numId w:val="7"/>
        </w:numPr>
        <w:rPr>
          <w:rFonts w:asciiTheme="minorHAnsi" w:hAnsiTheme="minorHAnsi"/>
          <w:sz w:val="20"/>
          <w:szCs w:val="20"/>
        </w:rPr>
      </w:pPr>
      <w:r w:rsidRPr="002A0FC0">
        <w:rPr>
          <w:rFonts w:asciiTheme="minorHAnsi" w:hAnsiTheme="minorHAnsi"/>
          <w:sz w:val="20"/>
          <w:szCs w:val="20"/>
        </w:rPr>
        <w:t>Types of Investments and Accounting Methods</w:t>
      </w:r>
    </w:p>
    <w:p w14:paraId="784A15AD" w14:textId="77777777" w:rsidR="00176F3D" w:rsidRPr="002A0FC0" w:rsidRDefault="00176F3D" w:rsidP="00176F3D">
      <w:pPr>
        <w:pStyle w:val="a"/>
        <w:widowControl/>
        <w:numPr>
          <w:ilvl w:val="0"/>
          <w:numId w:val="1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Passive investments in debt and equity securities:</w:t>
      </w:r>
    </w:p>
    <w:p w14:paraId="4D2E794B" w14:textId="77777777" w:rsidR="00176F3D" w:rsidRPr="002A0FC0" w:rsidRDefault="00176F3D" w:rsidP="00176F3D">
      <w:pPr>
        <w:pStyle w:val="LLSLevel4"/>
        <w:numPr>
          <w:ilvl w:val="0"/>
          <w:numId w:val="5"/>
        </w:numPr>
        <w:rPr>
          <w:rFonts w:asciiTheme="minorHAnsi" w:hAnsiTheme="minorHAnsi"/>
          <w:sz w:val="20"/>
          <w:szCs w:val="20"/>
        </w:rPr>
      </w:pPr>
      <w:r w:rsidRPr="002A0FC0">
        <w:rPr>
          <w:rFonts w:asciiTheme="minorHAnsi" w:hAnsiTheme="minorHAnsi"/>
          <w:sz w:val="20"/>
          <w:szCs w:val="20"/>
        </w:rPr>
        <w:t>Goal is to earn a high rate of return on funds that may be needed in the near future.</w:t>
      </w:r>
    </w:p>
    <w:p w14:paraId="0AF01E39" w14:textId="77777777" w:rsidR="00176F3D" w:rsidRPr="002A0FC0" w:rsidRDefault="00176F3D" w:rsidP="00176F3D">
      <w:pPr>
        <w:pStyle w:val="LLSLevel4"/>
        <w:numPr>
          <w:ilvl w:val="0"/>
          <w:numId w:val="5"/>
        </w:numPr>
        <w:rPr>
          <w:rFonts w:asciiTheme="minorHAnsi" w:hAnsiTheme="minorHAnsi"/>
          <w:sz w:val="20"/>
          <w:szCs w:val="20"/>
        </w:rPr>
      </w:pPr>
      <w:r w:rsidRPr="002A0FC0">
        <w:rPr>
          <w:rFonts w:asciiTheme="minorHAnsi" w:hAnsiTheme="minorHAnsi"/>
          <w:sz w:val="20"/>
          <w:szCs w:val="20"/>
        </w:rPr>
        <w:t>Includes both investments in debt and equity securities.</w:t>
      </w:r>
    </w:p>
    <w:p w14:paraId="38C41A5E" w14:textId="77777777" w:rsidR="00176F3D" w:rsidRPr="002A0FC0" w:rsidRDefault="00176F3D" w:rsidP="00176F3D">
      <w:pPr>
        <w:pStyle w:val="LLSLevel4"/>
        <w:numPr>
          <w:ilvl w:val="0"/>
          <w:numId w:val="3"/>
        </w:numPr>
        <w:rPr>
          <w:rFonts w:asciiTheme="minorHAnsi" w:hAnsiTheme="minorHAnsi"/>
          <w:sz w:val="20"/>
          <w:szCs w:val="20"/>
        </w:rPr>
      </w:pPr>
      <w:r w:rsidRPr="002A0FC0">
        <w:rPr>
          <w:rFonts w:asciiTheme="minorHAnsi" w:hAnsiTheme="minorHAnsi"/>
          <w:sz w:val="20"/>
          <w:szCs w:val="20"/>
        </w:rPr>
        <w:t>Passive Investments in Debt</w:t>
      </w:r>
    </w:p>
    <w:p w14:paraId="563461B0" w14:textId="77777777" w:rsidR="00176F3D" w:rsidRPr="002A0FC0" w:rsidRDefault="00176F3D" w:rsidP="00176F3D">
      <w:pPr>
        <w:pStyle w:val="LLSLevel4"/>
        <w:numPr>
          <w:ilvl w:val="0"/>
          <w:numId w:val="6"/>
        </w:numPr>
        <w:tabs>
          <w:tab w:val="clear" w:pos="1800"/>
          <w:tab w:val="num" w:pos="2160"/>
        </w:tabs>
        <w:ind w:left="2160"/>
        <w:rPr>
          <w:rFonts w:asciiTheme="minorHAnsi" w:hAnsiTheme="minorHAnsi"/>
          <w:sz w:val="20"/>
          <w:szCs w:val="20"/>
        </w:rPr>
      </w:pPr>
      <w:r w:rsidRPr="002A0FC0">
        <w:rPr>
          <w:rFonts w:asciiTheme="minorHAnsi" w:hAnsiTheme="minorHAnsi"/>
          <w:sz w:val="20"/>
          <w:szCs w:val="20"/>
        </w:rPr>
        <w:t xml:space="preserve">Investments may be made in another corporation's debt. </w:t>
      </w:r>
    </w:p>
    <w:p w14:paraId="3294791A" w14:textId="77777777" w:rsidR="00176F3D" w:rsidRPr="002A0FC0" w:rsidRDefault="00176F3D" w:rsidP="00176F3D">
      <w:pPr>
        <w:pStyle w:val="LLSLevel4"/>
        <w:numPr>
          <w:ilvl w:val="0"/>
          <w:numId w:val="6"/>
        </w:numPr>
        <w:tabs>
          <w:tab w:val="clear" w:pos="1800"/>
          <w:tab w:val="num" w:pos="2160"/>
        </w:tabs>
        <w:ind w:left="2160"/>
        <w:rPr>
          <w:rFonts w:asciiTheme="minorHAnsi" w:hAnsiTheme="minorHAnsi"/>
          <w:sz w:val="20"/>
          <w:szCs w:val="20"/>
        </w:rPr>
      </w:pPr>
      <w:r w:rsidRPr="002A0FC0">
        <w:rPr>
          <w:rFonts w:asciiTheme="minorHAnsi" w:hAnsiTheme="minorHAnsi"/>
          <w:sz w:val="20"/>
          <w:szCs w:val="20"/>
        </w:rPr>
        <w:t xml:space="preserve">These debt investments may be held to maturity using the amortized cost method of reporting. </w:t>
      </w:r>
    </w:p>
    <w:p w14:paraId="04F69DF6" w14:textId="77777777" w:rsidR="00176F3D" w:rsidRPr="002A0FC0" w:rsidRDefault="00176F3D" w:rsidP="00176F3D">
      <w:pPr>
        <w:pStyle w:val="LLSLevel4"/>
        <w:numPr>
          <w:ilvl w:val="0"/>
          <w:numId w:val="6"/>
        </w:numPr>
        <w:tabs>
          <w:tab w:val="clear" w:pos="1800"/>
          <w:tab w:val="num" w:pos="2160"/>
        </w:tabs>
        <w:ind w:left="2160"/>
        <w:rPr>
          <w:rFonts w:asciiTheme="minorHAnsi" w:hAnsiTheme="minorHAnsi"/>
          <w:sz w:val="20"/>
          <w:szCs w:val="20"/>
        </w:rPr>
      </w:pPr>
      <w:r w:rsidRPr="002A0FC0">
        <w:rPr>
          <w:rFonts w:asciiTheme="minorHAnsi" w:hAnsiTheme="minorHAnsi"/>
          <w:sz w:val="20"/>
          <w:szCs w:val="20"/>
        </w:rPr>
        <w:t>On the other hand, these investments may be intended to be sold before the maturity dates and should be reported using the market value method.</w:t>
      </w:r>
    </w:p>
    <w:p w14:paraId="04168CBC" w14:textId="77777777" w:rsidR="00176F3D" w:rsidRPr="002A0FC0" w:rsidRDefault="00176F3D" w:rsidP="00176F3D">
      <w:pPr>
        <w:pStyle w:val="LLSLevel4"/>
        <w:numPr>
          <w:ilvl w:val="0"/>
          <w:numId w:val="3"/>
        </w:numPr>
        <w:rPr>
          <w:rFonts w:asciiTheme="minorHAnsi" w:hAnsiTheme="minorHAnsi"/>
          <w:sz w:val="20"/>
          <w:szCs w:val="20"/>
        </w:rPr>
      </w:pPr>
      <w:r w:rsidRPr="002A0FC0">
        <w:rPr>
          <w:rFonts w:asciiTheme="minorHAnsi" w:hAnsiTheme="minorHAnsi"/>
          <w:sz w:val="20"/>
          <w:szCs w:val="20"/>
        </w:rPr>
        <w:t>Passive Investments in Stock</w:t>
      </w:r>
    </w:p>
    <w:p w14:paraId="7021BBC5" w14:textId="77777777" w:rsidR="00176F3D" w:rsidRPr="002A0FC0" w:rsidRDefault="00176F3D" w:rsidP="00176F3D">
      <w:pPr>
        <w:pStyle w:val="LLSLevel4"/>
        <w:numPr>
          <w:ilvl w:val="0"/>
          <w:numId w:val="16"/>
        </w:numPr>
        <w:rPr>
          <w:rFonts w:asciiTheme="minorHAnsi" w:hAnsiTheme="minorHAnsi"/>
          <w:sz w:val="20"/>
          <w:szCs w:val="20"/>
        </w:rPr>
      </w:pPr>
      <w:r w:rsidRPr="002A0FC0">
        <w:rPr>
          <w:rFonts w:asciiTheme="minorHAnsi" w:hAnsiTheme="minorHAnsi"/>
          <w:sz w:val="20"/>
          <w:szCs w:val="20"/>
        </w:rPr>
        <w:t xml:space="preserve">Investments in equity securities are presumed to be passive if the investment consists of less than 20% of the outstanding voting stock of another company. </w:t>
      </w:r>
    </w:p>
    <w:p w14:paraId="592D6C9A" w14:textId="77777777" w:rsidR="00176F3D" w:rsidRPr="002A0FC0" w:rsidRDefault="00176F3D" w:rsidP="00176F3D">
      <w:pPr>
        <w:pStyle w:val="LLSLevel4"/>
        <w:numPr>
          <w:ilvl w:val="0"/>
          <w:numId w:val="16"/>
        </w:numPr>
        <w:rPr>
          <w:rFonts w:asciiTheme="minorHAnsi" w:hAnsiTheme="minorHAnsi"/>
          <w:sz w:val="20"/>
          <w:szCs w:val="20"/>
        </w:rPr>
      </w:pPr>
      <w:r w:rsidRPr="002A0FC0">
        <w:rPr>
          <w:rFonts w:asciiTheme="minorHAnsi" w:hAnsiTheme="minorHAnsi"/>
          <w:sz w:val="20"/>
          <w:szCs w:val="20"/>
        </w:rPr>
        <w:t>The market value method is used to measure and report these investments.</w:t>
      </w:r>
    </w:p>
    <w:p w14:paraId="3EAC2956" w14:textId="77777777" w:rsidR="00176F3D" w:rsidRPr="002A0FC0" w:rsidRDefault="00176F3D" w:rsidP="00176F3D">
      <w:pPr>
        <w:pStyle w:val="a"/>
        <w:widowControl/>
        <w:numPr>
          <w:ilvl w:val="0"/>
          <w:numId w:val="1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Investments in stock for significant influence</w:t>
      </w:r>
    </w:p>
    <w:p w14:paraId="6DBA9677" w14:textId="77777777" w:rsidR="00176F3D" w:rsidRPr="002A0FC0" w:rsidRDefault="00176F3D" w:rsidP="00176F3D">
      <w:pPr>
        <w:pStyle w:val="LLSLevel4"/>
        <w:numPr>
          <w:ilvl w:val="0"/>
          <w:numId w:val="14"/>
        </w:numPr>
        <w:rPr>
          <w:rFonts w:asciiTheme="minorHAnsi" w:hAnsiTheme="minorHAnsi"/>
          <w:sz w:val="20"/>
          <w:szCs w:val="20"/>
        </w:rPr>
      </w:pPr>
      <w:r w:rsidRPr="002A0FC0">
        <w:rPr>
          <w:rFonts w:asciiTheme="minorHAnsi" w:hAnsiTheme="minorHAnsi"/>
          <w:sz w:val="20"/>
          <w:szCs w:val="20"/>
        </w:rPr>
        <w:t>Significant influence is the ability of the investor to have an important impact on the operating and financing policies of the investee. Significant influence by the investor (the one owning voting stock of another) may be achieved by:</w:t>
      </w:r>
    </w:p>
    <w:p w14:paraId="2A2B4559" w14:textId="77777777" w:rsidR="00176F3D" w:rsidRPr="002A0FC0" w:rsidRDefault="00176F3D" w:rsidP="00176F3D">
      <w:pPr>
        <w:pStyle w:val="LLSLevel4"/>
        <w:numPr>
          <w:ilvl w:val="0"/>
          <w:numId w:val="17"/>
        </w:numPr>
        <w:rPr>
          <w:rFonts w:asciiTheme="minorHAnsi" w:hAnsiTheme="minorHAnsi"/>
          <w:sz w:val="20"/>
          <w:szCs w:val="20"/>
        </w:rPr>
      </w:pPr>
      <w:r w:rsidRPr="002A0FC0">
        <w:rPr>
          <w:rFonts w:asciiTheme="minorHAnsi" w:hAnsiTheme="minorHAnsi"/>
          <w:sz w:val="20"/>
          <w:szCs w:val="20"/>
        </w:rPr>
        <w:t>Membership on the board of directors of the investee.</w:t>
      </w:r>
    </w:p>
    <w:p w14:paraId="59103362" w14:textId="77777777" w:rsidR="00176F3D" w:rsidRPr="002A0FC0" w:rsidRDefault="00176F3D" w:rsidP="00176F3D">
      <w:pPr>
        <w:pStyle w:val="LLSLevel4"/>
        <w:numPr>
          <w:ilvl w:val="0"/>
          <w:numId w:val="17"/>
        </w:numPr>
        <w:rPr>
          <w:rFonts w:asciiTheme="minorHAnsi" w:hAnsiTheme="minorHAnsi"/>
          <w:sz w:val="20"/>
          <w:szCs w:val="20"/>
        </w:rPr>
      </w:pPr>
      <w:r w:rsidRPr="002A0FC0">
        <w:rPr>
          <w:rFonts w:asciiTheme="minorHAnsi" w:hAnsiTheme="minorHAnsi"/>
          <w:sz w:val="20"/>
          <w:szCs w:val="20"/>
        </w:rPr>
        <w:t>Participation in the policy-making process of the investee.</w:t>
      </w:r>
    </w:p>
    <w:p w14:paraId="5D901E73" w14:textId="77777777" w:rsidR="00176F3D" w:rsidRPr="002A0FC0" w:rsidRDefault="00176F3D" w:rsidP="00176F3D">
      <w:pPr>
        <w:pStyle w:val="LLSLevel4"/>
        <w:numPr>
          <w:ilvl w:val="0"/>
          <w:numId w:val="17"/>
        </w:numPr>
        <w:rPr>
          <w:rFonts w:asciiTheme="minorHAnsi" w:hAnsiTheme="minorHAnsi"/>
          <w:sz w:val="20"/>
          <w:szCs w:val="20"/>
        </w:rPr>
      </w:pPr>
      <w:r w:rsidRPr="002A0FC0">
        <w:rPr>
          <w:rFonts w:asciiTheme="minorHAnsi" w:hAnsiTheme="minorHAnsi"/>
          <w:sz w:val="20"/>
          <w:szCs w:val="20"/>
        </w:rPr>
        <w:t>Material transactions between the two companies.</w:t>
      </w:r>
    </w:p>
    <w:p w14:paraId="7CED1889" w14:textId="77777777" w:rsidR="00176F3D" w:rsidRPr="002A0FC0" w:rsidRDefault="00176F3D" w:rsidP="00176F3D">
      <w:pPr>
        <w:pStyle w:val="LLSLevel4"/>
        <w:numPr>
          <w:ilvl w:val="0"/>
          <w:numId w:val="17"/>
        </w:numPr>
        <w:rPr>
          <w:rFonts w:asciiTheme="minorHAnsi" w:hAnsiTheme="minorHAnsi"/>
          <w:sz w:val="20"/>
          <w:szCs w:val="20"/>
        </w:rPr>
      </w:pPr>
      <w:r w:rsidRPr="002A0FC0">
        <w:rPr>
          <w:rFonts w:asciiTheme="minorHAnsi" w:hAnsiTheme="minorHAnsi"/>
          <w:sz w:val="20"/>
          <w:szCs w:val="20"/>
        </w:rPr>
        <w:t>Interchange of management personnel between the two companies.</w:t>
      </w:r>
    </w:p>
    <w:p w14:paraId="2ED33C27" w14:textId="77777777" w:rsidR="00176F3D" w:rsidRPr="002A0FC0" w:rsidRDefault="00176F3D" w:rsidP="00176F3D">
      <w:pPr>
        <w:pStyle w:val="LLSLevel4"/>
        <w:numPr>
          <w:ilvl w:val="0"/>
          <w:numId w:val="17"/>
        </w:numPr>
        <w:rPr>
          <w:rFonts w:asciiTheme="minorHAnsi" w:hAnsiTheme="minorHAnsi"/>
          <w:sz w:val="20"/>
          <w:szCs w:val="20"/>
        </w:rPr>
      </w:pPr>
      <w:r w:rsidRPr="002A0FC0">
        <w:rPr>
          <w:rFonts w:asciiTheme="minorHAnsi" w:hAnsiTheme="minorHAnsi"/>
          <w:sz w:val="20"/>
          <w:szCs w:val="20"/>
        </w:rPr>
        <w:t>Technological dependency between the two companies.</w:t>
      </w:r>
    </w:p>
    <w:p w14:paraId="78B76BB9" w14:textId="77777777" w:rsidR="00176F3D" w:rsidRPr="002A0FC0" w:rsidRDefault="00176F3D" w:rsidP="00176F3D">
      <w:pPr>
        <w:pStyle w:val="LLSLevel4"/>
        <w:numPr>
          <w:ilvl w:val="0"/>
          <w:numId w:val="14"/>
        </w:numPr>
        <w:rPr>
          <w:rFonts w:asciiTheme="minorHAnsi" w:hAnsiTheme="minorHAnsi"/>
          <w:sz w:val="20"/>
          <w:szCs w:val="20"/>
        </w:rPr>
      </w:pPr>
      <w:r w:rsidRPr="002A0FC0">
        <w:rPr>
          <w:rFonts w:asciiTheme="minorHAnsi" w:hAnsiTheme="minorHAnsi"/>
          <w:sz w:val="20"/>
          <w:szCs w:val="20"/>
        </w:rPr>
        <w:t xml:space="preserve">The presumption of significant influence is when the investor owns outstanding voting stock of at least 20%, but not more than 50%. </w:t>
      </w:r>
    </w:p>
    <w:p w14:paraId="2FAC83F5" w14:textId="77777777" w:rsidR="00176F3D" w:rsidRPr="002A0FC0" w:rsidRDefault="00176F3D" w:rsidP="00176F3D">
      <w:pPr>
        <w:pStyle w:val="LLSLevel4"/>
        <w:numPr>
          <w:ilvl w:val="0"/>
          <w:numId w:val="14"/>
        </w:numPr>
        <w:rPr>
          <w:rFonts w:asciiTheme="minorHAnsi" w:hAnsiTheme="minorHAnsi"/>
          <w:sz w:val="20"/>
          <w:szCs w:val="20"/>
        </w:rPr>
      </w:pPr>
      <w:r w:rsidRPr="002A0FC0">
        <w:rPr>
          <w:rFonts w:asciiTheme="minorHAnsi" w:hAnsiTheme="minorHAnsi"/>
          <w:sz w:val="20"/>
          <w:szCs w:val="20"/>
        </w:rPr>
        <w:t>The equity method is used to measure and report these investments.</w:t>
      </w:r>
    </w:p>
    <w:p w14:paraId="084F0920" w14:textId="77777777" w:rsidR="00176F3D" w:rsidRPr="002A0FC0" w:rsidRDefault="00176F3D" w:rsidP="00176F3D">
      <w:pPr>
        <w:pStyle w:val="a"/>
        <w:widowControl/>
        <w:numPr>
          <w:ilvl w:val="0"/>
          <w:numId w:val="1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Investments in stock for control</w:t>
      </w:r>
    </w:p>
    <w:p w14:paraId="5B1DD02A" w14:textId="77777777" w:rsidR="00176F3D" w:rsidRPr="002A0FC0" w:rsidRDefault="00176F3D" w:rsidP="00176F3D">
      <w:pPr>
        <w:pStyle w:val="LLSLevel4"/>
        <w:numPr>
          <w:ilvl w:val="0"/>
          <w:numId w:val="18"/>
        </w:numPr>
        <w:rPr>
          <w:rFonts w:asciiTheme="minorHAnsi" w:hAnsiTheme="minorHAnsi"/>
          <w:sz w:val="20"/>
          <w:szCs w:val="20"/>
        </w:rPr>
      </w:pPr>
      <w:r w:rsidRPr="002A0FC0">
        <w:rPr>
          <w:rFonts w:asciiTheme="minorHAnsi" w:hAnsiTheme="minorHAnsi"/>
          <w:sz w:val="20"/>
          <w:szCs w:val="20"/>
        </w:rPr>
        <w:t xml:space="preserve">Investments are made with the intent to exert control over another corporation. </w:t>
      </w:r>
    </w:p>
    <w:p w14:paraId="21C7B64C" w14:textId="77777777" w:rsidR="00176F3D" w:rsidRPr="002A0FC0" w:rsidRDefault="00176F3D" w:rsidP="00176F3D">
      <w:pPr>
        <w:pStyle w:val="LLSLevel4"/>
        <w:numPr>
          <w:ilvl w:val="0"/>
          <w:numId w:val="19"/>
        </w:numPr>
        <w:rPr>
          <w:rFonts w:asciiTheme="minorHAnsi" w:hAnsiTheme="minorHAnsi"/>
          <w:sz w:val="20"/>
          <w:szCs w:val="20"/>
        </w:rPr>
      </w:pPr>
      <w:r w:rsidRPr="002A0FC0">
        <w:rPr>
          <w:rFonts w:asciiTheme="minorHAnsi" w:hAnsiTheme="minorHAnsi"/>
          <w:sz w:val="20"/>
          <w:szCs w:val="20"/>
        </w:rPr>
        <w:t xml:space="preserve">Control is the investor's ability to determine the operating and financing policies of the investee. </w:t>
      </w:r>
    </w:p>
    <w:p w14:paraId="05A94FB0" w14:textId="77777777" w:rsidR="00176F3D" w:rsidRPr="002A0FC0" w:rsidRDefault="00176F3D" w:rsidP="00176F3D">
      <w:pPr>
        <w:pStyle w:val="LLSLevel4"/>
        <w:numPr>
          <w:ilvl w:val="0"/>
          <w:numId w:val="19"/>
        </w:numPr>
        <w:rPr>
          <w:rFonts w:asciiTheme="minorHAnsi" w:hAnsiTheme="minorHAnsi"/>
          <w:sz w:val="20"/>
          <w:szCs w:val="20"/>
        </w:rPr>
      </w:pPr>
      <w:r w:rsidRPr="002A0FC0">
        <w:rPr>
          <w:rFonts w:asciiTheme="minorHAnsi" w:hAnsiTheme="minorHAnsi"/>
          <w:sz w:val="20"/>
          <w:szCs w:val="20"/>
        </w:rPr>
        <w:t xml:space="preserve">This is achieved when the investor owns more than 50% (the majority) of the outstanding voting stock of the investee. </w:t>
      </w:r>
    </w:p>
    <w:p w14:paraId="4B62D0C1" w14:textId="77777777" w:rsidR="00176F3D" w:rsidRPr="002A0FC0" w:rsidRDefault="00176F3D" w:rsidP="00176F3D">
      <w:pPr>
        <w:pStyle w:val="LLSLevel4"/>
        <w:numPr>
          <w:ilvl w:val="0"/>
          <w:numId w:val="19"/>
        </w:numPr>
        <w:rPr>
          <w:rFonts w:asciiTheme="minorHAnsi" w:hAnsiTheme="minorHAnsi"/>
          <w:sz w:val="20"/>
          <w:szCs w:val="20"/>
        </w:rPr>
      </w:pPr>
      <w:r w:rsidRPr="002A0FC0">
        <w:rPr>
          <w:rFonts w:asciiTheme="minorHAnsi" w:hAnsiTheme="minorHAnsi"/>
          <w:sz w:val="20"/>
          <w:szCs w:val="20"/>
        </w:rPr>
        <w:t xml:space="preserve">The consolidation method is appropriate for reporting these investments. The accounting method for an investment is based on the level of ownership. </w:t>
      </w:r>
    </w:p>
    <w:p w14:paraId="28EF5056" w14:textId="77777777" w:rsidR="00176F3D" w:rsidRPr="002A0FC0" w:rsidRDefault="00176F3D" w:rsidP="00176F3D">
      <w:pPr>
        <w:pStyle w:val="LLSLevel4"/>
        <w:numPr>
          <w:ilvl w:val="0"/>
          <w:numId w:val="18"/>
        </w:numPr>
        <w:rPr>
          <w:rFonts w:asciiTheme="minorHAnsi" w:hAnsiTheme="minorHAnsi"/>
          <w:sz w:val="20"/>
          <w:szCs w:val="20"/>
        </w:rPr>
      </w:pPr>
      <w:r w:rsidRPr="002A0FC0">
        <w:rPr>
          <w:rFonts w:asciiTheme="minorHAnsi" w:hAnsiTheme="minorHAnsi"/>
          <w:sz w:val="20"/>
          <w:szCs w:val="20"/>
        </w:rPr>
        <w:t>Thus, the relationship between the investor corporation and the investee corporation is a critical factor for determining the appropriate accounting treatment.</w:t>
      </w:r>
    </w:p>
    <w:p w14:paraId="7FE9AD02" w14:textId="77777777" w:rsidR="00176F3D" w:rsidRPr="002A0FC0" w:rsidRDefault="00176F3D" w:rsidP="00176F3D">
      <w:pPr>
        <w:pStyle w:val="LLSLevel4"/>
        <w:numPr>
          <w:ilvl w:val="0"/>
          <w:numId w:val="20"/>
        </w:numPr>
        <w:rPr>
          <w:rFonts w:asciiTheme="minorHAnsi" w:hAnsiTheme="minorHAnsi"/>
          <w:sz w:val="20"/>
          <w:szCs w:val="20"/>
        </w:rPr>
      </w:pPr>
      <w:r w:rsidRPr="002A0FC0">
        <w:rPr>
          <w:rFonts w:asciiTheme="minorHAnsi" w:hAnsiTheme="minorHAnsi"/>
          <w:sz w:val="20"/>
          <w:szCs w:val="20"/>
        </w:rPr>
        <w:t>Market value method - Neither significant influence nor control of an equity interest is achieved. Therefore, the investment is considered passive.</w:t>
      </w:r>
    </w:p>
    <w:p w14:paraId="429F27A7" w14:textId="77777777" w:rsidR="00176F3D" w:rsidRPr="002A0FC0" w:rsidRDefault="00176F3D" w:rsidP="00176F3D">
      <w:pPr>
        <w:pStyle w:val="LLSLevel4"/>
        <w:numPr>
          <w:ilvl w:val="0"/>
          <w:numId w:val="20"/>
        </w:numPr>
        <w:rPr>
          <w:rFonts w:asciiTheme="minorHAnsi" w:hAnsiTheme="minorHAnsi"/>
          <w:sz w:val="20"/>
          <w:szCs w:val="20"/>
        </w:rPr>
      </w:pPr>
      <w:r w:rsidRPr="002A0FC0">
        <w:rPr>
          <w:rFonts w:asciiTheme="minorHAnsi" w:hAnsiTheme="minorHAnsi"/>
          <w:sz w:val="20"/>
          <w:szCs w:val="20"/>
        </w:rPr>
        <w:t>Equity method - Significant influence of the equity interest is achieved but control is not.</w:t>
      </w:r>
    </w:p>
    <w:p w14:paraId="6EC10A28" w14:textId="77777777" w:rsidR="00176F3D" w:rsidRPr="002A0FC0" w:rsidRDefault="00176F3D" w:rsidP="00176F3D">
      <w:pPr>
        <w:pStyle w:val="LLSLevel4"/>
        <w:numPr>
          <w:ilvl w:val="0"/>
          <w:numId w:val="20"/>
        </w:numPr>
        <w:rPr>
          <w:rFonts w:asciiTheme="minorHAnsi" w:hAnsiTheme="minorHAnsi"/>
          <w:sz w:val="20"/>
          <w:szCs w:val="20"/>
        </w:rPr>
      </w:pPr>
      <w:r w:rsidRPr="002A0FC0">
        <w:rPr>
          <w:rFonts w:asciiTheme="minorHAnsi" w:hAnsiTheme="minorHAnsi"/>
          <w:sz w:val="20"/>
          <w:szCs w:val="20"/>
        </w:rPr>
        <w:t>Consolidated statement method - Control of the equity interest is achieved.</w:t>
      </w:r>
    </w:p>
    <w:p w14:paraId="7EAF8E39" w14:textId="77777777" w:rsidR="00176F3D" w:rsidRPr="002A0FC0" w:rsidRDefault="00176F3D" w:rsidP="00176F3D">
      <w:pPr>
        <w:pStyle w:val="LLSLevel4"/>
        <w:numPr>
          <w:ilvl w:val="0"/>
          <w:numId w:val="20"/>
        </w:numPr>
        <w:rPr>
          <w:rFonts w:asciiTheme="minorHAnsi" w:hAnsiTheme="minorHAnsi"/>
          <w:sz w:val="20"/>
          <w:szCs w:val="20"/>
        </w:rPr>
      </w:pPr>
      <w:r w:rsidRPr="002A0FC0">
        <w:rPr>
          <w:rFonts w:asciiTheme="minorHAnsi" w:hAnsiTheme="minorHAnsi"/>
          <w:sz w:val="20"/>
          <w:szCs w:val="20"/>
        </w:rPr>
        <w:t>Amortized cost method - The investment in debt is always passive. Ownership is not applicable for this type of investment. If held to maturity, a debt investment is adjusted by amortizing a premium or discount that existed at the purchase date.  If the intent is to sell the bond before the maturity date, then the market value method should be used.</w:t>
      </w:r>
    </w:p>
    <w:p w14:paraId="2FF01DEA" w14:textId="77777777" w:rsidR="00176F3D" w:rsidRPr="002A0FC0" w:rsidRDefault="00176F3D" w:rsidP="00176F3D">
      <w:pPr>
        <w:pStyle w:val="LLSLevel4"/>
        <w:rPr>
          <w:rFonts w:asciiTheme="minorHAnsi" w:hAnsiTheme="minorHAnsi"/>
          <w:sz w:val="20"/>
          <w:szCs w:val="20"/>
        </w:rPr>
      </w:pPr>
    </w:p>
    <w:p w14:paraId="29B86191" w14:textId="77777777" w:rsidR="002A0FC0" w:rsidRDefault="002A0FC0">
      <w:pPr>
        <w:spacing w:after="200" w:line="276" w:lineRule="auto"/>
        <w:rPr>
          <w:rFonts w:asciiTheme="minorHAnsi" w:hAnsiTheme="minorHAnsi"/>
          <w:sz w:val="20"/>
          <w:szCs w:val="20"/>
        </w:rPr>
      </w:pPr>
      <w:r>
        <w:rPr>
          <w:rFonts w:asciiTheme="minorHAnsi" w:hAnsiTheme="minorHAnsi"/>
          <w:b/>
          <w:bCs/>
          <w:sz w:val="20"/>
          <w:szCs w:val="20"/>
        </w:rPr>
        <w:br w:type="page"/>
      </w:r>
    </w:p>
    <w:p w14:paraId="2183BD10"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lastRenderedPageBreak/>
        <w:t>LO1 ANALYZE AND REPORT BOND INVESTMENTS HELD TO MATURITY.</w:t>
      </w:r>
    </w:p>
    <w:p w14:paraId="55F8C9EE" w14:textId="77777777" w:rsidR="00176F3D" w:rsidRPr="002A0FC0" w:rsidRDefault="00176F3D" w:rsidP="00176F3D">
      <w:pPr>
        <w:pStyle w:val="a"/>
        <w:widowControl/>
        <w:numPr>
          <w:ilvl w:val="0"/>
          <w:numId w:val="1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Intent: Management may intend to hold a debt investment until it matures. In that case, the investment is reported at its cost adjusted for the amortization of premium or discount.</w:t>
      </w:r>
    </w:p>
    <w:p w14:paraId="4467955D" w14:textId="77777777" w:rsidR="00176F3D" w:rsidRPr="002A0FC0" w:rsidRDefault="00176F3D" w:rsidP="00176F3D">
      <w:pPr>
        <w:pStyle w:val="a"/>
        <w:widowControl/>
        <w:numPr>
          <w:ilvl w:val="0"/>
          <w:numId w:val="1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Bonds Purchases: Bond investments may be purchased for par (the maturity value), at a discount (at less than the maturity value), or at a premium (at more than the maturity value). The cost principle requires that the investment be recorded at cost.</w:t>
      </w:r>
    </w:p>
    <w:p w14:paraId="54D9EBD2" w14:textId="77777777" w:rsidR="00176F3D" w:rsidRPr="002A0FC0" w:rsidRDefault="00176F3D" w:rsidP="00176F3D">
      <w:pPr>
        <w:pStyle w:val="a"/>
        <w:widowControl/>
        <w:numPr>
          <w:ilvl w:val="0"/>
          <w:numId w:val="1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Interest Earned: Interest earned (revenue) is reported as accrued. The interest rate and the principal of the debt investment are the primary determinants of interest earned.</w:t>
      </w:r>
    </w:p>
    <w:p w14:paraId="4738CBBA" w14:textId="77777777" w:rsidR="00176F3D" w:rsidRPr="002A0FC0" w:rsidRDefault="00176F3D" w:rsidP="00176F3D">
      <w:pPr>
        <w:pStyle w:val="a"/>
        <w:widowControl/>
        <w:numPr>
          <w:ilvl w:val="0"/>
          <w:numId w:val="1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Principal at Maturity: If the investment is made "at par", the recovery of cash when the debt matures will be equal to the original investment.</w:t>
      </w:r>
    </w:p>
    <w:p w14:paraId="68EC82BF" w14:textId="77777777" w:rsidR="00176F3D" w:rsidRPr="002A0FC0" w:rsidRDefault="00176F3D" w:rsidP="00176F3D">
      <w:pPr>
        <w:pStyle w:val="LLSLevel2"/>
        <w:rPr>
          <w:rFonts w:asciiTheme="minorHAnsi" w:hAnsiTheme="minorHAnsi"/>
          <w:sz w:val="20"/>
          <w:szCs w:val="20"/>
        </w:rPr>
      </w:pPr>
    </w:p>
    <w:p w14:paraId="5460D3F8"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t>LO2 ANALYZE AND REPORT PASSIVE INVESTMENTS IN SECURITIES USING THE MARKET VALUE METHOD.</w:t>
      </w:r>
    </w:p>
    <w:p w14:paraId="21B0B13B"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Passive Investors</w:t>
      </w:r>
    </w:p>
    <w:p w14:paraId="128BD9A3" w14:textId="77777777" w:rsidR="00176F3D" w:rsidRPr="002A0FC0" w:rsidRDefault="00176F3D" w:rsidP="00176F3D">
      <w:pPr>
        <w:pStyle w:val="a"/>
        <w:widowControl/>
        <w:numPr>
          <w:ilvl w:val="0"/>
          <w:numId w:val="2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Investors are typically passive investors when they own less than 20% of the outstanding voting stock in another company. </w:t>
      </w:r>
    </w:p>
    <w:p w14:paraId="1A28F458" w14:textId="77777777" w:rsidR="00176F3D" w:rsidRPr="002A0FC0" w:rsidRDefault="00176F3D" w:rsidP="00176F3D">
      <w:pPr>
        <w:pStyle w:val="a"/>
        <w:widowControl/>
        <w:numPr>
          <w:ilvl w:val="0"/>
          <w:numId w:val="2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The presumption at this level of ownership is that no significant influence over the investee exists. </w:t>
      </w:r>
    </w:p>
    <w:p w14:paraId="30329B4D" w14:textId="77777777" w:rsidR="00176F3D" w:rsidRPr="002A0FC0" w:rsidRDefault="00176F3D" w:rsidP="00176F3D">
      <w:pPr>
        <w:pStyle w:val="a"/>
        <w:widowControl/>
        <w:numPr>
          <w:ilvl w:val="0"/>
          <w:numId w:val="2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market value method is the appropriate way to account for and report these investments.</w:t>
      </w:r>
    </w:p>
    <w:p w14:paraId="207CAFD1" w14:textId="77777777" w:rsidR="00176F3D" w:rsidRPr="002A0FC0" w:rsidRDefault="00176F3D" w:rsidP="00176F3D">
      <w:pPr>
        <w:pStyle w:val="a"/>
        <w:widowControl/>
        <w:numPr>
          <w:ilvl w:val="0"/>
          <w:numId w:val="2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For investments in trading securities and securities available-for-sale, a departure from the cost principle is appropriate for balance sheet reporting. </w:t>
      </w:r>
    </w:p>
    <w:p w14:paraId="6A71AC68" w14:textId="77777777" w:rsidR="00176F3D" w:rsidRPr="002A0FC0" w:rsidRDefault="00176F3D" w:rsidP="00176F3D">
      <w:pPr>
        <w:pStyle w:val="LLSLevel4"/>
        <w:numPr>
          <w:ilvl w:val="0"/>
          <w:numId w:val="15"/>
        </w:numPr>
        <w:rPr>
          <w:rFonts w:asciiTheme="minorHAnsi" w:hAnsiTheme="minorHAnsi"/>
          <w:sz w:val="20"/>
          <w:szCs w:val="20"/>
        </w:rPr>
      </w:pPr>
      <w:r w:rsidRPr="002A0FC0">
        <w:rPr>
          <w:rFonts w:asciiTheme="minorHAnsi" w:hAnsiTheme="minorHAnsi"/>
          <w:sz w:val="20"/>
          <w:szCs w:val="20"/>
        </w:rPr>
        <w:t xml:space="preserve">Investments in trading securities and securities available-for-sale are reported on the balance sheet at their current market values at the balance sheet date. </w:t>
      </w:r>
    </w:p>
    <w:p w14:paraId="25EFF690" w14:textId="77777777" w:rsidR="00176F3D" w:rsidRPr="002A0FC0" w:rsidRDefault="00176F3D" w:rsidP="00176F3D">
      <w:pPr>
        <w:pStyle w:val="LLSLevel4"/>
        <w:numPr>
          <w:ilvl w:val="0"/>
          <w:numId w:val="15"/>
        </w:numPr>
        <w:rPr>
          <w:rFonts w:asciiTheme="minorHAnsi" w:hAnsiTheme="minorHAnsi"/>
          <w:sz w:val="20"/>
          <w:szCs w:val="20"/>
        </w:rPr>
      </w:pPr>
      <w:r w:rsidRPr="002A0FC0">
        <w:rPr>
          <w:rFonts w:asciiTheme="minorHAnsi" w:hAnsiTheme="minorHAnsi"/>
          <w:sz w:val="20"/>
          <w:szCs w:val="20"/>
        </w:rPr>
        <w:t>There are two primary reasons for current market reporting.</w:t>
      </w:r>
    </w:p>
    <w:p w14:paraId="01D2B18E" w14:textId="77777777" w:rsidR="00176F3D" w:rsidRPr="002A0FC0" w:rsidRDefault="00176F3D" w:rsidP="00176F3D">
      <w:pPr>
        <w:pStyle w:val="LLSLevel4"/>
        <w:numPr>
          <w:ilvl w:val="0"/>
          <w:numId w:val="22"/>
        </w:numPr>
        <w:rPr>
          <w:rFonts w:asciiTheme="minorHAnsi" w:hAnsiTheme="minorHAnsi"/>
          <w:sz w:val="20"/>
          <w:szCs w:val="20"/>
        </w:rPr>
      </w:pPr>
      <w:r w:rsidRPr="002A0FC0">
        <w:rPr>
          <w:rFonts w:asciiTheme="minorHAnsi" w:hAnsiTheme="minorHAnsi"/>
          <w:sz w:val="20"/>
          <w:szCs w:val="20"/>
        </w:rPr>
        <w:t>Relevance - Analysts who study financial statements often attempt to forecast the future cash flows of a company. One source of cash is the sale of investments. The best estimate of cash to be generated by investments in trading securities and securities available-for-sale is their current market values. This treatment differs from the presentation for most other assets owned by a company.</w:t>
      </w:r>
    </w:p>
    <w:p w14:paraId="0AF253C1" w14:textId="77777777" w:rsidR="00176F3D" w:rsidRPr="002A0FC0" w:rsidRDefault="00176F3D" w:rsidP="00176F3D">
      <w:pPr>
        <w:pStyle w:val="LLSLevel4"/>
        <w:numPr>
          <w:ilvl w:val="0"/>
          <w:numId w:val="22"/>
        </w:numPr>
        <w:rPr>
          <w:rFonts w:asciiTheme="minorHAnsi" w:hAnsiTheme="minorHAnsi"/>
          <w:sz w:val="20"/>
          <w:szCs w:val="20"/>
        </w:rPr>
      </w:pPr>
      <w:r w:rsidRPr="002A0FC0">
        <w:rPr>
          <w:rFonts w:asciiTheme="minorHAnsi" w:hAnsiTheme="minorHAnsi"/>
          <w:sz w:val="20"/>
          <w:szCs w:val="20"/>
        </w:rPr>
        <w:t>Measurability - Financial statement dollar valuations for items are based on the reliability of those amounts (verifiable and unbiased valuations). Many assets owned by a company are not actively traded, such as fixed assets. On the other hand, securities have established market exchanges where they are traded each day. Therefore, it is relatively easy to ascertain current market values for these assets.</w:t>
      </w:r>
    </w:p>
    <w:p w14:paraId="0D83CB51" w14:textId="77777777" w:rsidR="00176F3D" w:rsidRPr="002A0FC0" w:rsidRDefault="00176F3D" w:rsidP="00176F3D">
      <w:pPr>
        <w:pStyle w:val="LLSLevel4"/>
        <w:numPr>
          <w:ilvl w:val="0"/>
          <w:numId w:val="15"/>
        </w:numPr>
        <w:rPr>
          <w:rFonts w:asciiTheme="minorHAnsi" w:hAnsiTheme="minorHAnsi"/>
          <w:sz w:val="20"/>
          <w:szCs w:val="20"/>
        </w:rPr>
      </w:pPr>
      <w:r w:rsidRPr="002A0FC0">
        <w:rPr>
          <w:rFonts w:asciiTheme="minorHAnsi" w:hAnsiTheme="minorHAnsi"/>
          <w:sz w:val="20"/>
          <w:szCs w:val="20"/>
        </w:rPr>
        <w:t>Trading Securities are shown as current assets on the Balance Sheet.</w:t>
      </w:r>
    </w:p>
    <w:p w14:paraId="141B8F60" w14:textId="77777777" w:rsidR="00176F3D" w:rsidRPr="002A0FC0" w:rsidRDefault="00176F3D" w:rsidP="00176F3D">
      <w:pPr>
        <w:pStyle w:val="LLSLevel4"/>
        <w:numPr>
          <w:ilvl w:val="0"/>
          <w:numId w:val="15"/>
        </w:numPr>
        <w:rPr>
          <w:rFonts w:asciiTheme="minorHAnsi" w:hAnsiTheme="minorHAnsi"/>
          <w:sz w:val="20"/>
          <w:szCs w:val="20"/>
        </w:rPr>
      </w:pPr>
      <w:r w:rsidRPr="002A0FC0">
        <w:rPr>
          <w:rFonts w:asciiTheme="minorHAnsi" w:hAnsiTheme="minorHAnsi"/>
          <w:sz w:val="20"/>
          <w:szCs w:val="20"/>
        </w:rPr>
        <w:t>Securities Available for Sale are classified as either current or non-current depending upon the intent of the company.</w:t>
      </w:r>
    </w:p>
    <w:p w14:paraId="00581FDF" w14:textId="77777777" w:rsidR="00176F3D" w:rsidRPr="002A0FC0" w:rsidRDefault="00176F3D" w:rsidP="00176F3D">
      <w:pPr>
        <w:pStyle w:val="LLSLevel4"/>
        <w:numPr>
          <w:ilvl w:val="0"/>
          <w:numId w:val="0"/>
        </w:numPr>
        <w:ind w:left="1080"/>
        <w:rPr>
          <w:rFonts w:asciiTheme="minorHAnsi" w:hAnsiTheme="minorHAnsi"/>
          <w:sz w:val="20"/>
          <w:szCs w:val="20"/>
        </w:rPr>
      </w:pPr>
    </w:p>
    <w:p w14:paraId="4FCB5C81"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Recording of unrealized holding gains and losses:</w:t>
      </w:r>
    </w:p>
    <w:p w14:paraId="47A8A2AF" w14:textId="77777777" w:rsidR="00176F3D" w:rsidRPr="002A0FC0" w:rsidRDefault="00176F3D" w:rsidP="00176F3D">
      <w:pPr>
        <w:pStyle w:val="a"/>
        <w:widowControl/>
        <w:numPr>
          <w:ilvl w:val="0"/>
          <w:numId w:val="2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This is a departure from the revenue recognition principle since gains (losses) are recorded before the earnings process is complete (before the sale). </w:t>
      </w:r>
    </w:p>
    <w:p w14:paraId="2B75EDA4" w14:textId="77777777" w:rsidR="00176F3D" w:rsidRPr="002A0FC0" w:rsidRDefault="00176F3D" w:rsidP="00176F3D">
      <w:pPr>
        <w:pStyle w:val="a"/>
        <w:widowControl/>
        <w:numPr>
          <w:ilvl w:val="0"/>
          <w:numId w:val="2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These are amounts associated with price changes of securities that are currently held. </w:t>
      </w:r>
    </w:p>
    <w:p w14:paraId="662A6CCA" w14:textId="77777777" w:rsidR="00176F3D" w:rsidRPr="002A0FC0" w:rsidRDefault="00176F3D" w:rsidP="00176F3D">
      <w:pPr>
        <w:pStyle w:val="a"/>
        <w:widowControl/>
        <w:numPr>
          <w:ilvl w:val="0"/>
          <w:numId w:val="2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impact of unrealized holding gains and losses depends on the classification of the investment as trading securities or available-for-sale securities.</w:t>
      </w:r>
    </w:p>
    <w:p w14:paraId="049C74C7"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01389F48"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Classifying Passive Stock Investments</w:t>
      </w:r>
    </w:p>
    <w:p w14:paraId="74434E57" w14:textId="77777777" w:rsidR="00176F3D" w:rsidRPr="002A0FC0" w:rsidRDefault="00176F3D" w:rsidP="00176F3D">
      <w:pPr>
        <w:pStyle w:val="a"/>
        <w:widowControl/>
        <w:numPr>
          <w:ilvl w:val="0"/>
          <w:numId w:val="2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Trading securities</w:t>
      </w:r>
    </w:p>
    <w:p w14:paraId="552160DB" w14:textId="77777777" w:rsidR="00176F3D" w:rsidRPr="002A0FC0" w:rsidRDefault="00176F3D" w:rsidP="00176F3D">
      <w:pPr>
        <w:pStyle w:val="LLSLevel4"/>
        <w:numPr>
          <w:ilvl w:val="0"/>
          <w:numId w:val="25"/>
        </w:numPr>
        <w:rPr>
          <w:rFonts w:asciiTheme="minorHAnsi" w:hAnsiTheme="minorHAnsi"/>
          <w:sz w:val="20"/>
          <w:szCs w:val="20"/>
        </w:rPr>
      </w:pPr>
      <w:r w:rsidRPr="002A0FC0">
        <w:rPr>
          <w:rFonts w:asciiTheme="minorHAnsi" w:hAnsiTheme="minorHAnsi"/>
          <w:sz w:val="20"/>
          <w:szCs w:val="20"/>
        </w:rPr>
        <w:t>Actively traded with the objective of generating profits. Part of the company’s active trading portfolio.</w:t>
      </w:r>
    </w:p>
    <w:p w14:paraId="7C8DA385" w14:textId="77777777" w:rsidR="00176F3D" w:rsidRPr="002A0FC0" w:rsidRDefault="00176F3D" w:rsidP="00176F3D">
      <w:pPr>
        <w:pStyle w:val="LLSLevel4"/>
        <w:numPr>
          <w:ilvl w:val="0"/>
          <w:numId w:val="25"/>
        </w:numPr>
        <w:rPr>
          <w:rFonts w:asciiTheme="minorHAnsi" w:hAnsiTheme="minorHAnsi"/>
          <w:sz w:val="20"/>
          <w:szCs w:val="20"/>
        </w:rPr>
      </w:pPr>
      <w:r w:rsidRPr="002A0FC0">
        <w:rPr>
          <w:rFonts w:asciiTheme="minorHAnsi" w:hAnsiTheme="minorHAnsi"/>
          <w:sz w:val="20"/>
          <w:szCs w:val="20"/>
        </w:rPr>
        <w:t>Classified as a current asset on the balance sheet, valued at fair market value at the balance sheet date.</w:t>
      </w:r>
    </w:p>
    <w:p w14:paraId="60C73015" w14:textId="77777777" w:rsidR="00176F3D" w:rsidRPr="002A0FC0" w:rsidRDefault="00176F3D" w:rsidP="00176F3D">
      <w:pPr>
        <w:pStyle w:val="LLSLevel4"/>
        <w:numPr>
          <w:ilvl w:val="0"/>
          <w:numId w:val="25"/>
        </w:numPr>
        <w:rPr>
          <w:rFonts w:asciiTheme="minorHAnsi" w:hAnsiTheme="minorHAnsi"/>
          <w:sz w:val="20"/>
          <w:szCs w:val="20"/>
        </w:rPr>
      </w:pPr>
      <w:r w:rsidRPr="002A0FC0">
        <w:rPr>
          <w:rFonts w:asciiTheme="minorHAnsi" w:hAnsiTheme="minorHAnsi"/>
          <w:sz w:val="20"/>
          <w:szCs w:val="20"/>
        </w:rPr>
        <w:t>Unrealized holding gains and losses are reported on the income statement. They increase or decrease net income.</w:t>
      </w:r>
    </w:p>
    <w:p w14:paraId="548C7EC1" w14:textId="77777777" w:rsidR="00176F3D" w:rsidRPr="002A0FC0" w:rsidRDefault="00176F3D" w:rsidP="00176F3D">
      <w:pPr>
        <w:pStyle w:val="LLSLevel4"/>
        <w:numPr>
          <w:ilvl w:val="0"/>
          <w:numId w:val="25"/>
        </w:numPr>
        <w:rPr>
          <w:rFonts w:asciiTheme="minorHAnsi" w:hAnsiTheme="minorHAnsi"/>
          <w:sz w:val="20"/>
          <w:szCs w:val="20"/>
        </w:rPr>
      </w:pPr>
      <w:r w:rsidRPr="002A0FC0">
        <w:rPr>
          <w:rFonts w:asciiTheme="minorHAnsi" w:hAnsiTheme="minorHAnsi"/>
          <w:sz w:val="20"/>
          <w:szCs w:val="20"/>
        </w:rPr>
        <w:t>At the time of sale, the realized gain or loss is the difference between what is received a the time of the sale and the book value of Trading Securities net of the Allowance to Value at Market.</w:t>
      </w:r>
    </w:p>
    <w:p w14:paraId="2CE785E2" w14:textId="77777777" w:rsidR="004A03A5" w:rsidRDefault="004A03A5" w:rsidP="00176F3D">
      <w:pPr>
        <w:pStyle w:val="a"/>
        <w:widowControl/>
        <w:numPr>
          <w:ilvl w:val="0"/>
          <w:numId w:val="24"/>
        </w:numPr>
        <w:tabs>
          <w:tab w:val="right" w:pos="720"/>
          <w:tab w:val="left" w:pos="1440"/>
          <w:tab w:val="left" w:pos="1800"/>
          <w:tab w:val="left" w:pos="6840"/>
        </w:tabs>
        <w:rPr>
          <w:rFonts w:asciiTheme="minorHAnsi" w:hAnsiTheme="minorHAnsi"/>
          <w:color w:val="000000"/>
          <w:szCs w:val="20"/>
        </w:rPr>
        <w:sectPr w:rsidR="004A03A5" w:rsidSect="004A03A5">
          <w:pgSz w:w="11907" w:h="16839" w:code="9"/>
          <w:pgMar w:top="1134" w:right="1418" w:bottom="1134" w:left="1418" w:header="720" w:footer="720" w:gutter="0"/>
          <w:cols w:space="720"/>
          <w:docGrid w:linePitch="360"/>
        </w:sectPr>
      </w:pPr>
    </w:p>
    <w:p w14:paraId="49080BCA" w14:textId="77777777" w:rsidR="00176F3D" w:rsidRPr="002A0FC0" w:rsidRDefault="00176F3D" w:rsidP="00176F3D">
      <w:pPr>
        <w:pStyle w:val="a"/>
        <w:widowControl/>
        <w:numPr>
          <w:ilvl w:val="0"/>
          <w:numId w:val="24"/>
        </w:numPr>
        <w:tabs>
          <w:tab w:val="right" w:pos="720"/>
          <w:tab w:val="left" w:pos="1440"/>
          <w:tab w:val="left" w:pos="1800"/>
          <w:tab w:val="left" w:pos="6840"/>
        </w:tabs>
        <w:rPr>
          <w:rFonts w:asciiTheme="minorHAnsi" w:hAnsiTheme="minorHAnsi"/>
          <w:szCs w:val="20"/>
        </w:rPr>
      </w:pPr>
      <w:r w:rsidRPr="002A0FC0">
        <w:rPr>
          <w:rFonts w:asciiTheme="minorHAnsi" w:hAnsiTheme="minorHAnsi"/>
          <w:color w:val="000000"/>
          <w:szCs w:val="20"/>
        </w:rPr>
        <w:lastRenderedPageBreak/>
        <w:t xml:space="preserve">Securities available-for-sale: </w:t>
      </w:r>
    </w:p>
    <w:p w14:paraId="54B9124F" w14:textId="77777777" w:rsidR="00176F3D" w:rsidRPr="002A0FC0" w:rsidRDefault="00176F3D" w:rsidP="00176F3D">
      <w:pPr>
        <w:pStyle w:val="LLSLevel4"/>
        <w:numPr>
          <w:ilvl w:val="0"/>
          <w:numId w:val="26"/>
        </w:numPr>
        <w:rPr>
          <w:rFonts w:asciiTheme="minorHAnsi" w:hAnsiTheme="minorHAnsi"/>
          <w:sz w:val="20"/>
          <w:szCs w:val="20"/>
        </w:rPr>
      </w:pPr>
      <w:r w:rsidRPr="002A0FC0">
        <w:rPr>
          <w:rFonts w:asciiTheme="minorHAnsi" w:hAnsiTheme="minorHAnsi"/>
          <w:sz w:val="20"/>
          <w:szCs w:val="20"/>
        </w:rPr>
        <w:t>Not part of the company’s active trading portfolio.</w:t>
      </w:r>
    </w:p>
    <w:p w14:paraId="5B0036F1" w14:textId="77777777" w:rsidR="00176F3D" w:rsidRPr="002A0FC0" w:rsidRDefault="00176F3D" w:rsidP="00176F3D">
      <w:pPr>
        <w:pStyle w:val="LLSLevel4"/>
        <w:numPr>
          <w:ilvl w:val="0"/>
          <w:numId w:val="26"/>
        </w:numPr>
        <w:rPr>
          <w:rFonts w:asciiTheme="minorHAnsi" w:hAnsiTheme="minorHAnsi"/>
          <w:sz w:val="20"/>
          <w:szCs w:val="20"/>
        </w:rPr>
      </w:pPr>
      <w:r w:rsidRPr="002A0FC0">
        <w:rPr>
          <w:rFonts w:asciiTheme="minorHAnsi" w:hAnsiTheme="minorHAnsi"/>
          <w:sz w:val="20"/>
          <w:szCs w:val="20"/>
        </w:rPr>
        <w:t>Classified as current asset or non-current asset depending on whether management intends to sell within the next year, valued at fair market value at the balance sheet date.</w:t>
      </w:r>
    </w:p>
    <w:p w14:paraId="32489803" w14:textId="77777777" w:rsidR="00176F3D" w:rsidRPr="002A0FC0" w:rsidRDefault="00176F3D" w:rsidP="00176F3D">
      <w:pPr>
        <w:pStyle w:val="LLSLevel4"/>
        <w:numPr>
          <w:ilvl w:val="0"/>
          <w:numId w:val="26"/>
        </w:numPr>
        <w:rPr>
          <w:rFonts w:asciiTheme="minorHAnsi" w:hAnsiTheme="minorHAnsi"/>
          <w:sz w:val="20"/>
          <w:szCs w:val="20"/>
        </w:rPr>
      </w:pPr>
      <w:r w:rsidRPr="002A0FC0">
        <w:rPr>
          <w:rFonts w:asciiTheme="minorHAnsi" w:hAnsiTheme="minorHAnsi"/>
          <w:sz w:val="20"/>
          <w:szCs w:val="20"/>
        </w:rPr>
        <w:t>Unrealized holding gains and losses are reported in the stockholders' equity section of the balance sheet. They increase or decrease stockholders' equity. They do not affect net income currently.</w:t>
      </w:r>
    </w:p>
    <w:p w14:paraId="25FC8A7A" w14:textId="77777777" w:rsidR="00176F3D" w:rsidRPr="002A0FC0" w:rsidRDefault="00176F3D" w:rsidP="00176F3D">
      <w:pPr>
        <w:pStyle w:val="LLSLevel4"/>
        <w:numPr>
          <w:ilvl w:val="0"/>
          <w:numId w:val="0"/>
        </w:numPr>
        <w:rPr>
          <w:rFonts w:asciiTheme="minorHAnsi" w:hAnsiTheme="minorHAnsi"/>
          <w:sz w:val="20"/>
          <w:szCs w:val="20"/>
        </w:rPr>
      </w:pPr>
    </w:p>
    <w:p w14:paraId="64592690"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Purchase of Stock</w:t>
      </w:r>
    </w:p>
    <w:p w14:paraId="4B293DA6" w14:textId="77777777" w:rsidR="00176F3D" w:rsidRPr="002A0FC0" w:rsidRDefault="00176F3D" w:rsidP="00176F3D">
      <w:pPr>
        <w:pStyle w:val="a"/>
        <w:widowControl/>
        <w:numPr>
          <w:ilvl w:val="0"/>
          <w:numId w:val="5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Regardless of how the stock is classified, the investment is debited for the full cost (cost principle) of the stock, including any broker’s charge.</w:t>
      </w:r>
    </w:p>
    <w:p w14:paraId="082EF342"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0C36D850"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Dividends Earned</w:t>
      </w:r>
    </w:p>
    <w:p w14:paraId="2F15246B" w14:textId="77777777" w:rsidR="00176F3D" w:rsidRPr="002A0FC0" w:rsidRDefault="00176F3D" w:rsidP="00176F3D">
      <w:pPr>
        <w:pStyle w:val="a"/>
        <w:widowControl/>
        <w:numPr>
          <w:ilvl w:val="0"/>
          <w:numId w:val="5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Investments earn a return from two sources: price appreciation and dividend income. </w:t>
      </w:r>
    </w:p>
    <w:p w14:paraId="5922EEEB" w14:textId="77777777" w:rsidR="00176F3D" w:rsidRPr="002A0FC0" w:rsidRDefault="00176F3D" w:rsidP="00176F3D">
      <w:pPr>
        <w:pStyle w:val="LLSLevel4"/>
        <w:numPr>
          <w:ilvl w:val="0"/>
          <w:numId w:val="27"/>
        </w:numPr>
        <w:rPr>
          <w:rFonts w:asciiTheme="minorHAnsi" w:hAnsiTheme="minorHAnsi"/>
          <w:sz w:val="20"/>
          <w:szCs w:val="20"/>
        </w:rPr>
      </w:pPr>
      <w:r w:rsidRPr="002A0FC0">
        <w:rPr>
          <w:rFonts w:asciiTheme="minorHAnsi" w:hAnsiTheme="minorHAnsi"/>
          <w:sz w:val="20"/>
          <w:szCs w:val="20"/>
        </w:rPr>
        <w:t xml:space="preserve">Price appreciation is analyzed at each year-end and when the security is sold. </w:t>
      </w:r>
    </w:p>
    <w:p w14:paraId="2C34833E" w14:textId="77777777" w:rsidR="00176F3D" w:rsidRPr="002A0FC0" w:rsidRDefault="00176F3D" w:rsidP="00176F3D">
      <w:pPr>
        <w:pStyle w:val="LLSLevel4"/>
        <w:numPr>
          <w:ilvl w:val="0"/>
          <w:numId w:val="27"/>
        </w:numPr>
        <w:rPr>
          <w:rFonts w:asciiTheme="minorHAnsi" w:hAnsiTheme="minorHAnsi"/>
          <w:sz w:val="20"/>
          <w:szCs w:val="20"/>
        </w:rPr>
      </w:pPr>
      <w:r w:rsidRPr="002A0FC0">
        <w:rPr>
          <w:rFonts w:asciiTheme="minorHAnsi" w:hAnsiTheme="minorHAnsi"/>
          <w:sz w:val="20"/>
          <w:szCs w:val="20"/>
        </w:rPr>
        <w:t>Dividends earned are reported on the income statement as investment income.</w:t>
      </w:r>
    </w:p>
    <w:p w14:paraId="759B9B24" w14:textId="77777777" w:rsidR="00176F3D" w:rsidRPr="002A0FC0" w:rsidRDefault="00176F3D" w:rsidP="00176F3D">
      <w:pPr>
        <w:pStyle w:val="LLSLevel4"/>
        <w:numPr>
          <w:ilvl w:val="0"/>
          <w:numId w:val="0"/>
        </w:numPr>
        <w:rPr>
          <w:rFonts w:asciiTheme="minorHAnsi" w:hAnsiTheme="minorHAnsi"/>
          <w:sz w:val="20"/>
          <w:szCs w:val="20"/>
        </w:rPr>
      </w:pPr>
    </w:p>
    <w:p w14:paraId="6D9BA811"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Year-End Valuation</w:t>
      </w:r>
    </w:p>
    <w:p w14:paraId="078B74E9" w14:textId="77777777" w:rsidR="00176F3D" w:rsidRPr="002A0FC0" w:rsidRDefault="00176F3D" w:rsidP="00176F3D">
      <w:pPr>
        <w:pStyle w:val="a"/>
        <w:widowControl/>
        <w:numPr>
          <w:ilvl w:val="0"/>
          <w:numId w:val="28"/>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Passive investments are reported at fair market value on the balance sheet date. </w:t>
      </w:r>
    </w:p>
    <w:p w14:paraId="0C10D54E" w14:textId="77777777" w:rsidR="00176F3D" w:rsidRPr="002A0FC0" w:rsidRDefault="00176F3D" w:rsidP="00176F3D">
      <w:pPr>
        <w:pStyle w:val="a"/>
        <w:widowControl/>
        <w:numPr>
          <w:ilvl w:val="0"/>
          <w:numId w:val="28"/>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A separate "adjustment" account is maintained for the changes in the investment account and the current price. </w:t>
      </w:r>
    </w:p>
    <w:p w14:paraId="7CD3CFD3" w14:textId="77777777" w:rsidR="00176F3D" w:rsidRPr="002A0FC0" w:rsidRDefault="00176F3D" w:rsidP="00176F3D">
      <w:pPr>
        <w:pStyle w:val="LLSLevel4"/>
        <w:numPr>
          <w:ilvl w:val="0"/>
          <w:numId w:val="29"/>
        </w:numPr>
        <w:rPr>
          <w:rFonts w:asciiTheme="minorHAnsi" w:hAnsiTheme="minorHAnsi"/>
          <w:sz w:val="20"/>
          <w:szCs w:val="20"/>
        </w:rPr>
      </w:pPr>
      <w:r w:rsidRPr="002A0FC0">
        <w:rPr>
          <w:rFonts w:asciiTheme="minorHAnsi" w:hAnsiTheme="minorHAnsi"/>
          <w:sz w:val="20"/>
          <w:szCs w:val="20"/>
        </w:rPr>
        <w:t>This is done rather than changing the investment account itself. Since no exchange has taken place, there is an unrealized holding gain or loss for the difference.</w:t>
      </w:r>
    </w:p>
    <w:p w14:paraId="64D8BE39" w14:textId="77777777" w:rsidR="00176F3D" w:rsidRPr="002A0FC0" w:rsidRDefault="00176F3D" w:rsidP="00176F3D">
      <w:pPr>
        <w:pStyle w:val="LLSLevel4"/>
        <w:numPr>
          <w:ilvl w:val="0"/>
          <w:numId w:val="29"/>
        </w:numPr>
        <w:rPr>
          <w:rFonts w:asciiTheme="minorHAnsi" w:hAnsiTheme="minorHAnsi"/>
          <w:sz w:val="20"/>
          <w:szCs w:val="20"/>
        </w:rPr>
      </w:pPr>
      <w:r w:rsidRPr="002A0FC0">
        <w:rPr>
          <w:rFonts w:asciiTheme="minorHAnsi" w:hAnsiTheme="minorHAnsi"/>
          <w:sz w:val="20"/>
          <w:szCs w:val="20"/>
        </w:rPr>
        <w:t>If the current market value exceeds cost for the investment, the journal entry debits the allowance to value at market account and credits the unrealized holding gain/loss account.</w:t>
      </w:r>
    </w:p>
    <w:p w14:paraId="6A067230" w14:textId="77777777" w:rsidR="00176F3D" w:rsidRPr="002A0FC0" w:rsidRDefault="00176F3D" w:rsidP="00176F3D">
      <w:pPr>
        <w:pStyle w:val="LLSLevel4"/>
        <w:numPr>
          <w:ilvl w:val="0"/>
          <w:numId w:val="29"/>
        </w:numPr>
        <w:rPr>
          <w:rFonts w:asciiTheme="minorHAnsi" w:hAnsiTheme="minorHAnsi"/>
          <w:sz w:val="20"/>
          <w:szCs w:val="20"/>
        </w:rPr>
      </w:pPr>
      <w:r w:rsidRPr="002A0FC0">
        <w:rPr>
          <w:rFonts w:asciiTheme="minorHAnsi" w:hAnsiTheme="minorHAnsi"/>
          <w:sz w:val="20"/>
          <w:szCs w:val="20"/>
        </w:rPr>
        <w:t>If the cost exceeds current market value for the investment, the journal entry debits the unrealized holding gain/loss account and credits the allowance to value at market account.</w:t>
      </w:r>
    </w:p>
    <w:p w14:paraId="14578158" w14:textId="77777777" w:rsidR="00176F3D" w:rsidRPr="002A0FC0" w:rsidRDefault="00176F3D" w:rsidP="00176F3D">
      <w:pPr>
        <w:pStyle w:val="LLSLevel4"/>
        <w:numPr>
          <w:ilvl w:val="0"/>
          <w:numId w:val="0"/>
        </w:numPr>
        <w:rPr>
          <w:rFonts w:asciiTheme="minorHAnsi" w:hAnsiTheme="minorHAnsi"/>
          <w:sz w:val="20"/>
          <w:szCs w:val="20"/>
        </w:rPr>
      </w:pPr>
    </w:p>
    <w:p w14:paraId="7C09C1A4"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Sale of Stock</w:t>
      </w:r>
    </w:p>
    <w:p w14:paraId="1D56A505" w14:textId="77777777" w:rsidR="00176F3D" w:rsidRPr="002A0FC0" w:rsidRDefault="00176F3D" w:rsidP="00176F3D">
      <w:pPr>
        <w:pStyle w:val="a"/>
        <w:widowControl/>
        <w:numPr>
          <w:ilvl w:val="0"/>
          <w:numId w:val="3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Available-for-sale</w:t>
      </w:r>
    </w:p>
    <w:p w14:paraId="20056EA2" w14:textId="77777777" w:rsidR="00176F3D" w:rsidRPr="002A0FC0" w:rsidRDefault="00176F3D" w:rsidP="00176F3D">
      <w:pPr>
        <w:pStyle w:val="LLSLevel4"/>
        <w:numPr>
          <w:ilvl w:val="0"/>
          <w:numId w:val="31"/>
        </w:numPr>
        <w:rPr>
          <w:rFonts w:asciiTheme="minorHAnsi" w:hAnsiTheme="minorHAnsi"/>
          <w:sz w:val="20"/>
          <w:szCs w:val="20"/>
        </w:rPr>
      </w:pPr>
      <w:r w:rsidRPr="002A0FC0">
        <w:rPr>
          <w:rFonts w:asciiTheme="minorHAnsi" w:hAnsiTheme="minorHAnsi"/>
          <w:sz w:val="20"/>
          <w:szCs w:val="20"/>
        </w:rPr>
        <w:t xml:space="preserve">The available-for-sale investment account is compared with the cash received to determine a gain or loss on the sale. </w:t>
      </w:r>
    </w:p>
    <w:p w14:paraId="0B721113" w14:textId="77777777" w:rsidR="00176F3D" w:rsidRPr="002A0FC0" w:rsidRDefault="00176F3D" w:rsidP="00176F3D">
      <w:pPr>
        <w:pStyle w:val="LLSLevel4"/>
        <w:numPr>
          <w:ilvl w:val="0"/>
          <w:numId w:val="31"/>
        </w:numPr>
        <w:rPr>
          <w:rFonts w:asciiTheme="minorHAnsi" w:hAnsiTheme="minorHAnsi"/>
          <w:sz w:val="20"/>
          <w:szCs w:val="20"/>
        </w:rPr>
      </w:pPr>
      <w:r w:rsidRPr="002A0FC0">
        <w:rPr>
          <w:rFonts w:asciiTheme="minorHAnsi" w:hAnsiTheme="minorHAnsi"/>
          <w:sz w:val="20"/>
          <w:szCs w:val="20"/>
        </w:rPr>
        <w:t xml:space="preserve">Additionally, the unrealized loss/gain and valuation allowance account are eliminated. </w:t>
      </w:r>
    </w:p>
    <w:p w14:paraId="3205BFAC" w14:textId="77777777" w:rsidR="00176F3D" w:rsidRPr="002A0FC0" w:rsidRDefault="00176F3D" w:rsidP="00176F3D">
      <w:pPr>
        <w:pStyle w:val="a"/>
        <w:widowControl/>
        <w:numPr>
          <w:ilvl w:val="0"/>
          <w:numId w:val="3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Trading</w:t>
      </w:r>
    </w:p>
    <w:p w14:paraId="2197050D" w14:textId="77777777" w:rsidR="00176F3D" w:rsidRPr="002A0FC0" w:rsidRDefault="00176F3D" w:rsidP="00176F3D">
      <w:pPr>
        <w:pStyle w:val="LLSLevel4"/>
        <w:numPr>
          <w:ilvl w:val="0"/>
          <w:numId w:val="32"/>
        </w:numPr>
        <w:rPr>
          <w:rFonts w:asciiTheme="minorHAnsi" w:hAnsiTheme="minorHAnsi"/>
          <w:sz w:val="20"/>
          <w:szCs w:val="20"/>
        </w:rPr>
      </w:pPr>
      <w:r w:rsidRPr="002A0FC0">
        <w:rPr>
          <w:rFonts w:asciiTheme="minorHAnsi" w:hAnsiTheme="minorHAnsi"/>
          <w:sz w:val="20"/>
          <w:szCs w:val="20"/>
        </w:rPr>
        <w:t xml:space="preserve">The sale of a trading security is similar except there is no unrealized loss/gain account in stockholders’ equity since it has been closed to Retained Earnings. </w:t>
      </w:r>
    </w:p>
    <w:p w14:paraId="39A975DA" w14:textId="77777777" w:rsidR="00176F3D" w:rsidRPr="002A0FC0" w:rsidRDefault="00176F3D" w:rsidP="00176F3D">
      <w:pPr>
        <w:pStyle w:val="LLSLevel4"/>
        <w:numPr>
          <w:ilvl w:val="0"/>
          <w:numId w:val="32"/>
        </w:numPr>
        <w:rPr>
          <w:rFonts w:asciiTheme="minorHAnsi" w:hAnsiTheme="minorHAnsi"/>
          <w:sz w:val="20"/>
          <w:szCs w:val="20"/>
        </w:rPr>
      </w:pPr>
      <w:r w:rsidRPr="002A0FC0">
        <w:rPr>
          <w:rFonts w:asciiTheme="minorHAnsi" w:hAnsiTheme="minorHAnsi"/>
          <w:sz w:val="20"/>
          <w:szCs w:val="20"/>
        </w:rPr>
        <w:t>Instead, any unrealized loss/gain amounts in a previous period were reported on the income statement in that period.</w:t>
      </w:r>
    </w:p>
    <w:p w14:paraId="351AF387" w14:textId="77777777" w:rsidR="00176F3D" w:rsidRPr="002A0FC0" w:rsidRDefault="00176F3D" w:rsidP="00176F3D">
      <w:pPr>
        <w:pStyle w:val="LLSLevel4"/>
        <w:numPr>
          <w:ilvl w:val="0"/>
          <w:numId w:val="32"/>
        </w:numPr>
        <w:rPr>
          <w:rFonts w:asciiTheme="minorHAnsi" w:hAnsiTheme="minorHAnsi"/>
          <w:sz w:val="20"/>
          <w:szCs w:val="20"/>
        </w:rPr>
      </w:pPr>
      <w:r w:rsidRPr="002A0FC0">
        <w:rPr>
          <w:rFonts w:asciiTheme="minorHAnsi" w:hAnsiTheme="minorHAnsi"/>
          <w:sz w:val="20"/>
          <w:szCs w:val="20"/>
        </w:rPr>
        <w:t>Since the Unrealized Gain or Loss is shown on the Income Statement and, subsequently, is closed to Retained Earnings, at the time of sale the realized gain or loss is the difference between the Investment in Trading Securities net of the Allowance to Value at Market and the cash received at the time of the sale.</w:t>
      </w:r>
    </w:p>
    <w:p w14:paraId="65FD58E2" w14:textId="77777777" w:rsidR="00176F3D" w:rsidRPr="002A0FC0" w:rsidRDefault="00176F3D" w:rsidP="00176F3D">
      <w:pPr>
        <w:pStyle w:val="LLSLevel4"/>
        <w:numPr>
          <w:ilvl w:val="0"/>
          <w:numId w:val="0"/>
        </w:numPr>
        <w:rPr>
          <w:rFonts w:asciiTheme="minorHAnsi" w:hAnsiTheme="minorHAnsi"/>
          <w:sz w:val="20"/>
          <w:szCs w:val="20"/>
        </w:rPr>
      </w:pPr>
    </w:p>
    <w:p w14:paraId="4347C3F2" w14:textId="77777777" w:rsidR="00176F3D" w:rsidRPr="002A0FC0" w:rsidRDefault="00176F3D" w:rsidP="00176F3D">
      <w:pPr>
        <w:pStyle w:val="LLSLevel2"/>
        <w:numPr>
          <w:ilvl w:val="0"/>
          <w:numId w:val="12"/>
        </w:numPr>
        <w:rPr>
          <w:rFonts w:asciiTheme="minorHAnsi" w:hAnsiTheme="minorHAnsi"/>
          <w:sz w:val="20"/>
          <w:szCs w:val="20"/>
        </w:rPr>
      </w:pPr>
      <w:r w:rsidRPr="002A0FC0">
        <w:rPr>
          <w:rFonts w:asciiTheme="minorHAnsi" w:hAnsiTheme="minorHAnsi"/>
          <w:sz w:val="20"/>
          <w:szCs w:val="20"/>
        </w:rPr>
        <w:t>Comparing Trading and Available-for-Sale Securities</w:t>
      </w:r>
    </w:p>
    <w:p w14:paraId="3334FFB2" w14:textId="77777777" w:rsidR="00176F3D" w:rsidRPr="002A0FC0" w:rsidRDefault="00176F3D" w:rsidP="00176F3D">
      <w:pPr>
        <w:pStyle w:val="a"/>
        <w:widowControl/>
        <w:numPr>
          <w:ilvl w:val="0"/>
          <w:numId w:val="3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Each investment is recorded at cost (cost principle). Each investment is reported on the balance sheet at fair market value.</w:t>
      </w:r>
    </w:p>
    <w:p w14:paraId="13420EE8" w14:textId="77777777" w:rsidR="00176F3D" w:rsidRPr="002A0FC0" w:rsidRDefault="00176F3D" w:rsidP="00176F3D">
      <w:pPr>
        <w:pStyle w:val="a"/>
        <w:widowControl/>
        <w:numPr>
          <w:ilvl w:val="0"/>
          <w:numId w:val="3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net unrealized holding gains and losses for available-for-sale securities is a component of stockholders’ equity. The income statement is only impacted upon the sale of the stock as the difference of the sales proceeds and original cost.</w:t>
      </w:r>
    </w:p>
    <w:p w14:paraId="68429972" w14:textId="77777777" w:rsidR="00176F3D" w:rsidRPr="002A0FC0" w:rsidRDefault="00176F3D" w:rsidP="00176F3D">
      <w:pPr>
        <w:pStyle w:val="a"/>
        <w:widowControl/>
        <w:numPr>
          <w:ilvl w:val="0"/>
          <w:numId w:val="33"/>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net unrealized holding gains and losses for trading securities are included on the income statement. The income statement is also impacted upon the sale of the stock investment as the difference of the sales proceeds and the investment account net of the allowance to value at market account.</w:t>
      </w:r>
    </w:p>
    <w:p w14:paraId="5E0588F9" w14:textId="77777777" w:rsidR="00176F3D" w:rsidRPr="002A0FC0" w:rsidRDefault="00176F3D" w:rsidP="00176F3D">
      <w:pPr>
        <w:pStyle w:val="LLSLevel2"/>
        <w:rPr>
          <w:rFonts w:asciiTheme="minorHAnsi" w:hAnsiTheme="minorHAnsi"/>
          <w:sz w:val="20"/>
          <w:szCs w:val="20"/>
        </w:rPr>
      </w:pPr>
    </w:p>
    <w:p w14:paraId="15649B24" w14:textId="77777777" w:rsidR="00176F3D" w:rsidRPr="002A0FC0" w:rsidRDefault="00176F3D">
      <w:pPr>
        <w:spacing w:after="200" w:line="276" w:lineRule="auto"/>
        <w:rPr>
          <w:rFonts w:asciiTheme="minorHAnsi" w:hAnsiTheme="minorHAnsi"/>
          <w:sz w:val="20"/>
          <w:szCs w:val="20"/>
        </w:rPr>
      </w:pPr>
      <w:r w:rsidRPr="002A0FC0">
        <w:rPr>
          <w:rFonts w:asciiTheme="minorHAnsi" w:hAnsiTheme="minorHAnsi"/>
          <w:b/>
          <w:bCs/>
          <w:sz w:val="20"/>
          <w:szCs w:val="20"/>
        </w:rPr>
        <w:br w:type="page"/>
      </w:r>
    </w:p>
    <w:p w14:paraId="4FA07005"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lastRenderedPageBreak/>
        <w:t>LO3 ANALYZE AND REPORT INVESTMENTS INVOLVING SIGNIFICANT INFLUENCE USING THE EQUITY METHOD.</w:t>
      </w:r>
    </w:p>
    <w:p w14:paraId="58F655A5" w14:textId="77777777" w:rsidR="00176F3D" w:rsidRPr="002A0FC0" w:rsidRDefault="00176F3D" w:rsidP="00176F3D">
      <w:pPr>
        <w:pStyle w:val="LLSLevel2"/>
        <w:numPr>
          <w:ilvl w:val="0"/>
          <w:numId w:val="8"/>
        </w:numPr>
        <w:rPr>
          <w:rFonts w:asciiTheme="minorHAnsi" w:hAnsiTheme="minorHAnsi"/>
          <w:sz w:val="20"/>
          <w:szCs w:val="20"/>
        </w:rPr>
      </w:pPr>
      <w:r w:rsidRPr="002A0FC0">
        <w:rPr>
          <w:rFonts w:asciiTheme="minorHAnsi" w:hAnsiTheme="minorHAnsi"/>
          <w:sz w:val="20"/>
          <w:szCs w:val="20"/>
        </w:rPr>
        <w:t>Equity Method</w:t>
      </w:r>
    </w:p>
    <w:p w14:paraId="7D406F02" w14:textId="77777777" w:rsidR="00176F3D" w:rsidRPr="002A0FC0" w:rsidRDefault="00176F3D" w:rsidP="00176F3D">
      <w:pPr>
        <w:pStyle w:val="a"/>
        <w:widowControl/>
        <w:numPr>
          <w:ilvl w:val="0"/>
          <w:numId w:val="9"/>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An investor may desire the ability to exert significant influence over another company without obtaining control (majority ownership).</w:t>
      </w:r>
    </w:p>
    <w:p w14:paraId="2BEF984A" w14:textId="77777777" w:rsidR="00176F3D" w:rsidRPr="002A0FC0" w:rsidRDefault="00176F3D" w:rsidP="00176F3D">
      <w:pPr>
        <w:pStyle w:val="a"/>
        <w:widowControl/>
        <w:numPr>
          <w:ilvl w:val="0"/>
          <w:numId w:val="9"/>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This is typically the case when the investor owns 20% to 50% of the outstanding voting stock of the investee. The presumption in this case is that the investment was made for a long-term strategic purpose.</w:t>
      </w:r>
    </w:p>
    <w:p w14:paraId="21B20C67"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469283C4" w14:textId="77777777" w:rsidR="00176F3D" w:rsidRPr="002A0FC0" w:rsidRDefault="00176F3D" w:rsidP="00176F3D">
      <w:pPr>
        <w:pStyle w:val="LLSLevel2"/>
        <w:numPr>
          <w:ilvl w:val="0"/>
          <w:numId w:val="8"/>
        </w:numPr>
        <w:rPr>
          <w:rFonts w:asciiTheme="minorHAnsi" w:hAnsiTheme="minorHAnsi"/>
          <w:sz w:val="20"/>
          <w:szCs w:val="20"/>
        </w:rPr>
      </w:pPr>
      <w:r w:rsidRPr="002A0FC0">
        <w:rPr>
          <w:rFonts w:asciiTheme="minorHAnsi" w:hAnsiTheme="minorHAnsi"/>
          <w:sz w:val="20"/>
          <w:szCs w:val="20"/>
        </w:rPr>
        <w:t>Recording Investments under the Equity Method</w:t>
      </w:r>
    </w:p>
    <w:p w14:paraId="7DD5C074" w14:textId="77777777" w:rsidR="00176F3D" w:rsidRPr="002A0FC0" w:rsidRDefault="00176F3D" w:rsidP="00176F3D">
      <w:pPr>
        <w:pStyle w:val="a"/>
        <w:widowControl/>
        <w:numPr>
          <w:ilvl w:val="0"/>
          <w:numId w:val="3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Purchase of stock: </w:t>
      </w:r>
      <w:r w:rsidRPr="002A0FC0">
        <w:rPr>
          <w:rFonts w:asciiTheme="minorHAnsi" w:hAnsiTheme="minorHAnsi"/>
          <w:color w:val="000000"/>
          <w:szCs w:val="20"/>
        </w:rPr>
        <w:t>The initial purchase of the investment is recorded at cost in conformity with the cost principle.</w:t>
      </w:r>
    </w:p>
    <w:p w14:paraId="0C452292" w14:textId="77777777" w:rsidR="00176F3D" w:rsidRPr="002A0FC0" w:rsidRDefault="00176F3D" w:rsidP="00176F3D">
      <w:pPr>
        <w:pStyle w:val="a"/>
        <w:widowControl/>
        <w:numPr>
          <w:ilvl w:val="0"/>
          <w:numId w:val="3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Investee earnings</w:t>
      </w:r>
    </w:p>
    <w:p w14:paraId="534BFB40" w14:textId="77777777" w:rsidR="00176F3D" w:rsidRPr="002A0FC0" w:rsidRDefault="00176F3D" w:rsidP="00176F3D">
      <w:pPr>
        <w:pStyle w:val="LLSLevel4"/>
        <w:numPr>
          <w:ilvl w:val="0"/>
          <w:numId w:val="35"/>
        </w:numPr>
        <w:rPr>
          <w:rFonts w:asciiTheme="minorHAnsi" w:hAnsiTheme="minorHAnsi"/>
          <w:sz w:val="20"/>
          <w:szCs w:val="20"/>
        </w:rPr>
      </w:pPr>
      <w:r w:rsidRPr="002A0FC0">
        <w:rPr>
          <w:rFonts w:asciiTheme="minorHAnsi" w:hAnsiTheme="minorHAnsi"/>
          <w:sz w:val="20"/>
          <w:szCs w:val="20"/>
        </w:rPr>
        <w:t>It is appropriate to determine investment income recognition on the percentage of the investee's reported earnings because the investor often is involved in operating and financing decisions of the investee.</w:t>
      </w:r>
    </w:p>
    <w:p w14:paraId="24F2B9A4" w14:textId="77777777" w:rsidR="00176F3D" w:rsidRPr="002A0FC0" w:rsidRDefault="00176F3D" w:rsidP="00176F3D">
      <w:pPr>
        <w:pStyle w:val="LLSLevel4"/>
        <w:numPr>
          <w:ilvl w:val="0"/>
          <w:numId w:val="35"/>
        </w:numPr>
        <w:rPr>
          <w:rFonts w:asciiTheme="minorHAnsi" w:hAnsiTheme="minorHAnsi"/>
          <w:sz w:val="20"/>
          <w:szCs w:val="20"/>
        </w:rPr>
      </w:pPr>
      <w:r w:rsidRPr="002A0FC0">
        <w:rPr>
          <w:rFonts w:asciiTheme="minorHAnsi" w:hAnsiTheme="minorHAnsi"/>
          <w:sz w:val="20"/>
          <w:szCs w:val="20"/>
        </w:rPr>
        <w:t xml:space="preserve">When the investee earns income, the investment account (Investment in Affiliated Companies) is debited and Equity in Investee Earnings account </w:t>
      </w:r>
      <w:proofErr w:type="gramStart"/>
      <w:r w:rsidRPr="002A0FC0">
        <w:rPr>
          <w:rFonts w:asciiTheme="minorHAnsi" w:hAnsiTheme="minorHAnsi"/>
          <w:sz w:val="20"/>
          <w:szCs w:val="20"/>
        </w:rPr>
        <w:t>(a revenue</w:t>
      </w:r>
      <w:proofErr w:type="gramEnd"/>
      <w:r w:rsidRPr="002A0FC0">
        <w:rPr>
          <w:rFonts w:asciiTheme="minorHAnsi" w:hAnsiTheme="minorHAnsi"/>
          <w:sz w:val="20"/>
          <w:szCs w:val="20"/>
        </w:rPr>
        <w:t>) is credited for the proportional ownership amount.</w:t>
      </w:r>
    </w:p>
    <w:p w14:paraId="0EC897EE" w14:textId="77777777" w:rsidR="00176F3D" w:rsidRPr="002A0FC0" w:rsidRDefault="00176F3D" w:rsidP="00176F3D">
      <w:pPr>
        <w:pStyle w:val="LLSLevel4"/>
        <w:numPr>
          <w:ilvl w:val="0"/>
          <w:numId w:val="35"/>
        </w:numPr>
        <w:rPr>
          <w:rFonts w:asciiTheme="minorHAnsi" w:hAnsiTheme="minorHAnsi"/>
          <w:sz w:val="20"/>
          <w:szCs w:val="20"/>
        </w:rPr>
      </w:pPr>
      <w:r w:rsidRPr="002A0FC0">
        <w:rPr>
          <w:rFonts w:asciiTheme="minorHAnsi" w:hAnsiTheme="minorHAnsi"/>
          <w:sz w:val="20"/>
          <w:szCs w:val="20"/>
        </w:rPr>
        <w:t>If the investee reports a loss, the Equity in Investee Earnings account is debited and the Investment in Affiliated Companies account is credited.</w:t>
      </w:r>
    </w:p>
    <w:p w14:paraId="407946A6" w14:textId="77777777" w:rsidR="00176F3D" w:rsidRPr="002A0FC0" w:rsidRDefault="00176F3D" w:rsidP="00176F3D">
      <w:pPr>
        <w:pStyle w:val="a"/>
        <w:widowControl/>
        <w:numPr>
          <w:ilvl w:val="0"/>
          <w:numId w:val="3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Dividends received</w:t>
      </w:r>
    </w:p>
    <w:p w14:paraId="07982932" w14:textId="77777777" w:rsidR="00176F3D" w:rsidRPr="002A0FC0" w:rsidRDefault="00176F3D" w:rsidP="00176F3D">
      <w:pPr>
        <w:pStyle w:val="LLSLevel4"/>
        <w:numPr>
          <w:ilvl w:val="0"/>
          <w:numId w:val="36"/>
        </w:numPr>
        <w:rPr>
          <w:rFonts w:asciiTheme="minorHAnsi" w:hAnsiTheme="minorHAnsi"/>
          <w:sz w:val="20"/>
          <w:szCs w:val="20"/>
        </w:rPr>
      </w:pPr>
      <w:r w:rsidRPr="002A0FC0">
        <w:rPr>
          <w:rFonts w:asciiTheme="minorHAnsi" w:hAnsiTheme="minorHAnsi"/>
          <w:sz w:val="20"/>
          <w:szCs w:val="20"/>
        </w:rPr>
        <w:t xml:space="preserve">Dividends are essentially a return of part of the investment. Therefore, they reduce the Investment in Affiliated Companies account. </w:t>
      </w:r>
    </w:p>
    <w:p w14:paraId="7371234D" w14:textId="77777777" w:rsidR="00176F3D" w:rsidRPr="002A0FC0" w:rsidRDefault="00176F3D" w:rsidP="00176F3D">
      <w:pPr>
        <w:pStyle w:val="LLSLevel4"/>
        <w:numPr>
          <w:ilvl w:val="0"/>
          <w:numId w:val="36"/>
        </w:numPr>
        <w:rPr>
          <w:rFonts w:asciiTheme="minorHAnsi" w:hAnsiTheme="minorHAnsi"/>
          <w:sz w:val="20"/>
          <w:szCs w:val="20"/>
        </w:rPr>
      </w:pPr>
      <w:r w:rsidRPr="002A0FC0">
        <w:rPr>
          <w:rFonts w:asciiTheme="minorHAnsi" w:hAnsiTheme="minorHAnsi"/>
          <w:sz w:val="20"/>
          <w:szCs w:val="20"/>
        </w:rPr>
        <w:t>When dividends are received from the investee, cash is debited and the Investment in Affiliated Companies account is credited.</w:t>
      </w:r>
    </w:p>
    <w:p w14:paraId="56642D65" w14:textId="77777777" w:rsidR="00176F3D" w:rsidRPr="002A0FC0" w:rsidRDefault="00176F3D" w:rsidP="00176F3D">
      <w:pPr>
        <w:pStyle w:val="a"/>
        <w:widowControl/>
        <w:numPr>
          <w:ilvl w:val="0"/>
          <w:numId w:val="3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Reporting Investments Under the Equity Method</w:t>
      </w:r>
    </w:p>
    <w:p w14:paraId="5C2E4F3C" w14:textId="77777777" w:rsidR="00176F3D" w:rsidRPr="002A0FC0" w:rsidRDefault="00176F3D" w:rsidP="00176F3D">
      <w:pPr>
        <w:pStyle w:val="LLSLevel4"/>
        <w:numPr>
          <w:ilvl w:val="0"/>
          <w:numId w:val="37"/>
        </w:numPr>
        <w:rPr>
          <w:rFonts w:asciiTheme="minorHAnsi" w:hAnsiTheme="minorHAnsi"/>
          <w:sz w:val="20"/>
          <w:szCs w:val="20"/>
        </w:rPr>
      </w:pPr>
      <w:r w:rsidRPr="002A0FC0">
        <w:rPr>
          <w:rFonts w:asciiTheme="minorHAnsi" w:hAnsiTheme="minorHAnsi"/>
          <w:sz w:val="20"/>
          <w:szCs w:val="20"/>
        </w:rPr>
        <w:t>Investments under the equity method (unlike the market value method) of reporting are not reported at the fair market value. Instead, they are reported at the investor's cost plus a percentage of the investee's earnings (losses) since the investment was made reduced by any dividend distributions to the investor to date.</w:t>
      </w:r>
    </w:p>
    <w:p w14:paraId="77A29EF0" w14:textId="77777777" w:rsidR="00176F3D" w:rsidRPr="002A0FC0" w:rsidRDefault="00176F3D" w:rsidP="00176F3D">
      <w:pPr>
        <w:pStyle w:val="LLSLevel4"/>
        <w:numPr>
          <w:ilvl w:val="0"/>
          <w:numId w:val="37"/>
        </w:numPr>
        <w:rPr>
          <w:rFonts w:asciiTheme="minorHAnsi" w:hAnsiTheme="minorHAnsi"/>
          <w:sz w:val="20"/>
          <w:szCs w:val="20"/>
        </w:rPr>
      </w:pPr>
      <w:r w:rsidRPr="002A0FC0">
        <w:rPr>
          <w:rFonts w:asciiTheme="minorHAnsi" w:hAnsiTheme="minorHAnsi"/>
          <w:sz w:val="20"/>
          <w:szCs w:val="20"/>
        </w:rPr>
        <w:t>When the investment is sold, the gain or loss is determined as the difference of the sale proceeds and the investment account balance.</w:t>
      </w:r>
    </w:p>
    <w:p w14:paraId="34B85DD7" w14:textId="77777777" w:rsidR="00176F3D" w:rsidRPr="002A0FC0" w:rsidRDefault="00176F3D" w:rsidP="00176F3D">
      <w:pPr>
        <w:pStyle w:val="LLSLevel4"/>
        <w:rPr>
          <w:rFonts w:asciiTheme="minorHAnsi" w:hAnsiTheme="minorHAnsi"/>
          <w:sz w:val="20"/>
          <w:szCs w:val="20"/>
        </w:rPr>
      </w:pPr>
    </w:p>
    <w:p w14:paraId="1FF4D64D"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t>LO4 ANALYZE AND REPORT INVESTMENTS IN CONTROLLING INTERESTS.</w:t>
      </w:r>
    </w:p>
    <w:p w14:paraId="0ECE0F9C" w14:textId="77777777" w:rsidR="00176F3D" w:rsidRPr="002A0FC0" w:rsidRDefault="00176F3D" w:rsidP="00176F3D">
      <w:pPr>
        <w:pStyle w:val="LLSLevel2"/>
        <w:numPr>
          <w:ilvl w:val="0"/>
          <w:numId w:val="10"/>
        </w:numPr>
        <w:rPr>
          <w:rFonts w:asciiTheme="minorHAnsi" w:hAnsiTheme="minorHAnsi"/>
          <w:sz w:val="20"/>
          <w:szCs w:val="20"/>
        </w:rPr>
      </w:pPr>
      <w:r w:rsidRPr="002A0FC0">
        <w:rPr>
          <w:rFonts w:asciiTheme="minorHAnsi" w:hAnsiTheme="minorHAnsi"/>
          <w:sz w:val="20"/>
          <w:szCs w:val="20"/>
        </w:rPr>
        <w:t>Investors have various motives for owning the controlling interest in another company.</w:t>
      </w:r>
    </w:p>
    <w:p w14:paraId="123979AA" w14:textId="77777777" w:rsidR="00176F3D" w:rsidRPr="002A0FC0" w:rsidRDefault="00176F3D" w:rsidP="00176F3D">
      <w:pPr>
        <w:pStyle w:val="a"/>
        <w:widowControl/>
        <w:numPr>
          <w:ilvl w:val="0"/>
          <w:numId w:val="38"/>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Vertical integration is when the acquiring company purchases the controlling interest in a company at a different level in the distribution channel. This can secure valuable suppliers or customers.</w:t>
      </w:r>
    </w:p>
    <w:p w14:paraId="41FD25C1" w14:textId="77777777" w:rsidR="00176F3D" w:rsidRPr="002A0FC0" w:rsidRDefault="00176F3D" w:rsidP="00176F3D">
      <w:pPr>
        <w:pStyle w:val="a"/>
        <w:widowControl/>
        <w:numPr>
          <w:ilvl w:val="0"/>
          <w:numId w:val="38"/>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Horizontal growth is when the acquiring company purchases the controlling interest in a company at the same level in the distribution channel. This can lead to greater market share.</w:t>
      </w:r>
    </w:p>
    <w:p w14:paraId="279E4364" w14:textId="77777777" w:rsidR="00176F3D" w:rsidRPr="002A0FC0" w:rsidRDefault="00176F3D" w:rsidP="00176F3D">
      <w:pPr>
        <w:pStyle w:val="a"/>
        <w:widowControl/>
        <w:numPr>
          <w:ilvl w:val="0"/>
          <w:numId w:val="38"/>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Synergy is when the acquiring company purchases the controlling interest in a company to make the operations of the two companies together more profitable in a combined manner than the two companies separately considered.</w:t>
      </w:r>
    </w:p>
    <w:p w14:paraId="7D8C2AD7" w14:textId="77777777" w:rsidR="002A0FC0" w:rsidRDefault="002A0FC0" w:rsidP="002A0FC0">
      <w:pPr>
        <w:pStyle w:val="LLSLevel2"/>
        <w:ind w:left="720"/>
        <w:rPr>
          <w:rFonts w:asciiTheme="minorHAnsi" w:hAnsiTheme="minorHAnsi"/>
          <w:sz w:val="20"/>
          <w:szCs w:val="20"/>
        </w:rPr>
      </w:pPr>
    </w:p>
    <w:p w14:paraId="0554804E" w14:textId="77777777" w:rsidR="00176F3D" w:rsidRPr="002A0FC0" w:rsidRDefault="00176F3D" w:rsidP="00176F3D">
      <w:pPr>
        <w:pStyle w:val="LLSLevel2"/>
        <w:numPr>
          <w:ilvl w:val="0"/>
          <w:numId w:val="10"/>
        </w:numPr>
        <w:rPr>
          <w:rFonts w:asciiTheme="minorHAnsi" w:hAnsiTheme="minorHAnsi"/>
          <w:sz w:val="20"/>
          <w:szCs w:val="20"/>
        </w:rPr>
      </w:pPr>
      <w:r w:rsidRPr="002A0FC0">
        <w:rPr>
          <w:rFonts w:asciiTheme="minorHAnsi" w:hAnsiTheme="minorHAnsi"/>
          <w:sz w:val="20"/>
          <w:szCs w:val="20"/>
        </w:rPr>
        <w:t>Consolidated Statements</w:t>
      </w:r>
    </w:p>
    <w:p w14:paraId="15CAF01A" w14:textId="77777777" w:rsidR="00176F3D" w:rsidRPr="002A0FC0" w:rsidRDefault="00176F3D" w:rsidP="00176F3D">
      <w:pPr>
        <w:pStyle w:val="a"/>
        <w:widowControl/>
        <w:numPr>
          <w:ilvl w:val="0"/>
          <w:numId w:val="39"/>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Consolidated financial statements are required when the acquiring company (parent) obtains control of another corporation (subsidiary). Consolidated financial statements combine the operations of two or more companies into a single set of statements. This reporting is based on substance (one economic entity) over form (more than one legal entity).</w:t>
      </w:r>
    </w:p>
    <w:p w14:paraId="2569DF07" w14:textId="77777777" w:rsidR="00176F3D" w:rsidRPr="002A0FC0" w:rsidRDefault="00176F3D" w:rsidP="00176F3D">
      <w:pPr>
        <w:pStyle w:val="a"/>
        <w:widowControl/>
        <w:numPr>
          <w:ilvl w:val="0"/>
          <w:numId w:val="39"/>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Intercompany accounts and intercompany transactions are eliminated when consolidated statements are prepared. The underlying concept is that a company can neither owe itself nor report revenues/expenses when dealing with </w:t>
      </w:r>
      <w:proofErr w:type="gramStart"/>
      <w:r w:rsidRPr="002A0FC0">
        <w:rPr>
          <w:rFonts w:asciiTheme="minorHAnsi" w:hAnsiTheme="minorHAnsi"/>
          <w:szCs w:val="20"/>
        </w:rPr>
        <w:t>itself</w:t>
      </w:r>
      <w:proofErr w:type="gramEnd"/>
      <w:r w:rsidRPr="002A0FC0">
        <w:rPr>
          <w:rFonts w:asciiTheme="minorHAnsi" w:hAnsiTheme="minorHAnsi"/>
          <w:szCs w:val="20"/>
        </w:rPr>
        <w:t>.</w:t>
      </w:r>
    </w:p>
    <w:p w14:paraId="699DD141" w14:textId="77777777" w:rsidR="00176F3D" w:rsidRPr="002A0FC0" w:rsidRDefault="00176F3D" w:rsidP="00176F3D">
      <w:pPr>
        <w:pStyle w:val="a"/>
        <w:widowControl/>
        <w:numPr>
          <w:ilvl w:val="0"/>
          <w:numId w:val="39"/>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Purchasing 100% of the outstanding stock results in a wholly owned subsidiary. If less than 100% of the stock is purchased, a minority interest will result with the parent as the majority interest.</w:t>
      </w:r>
    </w:p>
    <w:p w14:paraId="66718FEA"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2DAAF407" w14:textId="77777777" w:rsidR="004A03A5" w:rsidRDefault="004A03A5" w:rsidP="00176F3D">
      <w:pPr>
        <w:pStyle w:val="LLSLevel2"/>
        <w:numPr>
          <w:ilvl w:val="0"/>
          <w:numId w:val="10"/>
        </w:numPr>
        <w:rPr>
          <w:rFonts w:asciiTheme="minorHAnsi" w:hAnsiTheme="minorHAnsi"/>
          <w:sz w:val="20"/>
          <w:szCs w:val="20"/>
        </w:rPr>
      </w:pPr>
      <w:r>
        <w:rPr>
          <w:rFonts w:asciiTheme="minorHAnsi" w:hAnsiTheme="minorHAnsi"/>
          <w:sz w:val="20"/>
          <w:szCs w:val="20"/>
        </w:rPr>
        <w:br w:type="page"/>
      </w:r>
    </w:p>
    <w:p w14:paraId="1260793A" w14:textId="77777777" w:rsidR="00176F3D" w:rsidRPr="002A0FC0" w:rsidRDefault="00176F3D" w:rsidP="00176F3D">
      <w:pPr>
        <w:pStyle w:val="LLSLevel2"/>
        <w:numPr>
          <w:ilvl w:val="0"/>
          <w:numId w:val="10"/>
        </w:numPr>
        <w:rPr>
          <w:rFonts w:asciiTheme="minorHAnsi" w:hAnsiTheme="minorHAnsi"/>
          <w:sz w:val="20"/>
          <w:szCs w:val="20"/>
        </w:rPr>
      </w:pPr>
      <w:bookmarkStart w:id="3" w:name="_GoBack"/>
      <w:bookmarkEnd w:id="3"/>
      <w:r w:rsidRPr="002A0FC0">
        <w:rPr>
          <w:rFonts w:asciiTheme="minorHAnsi" w:hAnsiTheme="minorHAnsi"/>
          <w:sz w:val="20"/>
          <w:szCs w:val="20"/>
        </w:rPr>
        <w:lastRenderedPageBreak/>
        <w:t>Recording a Merger</w:t>
      </w:r>
    </w:p>
    <w:p w14:paraId="1A1760E4" w14:textId="77777777" w:rsidR="00176F3D" w:rsidRPr="002A0FC0" w:rsidRDefault="00176F3D" w:rsidP="00176F3D">
      <w:pPr>
        <w:pStyle w:val="a"/>
        <w:widowControl/>
        <w:numPr>
          <w:ilvl w:val="0"/>
          <w:numId w:val="4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 merger occurs when one company purchases the net assets of another company (</w:t>
      </w:r>
      <w:proofErr w:type="gramStart"/>
      <w:r w:rsidRPr="002A0FC0">
        <w:rPr>
          <w:rFonts w:asciiTheme="minorHAnsi" w:hAnsiTheme="minorHAnsi"/>
          <w:szCs w:val="20"/>
        </w:rPr>
        <w:t>target company</w:t>
      </w:r>
      <w:proofErr w:type="gramEnd"/>
      <w:r w:rsidRPr="002A0FC0">
        <w:rPr>
          <w:rFonts w:asciiTheme="minorHAnsi" w:hAnsiTheme="minorHAnsi"/>
          <w:szCs w:val="20"/>
        </w:rPr>
        <w:t>). The target company is dissolved. That is, two companies become one with the purchasing company as the survivor.</w:t>
      </w:r>
    </w:p>
    <w:p w14:paraId="0DECD4DC" w14:textId="77777777" w:rsidR="00176F3D" w:rsidRPr="002A0FC0" w:rsidRDefault="00176F3D" w:rsidP="00176F3D">
      <w:pPr>
        <w:pStyle w:val="a"/>
        <w:widowControl/>
        <w:numPr>
          <w:ilvl w:val="0"/>
          <w:numId w:val="4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purchasing company records the net assets (assets purchased and the liabilities assumed) at the purchase price following the cost principle. This is called the purchase method.</w:t>
      </w:r>
    </w:p>
    <w:p w14:paraId="51AEC114" w14:textId="77777777" w:rsidR="00176F3D" w:rsidRPr="002A0FC0" w:rsidRDefault="00176F3D" w:rsidP="00176F3D">
      <w:pPr>
        <w:pStyle w:val="a"/>
        <w:widowControl/>
        <w:numPr>
          <w:ilvl w:val="0"/>
          <w:numId w:val="40"/>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Often the purchase price exceeds the fair market value of the target company's identifiable net assets. This excess is called goodwill representing cost in excess of net assets acquired.</w:t>
      </w:r>
    </w:p>
    <w:p w14:paraId="38320F35"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737E3027" w14:textId="77777777" w:rsidR="00176F3D" w:rsidRPr="002A0FC0" w:rsidRDefault="00176F3D" w:rsidP="00176F3D">
      <w:pPr>
        <w:pStyle w:val="LLSLevel2"/>
        <w:numPr>
          <w:ilvl w:val="0"/>
          <w:numId w:val="10"/>
        </w:numPr>
        <w:rPr>
          <w:rFonts w:asciiTheme="minorHAnsi" w:hAnsiTheme="minorHAnsi"/>
          <w:sz w:val="20"/>
          <w:szCs w:val="20"/>
        </w:rPr>
      </w:pPr>
      <w:r w:rsidRPr="002A0FC0">
        <w:rPr>
          <w:rFonts w:asciiTheme="minorHAnsi" w:hAnsiTheme="minorHAnsi"/>
          <w:sz w:val="20"/>
          <w:szCs w:val="20"/>
        </w:rPr>
        <w:t>Reporting a Merger</w:t>
      </w:r>
    </w:p>
    <w:p w14:paraId="4B0A4872" w14:textId="77777777" w:rsidR="00176F3D" w:rsidRPr="002A0FC0" w:rsidRDefault="00176F3D" w:rsidP="00176F3D">
      <w:pPr>
        <w:pStyle w:val="a"/>
        <w:widowControl/>
        <w:numPr>
          <w:ilvl w:val="0"/>
          <w:numId w:val="4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post-merger balance sheet reports the acquired assets and liabilities at their fair market values, goodwill for the cost in excess of net assets acquired, and cash is reduced by the amount equal to the purchase price. If stock is given instead of cash, contributed capital is increased for the amount of the purchase price.</w:t>
      </w:r>
    </w:p>
    <w:p w14:paraId="648A160D" w14:textId="77777777" w:rsidR="00176F3D" w:rsidRPr="002A0FC0" w:rsidRDefault="00176F3D" w:rsidP="00176F3D">
      <w:pPr>
        <w:pStyle w:val="a"/>
        <w:widowControl/>
        <w:numPr>
          <w:ilvl w:val="0"/>
          <w:numId w:val="41"/>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post-merger income statement reports all revenues and expenses from the combined company. Expenses will include depreciation based on the fair market value of assets acquired. Goodwill is not amortized, but it should be reviewed periodically to determine if an impairment loss should be considered in the future.</w:t>
      </w:r>
    </w:p>
    <w:p w14:paraId="207CEC5B" w14:textId="77777777" w:rsidR="00176F3D" w:rsidRPr="002A0FC0" w:rsidRDefault="00176F3D" w:rsidP="00176F3D">
      <w:pPr>
        <w:pStyle w:val="LLSLevel2"/>
        <w:rPr>
          <w:rFonts w:asciiTheme="minorHAnsi" w:hAnsiTheme="minorHAnsi"/>
          <w:sz w:val="20"/>
          <w:szCs w:val="20"/>
        </w:rPr>
      </w:pPr>
    </w:p>
    <w:p w14:paraId="73842DA8"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t>LO5 ANALYZE AND INTERPRET THE RETURN ON ASSETS RATIO.</w:t>
      </w:r>
    </w:p>
    <w:p w14:paraId="30D874A0" w14:textId="77777777" w:rsidR="00176F3D" w:rsidRPr="002A0FC0" w:rsidRDefault="002A0FC0" w:rsidP="00176F3D">
      <w:pPr>
        <w:pStyle w:val="IRMLevel1"/>
        <w:numPr>
          <w:ilvl w:val="0"/>
          <w:numId w:val="0"/>
        </w:numPr>
        <w:spacing w:after="0"/>
        <w:jc w:val="center"/>
        <w:rPr>
          <w:rFonts w:asciiTheme="minorHAnsi" w:hAnsiTheme="minorHAnsi"/>
          <w:b w:val="0"/>
          <w:bCs w:val="0"/>
          <w:sz w:val="20"/>
          <w:szCs w:val="20"/>
        </w:rPr>
      </w:pPr>
      <w:r w:rsidRPr="002A0FC0">
        <w:rPr>
          <w:rFonts w:asciiTheme="minorHAnsi" w:hAnsiTheme="minorHAnsi"/>
          <w:b w:val="0"/>
          <w:bCs w:val="0"/>
          <w:position w:val="-28"/>
          <w:sz w:val="20"/>
          <w:szCs w:val="20"/>
        </w:rPr>
        <w:object w:dxaOrig="38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25pt;height:34.1pt" o:ole="">
            <v:imagedata r:id="rId6" o:title=""/>
          </v:shape>
          <o:OLEObject Type="Embed" ProgID="Equation.3" ShapeID="_x0000_i1025" DrawAspect="Content" ObjectID="_1324380564" r:id="rId7"/>
        </w:object>
      </w:r>
    </w:p>
    <w:p w14:paraId="7AFEFBDB" w14:textId="77777777" w:rsidR="00176F3D" w:rsidRPr="002A0FC0" w:rsidRDefault="00176F3D" w:rsidP="00176F3D">
      <w:pPr>
        <w:pStyle w:val="a"/>
        <w:widowControl/>
        <w:numPr>
          <w:ilvl w:val="0"/>
          <w:numId w:val="42"/>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 measure of profitability.</w:t>
      </w:r>
    </w:p>
    <w:p w14:paraId="231109AE" w14:textId="77777777" w:rsidR="00176F3D" w:rsidRPr="002A0FC0" w:rsidRDefault="00176F3D" w:rsidP="00176F3D">
      <w:pPr>
        <w:pStyle w:val="a"/>
        <w:widowControl/>
        <w:numPr>
          <w:ilvl w:val="0"/>
          <w:numId w:val="42"/>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Answers the question: For every dollar of fixed assets, how much is earned?</w:t>
      </w:r>
    </w:p>
    <w:p w14:paraId="5FAD1B1F" w14:textId="77777777" w:rsidR="00176F3D" w:rsidRPr="002A0FC0" w:rsidRDefault="00176F3D" w:rsidP="00176F3D">
      <w:pPr>
        <w:pStyle w:val="a"/>
        <w:widowControl/>
        <w:numPr>
          <w:ilvl w:val="0"/>
          <w:numId w:val="42"/>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Doesn’t distinguish between assets financed through debt and assets financed through equity.</w:t>
      </w:r>
    </w:p>
    <w:p w14:paraId="0EF655F9" w14:textId="77777777" w:rsidR="00176F3D" w:rsidRPr="002A0FC0" w:rsidRDefault="00176F3D" w:rsidP="00176F3D">
      <w:pPr>
        <w:pStyle w:val="a"/>
        <w:widowControl/>
        <w:tabs>
          <w:tab w:val="right" w:pos="720"/>
          <w:tab w:val="left" w:pos="1440"/>
          <w:tab w:val="left" w:pos="1800"/>
          <w:tab w:val="left" w:pos="6840"/>
        </w:tabs>
        <w:ind w:left="1080" w:firstLine="0"/>
        <w:rPr>
          <w:rFonts w:asciiTheme="minorHAnsi" w:hAnsiTheme="minorHAnsi"/>
          <w:szCs w:val="20"/>
        </w:rPr>
      </w:pPr>
    </w:p>
    <w:p w14:paraId="1B4CDF8A" w14:textId="77777777" w:rsidR="00176F3D" w:rsidRPr="002A0FC0" w:rsidRDefault="00176F3D" w:rsidP="00176F3D">
      <w:pPr>
        <w:pStyle w:val="IRMLevel1"/>
        <w:numPr>
          <w:ilvl w:val="0"/>
          <w:numId w:val="2"/>
        </w:numPr>
        <w:tabs>
          <w:tab w:val="clear" w:pos="360"/>
          <w:tab w:val="num" w:pos="630"/>
        </w:tabs>
        <w:spacing w:after="0"/>
        <w:ind w:left="1170" w:hanging="1170"/>
        <w:rPr>
          <w:rFonts w:asciiTheme="minorHAnsi" w:hAnsiTheme="minorHAnsi"/>
          <w:b w:val="0"/>
          <w:bCs w:val="0"/>
          <w:sz w:val="20"/>
          <w:szCs w:val="20"/>
        </w:rPr>
      </w:pPr>
      <w:r w:rsidRPr="002A0FC0">
        <w:rPr>
          <w:rFonts w:asciiTheme="minorHAnsi" w:hAnsiTheme="minorHAnsi"/>
          <w:b w:val="0"/>
          <w:bCs w:val="0"/>
          <w:sz w:val="20"/>
          <w:szCs w:val="20"/>
        </w:rPr>
        <w:t>CHAPTER SUPPLEMENT A</w:t>
      </w:r>
    </w:p>
    <w:p w14:paraId="6F287FCE" w14:textId="77777777" w:rsidR="00176F3D" w:rsidRPr="002A0FC0" w:rsidRDefault="00176F3D" w:rsidP="00176F3D">
      <w:pPr>
        <w:pStyle w:val="LLSLevel2"/>
        <w:numPr>
          <w:ilvl w:val="0"/>
          <w:numId w:val="43"/>
        </w:numPr>
        <w:rPr>
          <w:rFonts w:asciiTheme="minorHAnsi" w:hAnsiTheme="minorHAnsi"/>
          <w:sz w:val="20"/>
          <w:szCs w:val="20"/>
        </w:rPr>
      </w:pPr>
      <w:r w:rsidRPr="002A0FC0">
        <w:rPr>
          <w:rFonts w:asciiTheme="minorHAnsi" w:hAnsiTheme="minorHAnsi"/>
          <w:sz w:val="20"/>
          <w:szCs w:val="20"/>
        </w:rPr>
        <w:t>Preparing Consolidated Statements</w:t>
      </w:r>
    </w:p>
    <w:p w14:paraId="7FBBF765" w14:textId="77777777" w:rsidR="00176F3D" w:rsidRPr="002A0FC0" w:rsidRDefault="00176F3D" w:rsidP="00176F3D">
      <w:pPr>
        <w:pStyle w:val="a"/>
        <w:widowControl/>
        <w:numPr>
          <w:ilvl w:val="0"/>
          <w:numId w:val="4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When one company acquires another company and both continue to exist, consolidated financial statements must be presented. </w:t>
      </w:r>
    </w:p>
    <w:p w14:paraId="690EDDBE" w14:textId="77777777" w:rsidR="00176F3D" w:rsidRPr="002A0FC0" w:rsidRDefault="00176F3D" w:rsidP="00176F3D">
      <w:pPr>
        <w:pStyle w:val="a"/>
        <w:widowControl/>
        <w:numPr>
          <w:ilvl w:val="0"/>
          <w:numId w:val="44"/>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statements of two or more companies are reported as a single set of statements as if they were a single company.</w:t>
      </w:r>
    </w:p>
    <w:p w14:paraId="7A5DAC32"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76A3E2C3" w14:textId="77777777" w:rsidR="00176F3D" w:rsidRPr="002A0FC0" w:rsidRDefault="00176F3D" w:rsidP="00176F3D">
      <w:pPr>
        <w:pStyle w:val="LLSLevel2"/>
        <w:numPr>
          <w:ilvl w:val="0"/>
          <w:numId w:val="43"/>
        </w:numPr>
        <w:rPr>
          <w:rFonts w:asciiTheme="minorHAnsi" w:hAnsiTheme="minorHAnsi"/>
          <w:sz w:val="20"/>
          <w:szCs w:val="20"/>
        </w:rPr>
      </w:pPr>
      <w:r w:rsidRPr="002A0FC0">
        <w:rPr>
          <w:rFonts w:asciiTheme="minorHAnsi" w:hAnsiTheme="minorHAnsi"/>
          <w:sz w:val="20"/>
          <w:szCs w:val="20"/>
        </w:rPr>
        <w:t>Recording Acquisition of a Controlling Interest</w:t>
      </w:r>
    </w:p>
    <w:p w14:paraId="083F4290"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When a parent acquires control of a subsidiary, both entities continue to exist (unlike a merger).</w:t>
      </w:r>
    </w:p>
    <w:p w14:paraId="7DE93B31"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acquisition is recorded at the purchase price (not the book value). This exemplifies the cost principle.</w:t>
      </w:r>
    </w:p>
    <w:p w14:paraId="7790BF6F"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investment account reflects the market value of the acquired shares of stock of the investee.</w:t>
      </w:r>
    </w:p>
    <w:p w14:paraId="070CF01A"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transaction is often a cash-for-stock transfer with the investee's shareholders and usually has no effect on the investee's accounts.</w:t>
      </w:r>
    </w:p>
    <w:p w14:paraId="1663C2C8"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 some combinations, the parent may exchange shares of its stock for the investee's stock from the investee's shareholders.</w:t>
      </w:r>
    </w:p>
    <w:p w14:paraId="0C342204" w14:textId="77777777" w:rsidR="00176F3D" w:rsidRPr="002A0FC0" w:rsidRDefault="00176F3D" w:rsidP="00176F3D">
      <w:pPr>
        <w:pStyle w:val="a"/>
        <w:widowControl/>
        <w:numPr>
          <w:ilvl w:val="0"/>
          <w:numId w:val="45"/>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The journal entry requires a debit to the investment account (for the purchase price) and a credit to cash (or contributed capital) for the same amount.</w:t>
      </w:r>
    </w:p>
    <w:p w14:paraId="47099F23" w14:textId="77777777" w:rsidR="00176F3D" w:rsidRPr="002A0FC0" w:rsidRDefault="00176F3D" w:rsidP="00176F3D">
      <w:pPr>
        <w:pStyle w:val="a"/>
        <w:widowControl/>
        <w:tabs>
          <w:tab w:val="right" w:pos="720"/>
          <w:tab w:val="left" w:pos="1440"/>
          <w:tab w:val="left" w:pos="1800"/>
          <w:tab w:val="left" w:pos="6840"/>
        </w:tabs>
        <w:ind w:left="0" w:firstLine="0"/>
        <w:rPr>
          <w:rFonts w:asciiTheme="minorHAnsi" w:hAnsiTheme="minorHAnsi"/>
          <w:szCs w:val="20"/>
        </w:rPr>
      </w:pPr>
    </w:p>
    <w:p w14:paraId="572AD795" w14:textId="77777777" w:rsidR="002A0FC0" w:rsidRDefault="002A0FC0">
      <w:pPr>
        <w:spacing w:after="200" w:line="276" w:lineRule="auto"/>
        <w:rPr>
          <w:rFonts w:asciiTheme="minorHAnsi" w:hAnsiTheme="minorHAnsi"/>
          <w:sz w:val="20"/>
          <w:szCs w:val="20"/>
        </w:rPr>
      </w:pPr>
      <w:r>
        <w:rPr>
          <w:rFonts w:asciiTheme="minorHAnsi" w:hAnsiTheme="minorHAnsi"/>
          <w:sz w:val="20"/>
          <w:szCs w:val="20"/>
        </w:rPr>
        <w:br w:type="page"/>
      </w:r>
    </w:p>
    <w:p w14:paraId="219D4F1D" w14:textId="77777777" w:rsidR="00176F3D" w:rsidRPr="002A0FC0" w:rsidRDefault="00176F3D" w:rsidP="00176F3D">
      <w:pPr>
        <w:pStyle w:val="LLSLevel2"/>
        <w:numPr>
          <w:ilvl w:val="0"/>
          <w:numId w:val="43"/>
        </w:numPr>
        <w:rPr>
          <w:rFonts w:asciiTheme="minorHAnsi" w:hAnsiTheme="minorHAnsi"/>
          <w:sz w:val="20"/>
          <w:szCs w:val="20"/>
        </w:rPr>
      </w:pPr>
      <w:r w:rsidRPr="002A0FC0">
        <w:rPr>
          <w:rFonts w:asciiTheme="minorHAnsi" w:hAnsiTheme="minorHAnsi"/>
          <w:sz w:val="20"/>
          <w:szCs w:val="20"/>
        </w:rPr>
        <w:lastRenderedPageBreak/>
        <w:t>Preparing Consolidated Financial Statements After Acquisition</w:t>
      </w:r>
    </w:p>
    <w:p w14:paraId="2AF0D92A" w14:textId="77777777" w:rsidR="00176F3D" w:rsidRPr="002A0FC0" w:rsidRDefault="00176F3D" w:rsidP="00176F3D">
      <w:pPr>
        <w:pStyle w:val="a"/>
        <w:widowControl/>
        <w:numPr>
          <w:ilvl w:val="0"/>
          <w:numId w:val="46"/>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If financial statements are prepared on the date of acquisition, fair market values for assets and liabilities of the investee are combined with the investor's general ledger account balances as if a single entity were reporting.</w:t>
      </w:r>
    </w:p>
    <w:p w14:paraId="74C7DAA0" w14:textId="77777777" w:rsidR="00176F3D" w:rsidRPr="002A0FC0" w:rsidRDefault="00176F3D" w:rsidP="00176F3D">
      <w:pPr>
        <w:pStyle w:val="a"/>
        <w:widowControl/>
        <w:numPr>
          <w:ilvl w:val="0"/>
          <w:numId w:val="46"/>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 xml:space="preserve">Some accounts are eliminated on the date of purchase. </w:t>
      </w:r>
    </w:p>
    <w:p w14:paraId="321B1912" w14:textId="77777777" w:rsidR="00176F3D" w:rsidRPr="002A0FC0" w:rsidRDefault="00176F3D" w:rsidP="00176F3D">
      <w:pPr>
        <w:pStyle w:val="LLSLevel4"/>
        <w:numPr>
          <w:ilvl w:val="0"/>
          <w:numId w:val="47"/>
        </w:numPr>
        <w:rPr>
          <w:rFonts w:asciiTheme="minorHAnsi" w:hAnsiTheme="minorHAnsi"/>
          <w:sz w:val="20"/>
          <w:szCs w:val="20"/>
        </w:rPr>
      </w:pPr>
      <w:r w:rsidRPr="002A0FC0">
        <w:rPr>
          <w:rFonts w:asciiTheme="minorHAnsi" w:hAnsiTheme="minorHAnsi"/>
          <w:sz w:val="20"/>
          <w:szCs w:val="20"/>
        </w:rPr>
        <w:t xml:space="preserve">These accounts include intercompany receivables/payables. </w:t>
      </w:r>
    </w:p>
    <w:p w14:paraId="549DA56C" w14:textId="77777777" w:rsidR="00176F3D" w:rsidRPr="002A0FC0" w:rsidRDefault="00176F3D" w:rsidP="00176F3D">
      <w:pPr>
        <w:pStyle w:val="LLSLevel4"/>
        <w:numPr>
          <w:ilvl w:val="0"/>
          <w:numId w:val="47"/>
        </w:numPr>
        <w:rPr>
          <w:rFonts w:asciiTheme="minorHAnsi" w:hAnsiTheme="minorHAnsi"/>
          <w:sz w:val="20"/>
          <w:szCs w:val="20"/>
        </w:rPr>
      </w:pPr>
      <w:r w:rsidRPr="002A0FC0">
        <w:rPr>
          <w:rFonts w:asciiTheme="minorHAnsi" w:hAnsiTheme="minorHAnsi"/>
          <w:sz w:val="20"/>
          <w:szCs w:val="20"/>
        </w:rPr>
        <w:t xml:space="preserve">In addition, the investment account is eliminated. </w:t>
      </w:r>
    </w:p>
    <w:p w14:paraId="3EE010ED" w14:textId="77777777" w:rsidR="00176F3D" w:rsidRPr="002A0FC0" w:rsidRDefault="00176F3D" w:rsidP="00176F3D">
      <w:pPr>
        <w:pStyle w:val="LLSLevel4"/>
        <w:numPr>
          <w:ilvl w:val="0"/>
          <w:numId w:val="47"/>
        </w:numPr>
        <w:rPr>
          <w:rFonts w:asciiTheme="minorHAnsi" w:hAnsiTheme="minorHAnsi"/>
          <w:sz w:val="20"/>
          <w:szCs w:val="20"/>
        </w:rPr>
      </w:pPr>
      <w:r w:rsidRPr="002A0FC0">
        <w:rPr>
          <w:rFonts w:asciiTheme="minorHAnsi" w:hAnsiTheme="minorHAnsi"/>
          <w:sz w:val="20"/>
          <w:szCs w:val="20"/>
        </w:rPr>
        <w:t xml:space="preserve">The fair market value at the date of purchase represented by the investment account is eliminated against the stockholders' equity of the investee, which is a book value amount. The difference between the investment account (a fair market value amount) and stockholders' equity of the investee (a book value amount) is assigned to specific assets in the elimination process. </w:t>
      </w:r>
    </w:p>
    <w:p w14:paraId="34F63521" w14:textId="77777777" w:rsidR="00176F3D" w:rsidRPr="002A0FC0" w:rsidRDefault="00176F3D" w:rsidP="00176F3D">
      <w:pPr>
        <w:pStyle w:val="LLSLevel4"/>
        <w:numPr>
          <w:ilvl w:val="0"/>
          <w:numId w:val="47"/>
        </w:numPr>
        <w:rPr>
          <w:rFonts w:asciiTheme="minorHAnsi" w:hAnsiTheme="minorHAnsi"/>
          <w:sz w:val="20"/>
          <w:szCs w:val="20"/>
        </w:rPr>
      </w:pPr>
      <w:r w:rsidRPr="002A0FC0">
        <w:rPr>
          <w:rFonts w:asciiTheme="minorHAnsi" w:hAnsiTheme="minorHAnsi"/>
          <w:sz w:val="20"/>
          <w:szCs w:val="20"/>
        </w:rPr>
        <w:t>First, any difference of fair market value and book value of the investee's net assets absorbs this difference. Any amount remaining is assigned to goodwill.</w:t>
      </w:r>
    </w:p>
    <w:p w14:paraId="64611571" w14:textId="77777777" w:rsidR="00176F3D" w:rsidRPr="002A0FC0" w:rsidRDefault="00176F3D" w:rsidP="00176F3D">
      <w:pPr>
        <w:pStyle w:val="a"/>
        <w:widowControl/>
        <w:numPr>
          <w:ilvl w:val="0"/>
          <w:numId w:val="46"/>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In consolidating the separate companies’ income statements into a single statement, the revenues and expenses generated by the parent company must be combined with the revenues and expenses of the subsidiary to make it appear as if a single company exists.</w:t>
      </w:r>
    </w:p>
    <w:p w14:paraId="7B8083D0" w14:textId="77777777" w:rsidR="00176F3D" w:rsidRPr="002A0FC0" w:rsidRDefault="00176F3D" w:rsidP="00176F3D">
      <w:pPr>
        <w:pStyle w:val="LLSLevel4"/>
        <w:numPr>
          <w:ilvl w:val="0"/>
          <w:numId w:val="48"/>
        </w:numPr>
        <w:rPr>
          <w:rFonts w:asciiTheme="minorHAnsi" w:hAnsiTheme="minorHAnsi"/>
          <w:sz w:val="20"/>
          <w:szCs w:val="20"/>
        </w:rPr>
      </w:pPr>
      <w:r w:rsidRPr="002A0FC0">
        <w:rPr>
          <w:rFonts w:asciiTheme="minorHAnsi" w:hAnsiTheme="minorHAnsi"/>
          <w:sz w:val="20"/>
          <w:szCs w:val="20"/>
        </w:rPr>
        <w:t>Exclude any investment income from the subsidiary in the parent's accounts.</w:t>
      </w:r>
    </w:p>
    <w:p w14:paraId="0C4DB4C2" w14:textId="77777777" w:rsidR="00176F3D" w:rsidRPr="002A0FC0" w:rsidRDefault="00176F3D" w:rsidP="00176F3D">
      <w:pPr>
        <w:pStyle w:val="LLSLevel4"/>
        <w:numPr>
          <w:ilvl w:val="0"/>
          <w:numId w:val="48"/>
        </w:numPr>
        <w:rPr>
          <w:rFonts w:asciiTheme="minorHAnsi" w:hAnsiTheme="minorHAnsi"/>
          <w:sz w:val="20"/>
          <w:szCs w:val="20"/>
        </w:rPr>
      </w:pPr>
      <w:r w:rsidRPr="002A0FC0">
        <w:rPr>
          <w:rFonts w:asciiTheme="minorHAnsi" w:hAnsiTheme="minorHAnsi"/>
          <w:sz w:val="20"/>
          <w:szCs w:val="20"/>
        </w:rPr>
        <w:t>Additional expenses may be reported for depreciation of the subsidiary's assets considered at fair market value (in excess of book value).</w:t>
      </w:r>
    </w:p>
    <w:p w14:paraId="1C1C2310" w14:textId="77777777" w:rsidR="00176F3D" w:rsidRPr="002A0FC0" w:rsidRDefault="00176F3D" w:rsidP="00176F3D">
      <w:pPr>
        <w:pStyle w:val="a"/>
        <w:widowControl/>
        <w:numPr>
          <w:ilvl w:val="0"/>
          <w:numId w:val="46"/>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Goodwill should be considered for a possible impairment loss in the future.</w:t>
      </w:r>
    </w:p>
    <w:p w14:paraId="7E79D335" w14:textId="77777777" w:rsidR="00176F3D" w:rsidRPr="002A0FC0" w:rsidRDefault="00176F3D" w:rsidP="00176F3D">
      <w:pPr>
        <w:pStyle w:val="a"/>
        <w:widowControl/>
        <w:numPr>
          <w:ilvl w:val="0"/>
          <w:numId w:val="46"/>
        </w:numPr>
        <w:tabs>
          <w:tab w:val="right" w:pos="720"/>
          <w:tab w:val="left" w:pos="1440"/>
          <w:tab w:val="left" w:pos="1800"/>
          <w:tab w:val="left" w:pos="6840"/>
        </w:tabs>
        <w:rPr>
          <w:rFonts w:asciiTheme="minorHAnsi" w:hAnsiTheme="minorHAnsi"/>
          <w:szCs w:val="20"/>
        </w:rPr>
      </w:pPr>
      <w:r w:rsidRPr="002A0FC0">
        <w:rPr>
          <w:rFonts w:asciiTheme="minorHAnsi" w:hAnsiTheme="minorHAnsi"/>
          <w:szCs w:val="20"/>
        </w:rPr>
        <w:t>Spreadsheet programs are helpful in the preparation of appropriate account balances to be presented on consolidated financial statements.</w:t>
      </w:r>
    </w:p>
    <w:p w14:paraId="22A89383" w14:textId="77777777" w:rsidR="00176F3D" w:rsidRPr="002A0FC0" w:rsidRDefault="00176F3D" w:rsidP="00176F3D">
      <w:pPr>
        <w:pStyle w:val="LLSLevel2"/>
        <w:rPr>
          <w:rFonts w:asciiTheme="minorHAnsi" w:hAnsiTheme="minorHAnsi"/>
          <w:sz w:val="20"/>
          <w:szCs w:val="20"/>
        </w:rPr>
      </w:pPr>
    </w:p>
    <w:p w14:paraId="382FDAC9" w14:textId="77777777" w:rsidR="00F61F1C" w:rsidRPr="002A0FC0" w:rsidRDefault="00F61F1C" w:rsidP="00176F3D">
      <w:pPr>
        <w:rPr>
          <w:rFonts w:asciiTheme="minorHAnsi" w:hAnsiTheme="minorHAnsi"/>
          <w:sz w:val="20"/>
          <w:szCs w:val="20"/>
        </w:rPr>
      </w:pPr>
    </w:p>
    <w:sectPr w:rsidR="00F61F1C" w:rsidRPr="002A0FC0" w:rsidSect="004A03A5">
      <w:pgSz w:w="11907" w:h="16839" w:code="9"/>
      <w:pgMar w:top="1134"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B7AD8"/>
    <w:multiLevelType w:val="hybridMultilevel"/>
    <w:tmpl w:val="22A4318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764C8"/>
    <w:multiLevelType w:val="hybridMultilevel"/>
    <w:tmpl w:val="2122848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EB1CA1"/>
    <w:multiLevelType w:val="hybridMultilevel"/>
    <w:tmpl w:val="21F665E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6166A1"/>
    <w:multiLevelType w:val="hybridMultilevel"/>
    <w:tmpl w:val="DE9CBD5E"/>
    <w:lvl w:ilvl="0" w:tplc="DD6040E0">
      <w:start w:val="1"/>
      <w:numFmt w:val="lowerLetter"/>
      <w:lvlText w:val="%1."/>
      <w:lvlJc w:val="left"/>
      <w:pPr>
        <w:tabs>
          <w:tab w:val="num" w:pos="2160"/>
        </w:tabs>
        <w:ind w:left="2160" w:hanging="360"/>
      </w:pPr>
      <w:rPr>
        <w:rFonts w:hint="default"/>
        <w:b w:val="0"/>
        <w:i w:val="0"/>
        <w:color w:val="auto"/>
        <w:sz w:val="24"/>
        <w:szCs w:val="3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1621F0C"/>
    <w:multiLevelType w:val="hybridMultilevel"/>
    <w:tmpl w:val="AE82420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7B5F65"/>
    <w:multiLevelType w:val="hybridMultilevel"/>
    <w:tmpl w:val="E15AEB0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5B4E81"/>
    <w:multiLevelType w:val="hybridMultilevel"/>
    <w:tmpl w:val="E708A85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7C59E7"/>
    <w:multiLevelType w:val="hybridMultilevel"/>
    <w:tmpl w:val="94A4FDC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3546E1"/>
    <w:multiLevelType w:val="hybridMultilevel"/>
    <w:tmpl w:val="AFFCF3D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1BB23163"/>
    <w:multiLevelType w:val="hybridMultilevel"/>
    <w:tmpl w:val="CE62150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DC709D1"/>
    <w:multiLevelType w:val="hybridMultilevel"/>
    <w:tmpl w:val="844844B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8E5538"/>
    <w:multiLevelType w:val="hybridMultilevel"/>
    <w:tmpl w:val="1FF4398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C571D3"/>
    <w:multiLevelType w:val="hybridMultilevel"/>
    <w:tmpl w:val="D7D24594"/>
    <w:lvl w:ilvl="0" w:tplc="DD6040E0">
      <w:start w:val="1"/>
      <w:numFmt w:val="lowerLetter"/>
      <w:lvlText w:val="%1."/>
      <w:lvlJc w:val="left"/>
      <w:pPr>
        <w:tabs>
          <w:tab w:val="num" w:pos="1800"/>
        </w:tabs>
        <w:ind w:left="1800" w:hanging="360"/>
      </w:pPr>
      <w:rPr>
        <w:rFonts w:hint="default"/>
        <w:b w:val="0"/>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071DA5"/>
    <w:multiLevelType w:val="hybridMultilevel"/>
    <w:tmpl w:val="D676E70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042F50"/>
    <w:multiLevelType w:val="hybridMultilevel"/>
    <w:tmpl w:val="BB56839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D874786"/>
    <w:multiLevelType w:val="hybridMultilevel"/>
    <w:tmpl w:val="44F4C39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AF69DD"/>
    <w:multiLevelType w:val="hybridMultilevel"/>
    <w:tmpl w:val="3C52A82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4D0FE1"/>
    <w:multiLevelType w:val="hybridMultilevel"/>
    <w:tmpl w:val="DDB2A72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2F64BB0"/>
    <w:multiLevelType w:val="hybridMultilevel"/>
    <w:tmpl w:val="E59AC15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337EDF"/>
    <w:multiLevelType w:val="hybridMultilevel"/>
    <w:tmpl w:val="05887B3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0F4523"/>
    <w:multiLevelType w:val="hybridMultilevel"/>
    <w:tmpl w:val="0E52E0F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251CC1"/>
    <w:multiLevelType w:val="hybridMultilevel"/>
    <w:tmpl w:val="7A86CBF8"/>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3E6E33DF"/>
    <w:multiLevelType w:val="hybridMultilevel"/>
    <w:tmpl w:val="7C72912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0A0258"/>
    <w:multiLevelType w:val="hybridMultilevel"/>
    <w:tmpl w:val="2EFA9BF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84E1211"/>
    <w:multiLevelType w:val="hybridMultilevel"/>
    <w:tmpl w:val="7C0AED7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495A3845"/>
    <w:multiLevelType w:val="hybridMultilevel"/>
    <w:tmpl w:val="C95AFF20"/>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D8F2858"/>
    <w:multiLevelType w:val="hybridMultilevel"/>
    <w:tmpl w:val="CECE3D7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DE4581D"/>
    <w:multiLevelType w:val="hybridMultilevel"/>
    <w:tmpl w:val="37B8F4B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0F05EF3"/>
    <w:multiLevelType w:val="hybridMultilevel"/>
    <w:tmpl w:val="B0CAD81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81976BF"/>
    <w:multiLevelType w:val="hybridMultilevel"/>
    <w:tmpl w:val="BB985E7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nsid w:val="5A3A36ED"/>
    <w:multiLevelType w:val="hybridMultilevel"/>
    <w:tmpl w:val="CC1CCEF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B372058"/>
    <w:multiLevelType w:val="hybridMultilevel"/>
    <w:tmpl w:val="0338E32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3F4982"/>
    <w:multiLevelType w:val="hybridMultilevel"/>
    <w:tmpl w:val="2DFA5FDA"/>
    <w:lvl w:ilvl="0" w:tplc="31525F68">
      <w:start w:val="1"/>
      <w:numFmt w:val="bullet"/>
      <w:lvlText w:val=""/>
      <w:lvlJc w:val="left"/>
      <w:pPr>
        <w:tabs>
          <w:tab w:val="num" w:pos="1080"/>
        </w:tabs>
        <w:ind w:left="108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1871C2"/>
    <w:multiLevelType w:val="hybridMultilevel"/>
    <w:tmpl w:val="F134060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655B58"/>
    <w:multiLevelType w:val="hybridMultilevel"/>
    <w:tmpl w:val="FAEE17F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1C800FF"/>
    <w:multiLevelType w:val="hybridMultilevel"/>
    <w:tmpl w:val="D312D58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2675350"/>
    <w:multiLevelType w:val="hybridMultilevel"/>
    <w:tmpl w:val="D08C473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289629D"/>
    <w:multiLevelType w:val="multilevel"/>
    <w:tmpl w:val="F24CE7CA"/>
    <w:lvl w:ilvl="0">
      <w:start w:val="12"/>
      <w:numFmt w:val="decimal"/>
      <w:pStyle w:val="Heading1"/>
      <w:suff w:val="space"/>
      <w:lvlText w:val="Chapter %1"/>
      <w:lvlJc w:val="center"/>
      <w:pPr>
        <w:ind w:left="1440" w:firstLine="0"/>
      </w:pPr>
      <w:rPr>
        <w:rFonts w:ascii="Times New Roman" w:hAnsi="Times New Roman" w:hint="default"/>
        <w:b/>
        <w:i w:val="0"/>
        <w:caps/>
        <w:sz w:val="40"/>
      </w:rPr>
    </w:lvl>
    <w:lvl w:ilvl="1">
      <w:start w:val="1"/>
      <w:numFmt w:val="none"/>
      <w:pStyle w:val="Heading2"/>
      <w:suff w:val="nothing"/>
      <w:lvlText w:val=""/>
      <w:lvlJc w:val="left"/>
      <w:pPr>
        <w:ind w:left="1440" w:firstLine="0"/>
      </w:pPr>
      <w:rPr>
        <w:rFonts w:hint="default"/>
      </w:rPr>
    </w:lvl>
    <w:lvl w:ilvl="2">
      <w:start w:val="1"/>
      <w:numFmt w:val="none"/>
      <w:pStyle w:val="Heading3"/>
      <w:suff w:val="nothing"/>
      <w:lvlText w:val=""/>
      <w:lvlJc w:val="left"/>
      <w:pPr>
        <w:ind w:left="1440" w:firstLine="0"/>
      </w:pPr>
      <w:rPr>
        <w:rFonts w:hint="default"/>
      </w:rPr>
    </w:lvl>
    <w:lvl w:ilvl="3">
      <w:start w:val="1"/>
      <w:numFmt w:val="none"/>
      <w:pStyle w:val="Heading4"/>
      <w:suff w:val="nothing"/>
      <w:lvlText w:val=""/>
      <w:lvlJc w:val="left"/>
      <w:pPr>
        <w:ind w:left="1440" w:firstLine="0"/>
      </w:pPr>
      <w:rPr>
        <w:rFonts w:hint="default"/>
      </w:rPr>
    </w:lvl>
    <w:lvl w:ilvl="4">
      <w:start w:val="1"/>
      <w:numFmt w:val="none"/>
      <w:pStyle w:val="Heading5"/>
      <w:suff w:val="nothing"/>
      <w:lvlText w:val=""/>
      <w:lvlJc w:val="left"/>
      <w:pPr>
        <w:ind w:left="1440" w:firstLine="0"/>
      </w:pPr>
      <w:rPr>
        <w:rFonts w:hint="default"/>
      </w:rPr>
    </w:lvl>
    <w:lvl w:ilvl="5">
      <w:start w:val="1"/>
      <w:numFmt w:val="none"/>
      <w:pStyle w:val="Heading6"/>
      <w:suff w:val="nothing"/>
      <w:lvlText w:val=""/>
      <w:lvlJc w:val="left"/>
      <w:pPr>
        <w:ind w:left="1440" w:firstLine="0"/>
      </w:pPr>
      <w:rPr>
        <w:rFonts w:hint="default"/>
      </w:rPr>
    </w:lvl>
    <w:lvl w:ilvl="6">
      <w:start w:val="1"/>
      <w:numFmt w:val="none"/>
      <w:pStyle w:val="Heading7"/>
      <w:suff w:val="nothing"/>
      <w:lvlText w:val=""/>
      <w:lvlJc w:val="left"/>
      <w:pPr>
        <w:ind w:left="1440" w:firstLine="0"/>
      </w:pPr>
      <w:rPr>
        <w:rFonts w:hint="default"/>
      </w:rPr>
    </w:lvl>
    <w:lvl w:ilvl="7">
      <w:start w:val="1"/>
      <w:numFmt w:val="none"/>
      <w:pStyle w:val="Heading8"/>
      <w:suff w:val="nothing"/>
      <w:lvlText w:val=""/>
      <w:lvlJc w:val="left"/>
      <w:pPr>
        <w:ind w:left="1440" w:firstLine="0"/>
      </w:pPr>
      <w:rPr>
        <w:rFonts w:hint="default"/>
      </w:rPr>
    </w:lvl>
    <w:lvl w:ilvl="8">
      <w:start w:val="1"/>
      <w:numFmt w:val="none"/>
      <w:pStyle w:val="Heading9"/>
      <w:suff w:val="nothing"/>
      <w:lvlText w:val=""/>
      <w:lvlJc w:val="left"/>
      <w:pPr>
        <w:ind w:left="1440" w:firstLine="0"/>
      </w:pPr>
      <w:rPr>
        <w:rFonts w:hint="default"/>
      </w:rPr>
    </w:lvl>
  </w:abstractNum>
  <w:abstractNum w:abstractNumId="40">
    <w:nsid w:val="6823448C"/>
    <w:multiLevelType w:val="hybridMultilevel"/>
    <w:tmpl w:val="071297E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DC03118"/>
    <w:multiLevelType w:val="hybridMultilevel"/>
    <w:tmpl w:val="50DECD1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DF944C2"/>
    <w:multiLevelType w:val="hybridMultilevel"/>
    <w:tmpl w:val="FBAA2EE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F5C7765"/>
    <w:multiLevelType w:val="hybridMultilevel"/>
    <w:tmpl w:val="69405A7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33F0D8C"/>
    <w:multiLevelType w:val="hybridMultilevel"/>
    <w:tmpl w:val="DAF0D4A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70670C3"/>
    <w:multiLevelType w:val="hybridMultilevel"/>
    <w:tmpl w:val="6CBE4D7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85C222A"/>
    <w:multiLevelType w:val="hybridMultilevel"/>
    <w:tmpl w:val="CEAAF74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A974D11"/>
    <w:multiLevelType w:val="hybridMultilevel"/>
    <w:tmpl w:val="B4C22A52"/>
    <w:lvl w:ilvl="0" w:tplc="31525F68">
      <w:start w:val="1"/>
      <w:numFmt w:val="bullet"/>
      <w:lvlText w:val=""/>
      <w:lvlJc w:val="left"/>
      <w:pPr>
        <w:tabs>
          <w:tab w:val="num" w:pos="1080"/>
        </w:tabs>
        <w:ind w:left="1080" w:hanging="360"/>
      </w:pPr>
      <w:rPr>
        <w:rFonts w:ascii="Symbol" w:hAnsi="Symbo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D033AC5"/>
    <w:multiLevelType w:val="hybridMultilevel"/>
    <w:tmpl w:val="9EA6AF6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F077D32"/>
    <w:multiLevelType w:val="hybridMultilevel"/>
    <w:tmpl w:val="92FAE5F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27"/>
    <w:lvlOverride w:ilvl="0">
      <w:startOverride w:val="1"/>
    </w:lvlOverride>
  </w:num>
  <w:num w:numId="3">
    <w:abstractNumId w:val="26"/>
  </w:num>
  <w:num w:numId="4">
    <w:abstractNumId w:val="28"/>
  </w:num>
  <w:num w:numId="5">
    <w:abstractNumId w:val="33"/>
  </w:num>
  <w:num w:numId="6">
    <w:abstractNumId w:val="12"/>
  </w:num>
  <w:num w:numId="7">
    <w:abstractNumId w:val="42"/>
  </w:num>
  <w:num w:numId="8">
    <w:abstractNumId w:val="37"/>
  </w:num>
  <w:num w:numId="9">
    <w:abstractNumId w:val="18"/>
  </w:num>
  <w:num w:numId="10">
    <w:abstractNumId w:val="23"/>
  </w:num>
  <w:num w:numId="11">
    <w:abstractNumId w:val="43"/>
  </w:num>
  <w:num w:numId="12">
    <w:abstractNumId w:val="0"/>
  </w:num>
  <w:num w:numId="13">
    <w:abstractNumId w:val="36"/>
  </w:num>
  <w:num w:numId="14">
    <w:abstractNumId w:val="22"/>
  </w:num>
  <w:num w:numId="15">
    <w:abstractNumId w:val="16"/>
  </w:num>
  <w:num w:numId="16">
    <w:abstractNumId w:val="3"/>
  </w:num>
  <w:num w:numId="17">
    <w:abstractNumId w:val="8"/>
  </w:num>
  <w:num w:numId="18">
    <w:abstractNumId w:val="13"/>
  </w:num>
  <w:num w:numId="19">
    <w:abstractNumId w:val="21"/>
  </w:num>
  <w:num w:numId="20">
    <w:abstractNumId w:val="24"/>
  </w:num>
  <w:num w:numId="21">
    <w:abstractNumId w:val="14"/>
  </w:num>
  <w:num w:numId="22">
    <w:abstractNumId w:val="31"/>
  </w:num>
  <w:num w:numId="23">
    <w:abstractNumId w:val="4"/>
  </w:num>
  <w:num w:numId="24">
    <w:abstractNumId w:val="49"/>
  </w:num>
  <w:num w:numId="25">
    <w:abstractNumId w:val="15"/>
  </w:num>
  <w:num w:numId="26">
    <w:abstractNumId w:val="19"/>
  </w:num>
  <w:num w:numId="27">
    <w:abstractNumId w:val="5"/>
  </w:num>
  <w:num w:numId="28">
    <w:abstractNumId w:val="48"/>
  </w:num>
  <w:num w:numId="29">
    <w:abstractNumId w:val="2"/>
  </w:num>
  <w:num w:numId="30">
    <w:abstractNumId w:val="20"/>
  </w:num>
  <w:num w:numId="31">
    <w:abstractNumId w:val="1"/>
  </w:num>
  <w:num w:numId="32">
    <w:abstractNumId w:val="41"/>
  </w:num>
  <w:num w:numId="33">
    <w:abstractNumId w:val="44"/>
  </w:num>
  <w:num w:numId="34">
    <w:abstractNumId w:val="7"/>
  </w:num>
  <w:num w:numId="35">
    <w:abstractNumId w:val="30"/>
  </w:num>
  <w:num w:numId="36">
    <w:abstractNumId w:val="11"/>
  </w:num>
  <w:num w:numId="37">
    <w:abstractNumId w:val="29"/>
  </w:num>
  <w:num w:numId="38">
    <w:abstractNumId w:val="17"/>
  </w:num>
  <w:num w:numId="39">
    <w:abstractNumId w:val="38"/>
  </w:num>
  <w:num w:numId="40">
    <w:abstractNumId w:val="32"/>
  </w:num>
  <w:num w:numId="41">
    <w:abstractNumId w:val="45"/>
  </w:num>
  <w:num w:numId="42">
    <w:abstractNumId w:val="6"/>
  </w:num>
  <w:num w:numId="43">
    <w:abstractNumId w:val="25"/>
  </w:num>
  <w:num w:numId="44">
    <w:abstractNumId w:val="10"/>
  </w:num>
  <w:num w:numId="45">
    <w:abstractNumId w:val="46"/>
  </w:num>
  <w:num w:numId="46">
    <w:abstractNumId w:val="9"/>
  </w:num>
  <w:num w:numId="47">
    <w:abstractNumId w:val="35"/>
  </w:num>
  <w:num w:numId="48">
    <w:abstractNumId w:val="40"/>
  </w:num>
  <w:num w:numId="49">
    <w:abstractNumId w:val="39"/>
  </w:num>
  <w:num w:numId="50">
    <w:abstractNumId w:val="47"/>
  </w:num>
  <w:num w:numId="5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attachedTemplate r:id="rId1"/>
  <w:defaultTabStop w:val="720"/>
  <w:drawingGridHorizontalSpacing w:val="120"/>
  <w:displayHorizontalDrawingGridEvery w:val="2"/>
  <w:characterSpacingControl w:val="doNotCompress"/>
  <w:compat>
    <w:applyBreakingRules/>
    <w:compatSetting w:name="compatibilityMode" w:uri="http://schemas.microsoft.com/office/word" w:val="12"/>
  </w:compat>
  <w:rsids>
    <w:rsidRoot w:val="00176F3D"/>
    <w:rsid w:val="00176F3D"/>
    <w:rsid w:val="00294695"/>
    <w:rsid w:val="002A0FC0"/>
    <w:rsid w:val="004A03A5"/>
    <w:rsid w:val="004D127B"/>
    <w:rsid w:val="004D5CBD"/>
    <w:rsid w:val="006714FA"/>
    <w:rsid w:val="008B2AF0"/>
    <w:rsid w:val="00922B34"/>
    <w:rsid w:val="00DD3108"/>
    <w:rsid w:val="00EE70FA"/>
    <w:rsid w:val="00F61F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F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76F3D"/>
    <w:pPr>
      <w:keepNext/>
      <w:numPr>
        <w:numId w:val="49"/>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76F3D"/>
    <w:pPr>
      <w:widowControl w:val="0"/>
      <w:numPr>
        <w:ilvl w:val="1"/>
        <w:numId w:val="49"/>
      </w:numPr>
      <w:autoSpaceDE w:val="0"/>
      <w:autoSpaceDN w:val="0"/>
      <w:adjustRightInd w:val="0"/>
      <w:outlineLvl w:val="1"/>
    </w:pPr>
    <w:rPr>
      <w:sz w:val="32"/>
      <w:szCs w:val="32"/>
    </w:rPr>
  </w:style>
  <w:style w:type="paragraph" w:styleId="Heading3">
    <w:name w:val="heading 3"/>
    <w:basedOn w:val="Normal"/>
    <w:next w:val="Normal"/>
    <w:link w:val="Heading3Char"/>
    <w:qFormat/>
    <w:rsid w:val="00176F3D"/>
    <w:pPr>
      <w:keepNext/>
      <w:numPr>
        <w:ilvl w:val="2"/>
        <w:numId w:val="49"/>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76F3D"/>
    <w:pPr>
      <w:keepNext/>
      <w:numPr>
        <w:ilvl w:val="3"/>
        <w:numId w:val="49"/>
      </w:numPr>
      <w:spacing w:before="240" w:after="60"/>
      <w:outlineLvl w:val="3"/>
    </w:pPr>
    <w:rPr>
      <w:b/>
      <w:bCs/>
      <w:sz w:val="28"/>
      <w:szCs w:val="28"/>
    </w:rPr>
  </w:style>
  <w:style w:type="paragraph" w:styleId="Heading5">
    <w:name w:val="heading 5"/>
    <w:basedOn w:val="Normal"/>
    <w:next w:val="Normal"/>
    <w:link w:val="Heading5Char"/>
    <w:qFormat/>
    <w:rsid w:val="00176F3D"/>
    <w:pPr>
      <w:numPr>
        <w:ilvl w:val="4"/>
        <w:numId w:val="49"/>
      </w:numPr>
      <w:spacing w:before="240" w:after="60"/>
      <w:outlineLvl w:val="4"/>
    </w:pPr>
    <w:rPr>
      <w:b/>
      <w:bCs/>
      <w:i/>
      <w:iCs/>
      <w:sz w:val="26"/>
      <w:szCs w:val="26"/>
    </w:rPr>
  </w:style>
  <w:style w:type="paragraph" w:styleId="Heading6">
    <w:name w:val="heading 6"/>
    <w:basedOn w:val="Normal"/>
    <w:next w:val="Normal"/>
    <w:link w:val="Heading6Char"/>
    <w:qFormat/>
    <w:rsid w:val="00176F3D"/>
    <w:pPr>
      <w:numPr>
        <w:ilvl w:val="5"/>
        <w:numId w:val="49"/>
      </w:numPr>
      <w:spacing w:before="240" w:after="60"/>
      <w:outlineLvl w:val="5"/>
    </w:pPr>
    <w:rPr>
      <w:b/>
      <w:bCs/>
      <w:sz w:val="22"/>
      <w:szCs w:val="22"/>
    </w:rPr>
  </w:style>
  <w:style w:type="paragraph" w:styleId="Heading7">
    <w:name w:val="heading 7"/>
    <w:basedOn w:val="Normal"/>
    <w:next w:val="Normal"/>
    <w:link w:val="Heading7Char"/>
    <w:qFormat/>
    <w:rsid w:val="00176F3D"/>
    <w:pPr>
      <w:numPr>
        <w:ilvl w:val="6"/>
        <w:numId w:val="49"/>
      </w:numPr>
      <w:spacing w:before="240" w:after="60"/>
      <w:outlineLvl w:val="6"/>
    </w:pPr>
  </w:style>
  <w:style w:type="paragraph" w:styleId="Heading8">
    <w:name w:val="heading 8"/>
    <w:basedOn w:val="Normal"/>
    <w:next w:val="Normal"/>
    <w:link w:val="Heading8Char"/>
    <w:qFormat/>
    <w:rsid w:val="00176F3D"/>
    <w:pPr>
      <w:numPr>
        <w:ilvl w:val="7"/>
        <w:numId w:val="49"/>
      </w:numPr>
      <w:spacing w:before="240" w:after="60"/>
      <w:outlineLvl w:val="7"/>
    </w:pPr>
    <w:rPr>
      <w:i/>
      <w:iCs/>
    </w:rPr>
  </w:style>
  <w:style w:type="paragraph" w:styleId="Heading9">
    <w:name w:val="heading 9"/>
    <w:basedOn w:val="Normal"/>
    <w:next w:val="Normal"/>
    <w:link w:val="Heading9Char"/>
    <w:qFormat/>
    <w:rsid w:val="00176F3D"/>
    <w:pPr>
      <w:numPr>
        <w:ilvl w:val="8"/>
        <w:numId w:val="49"/>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6F3D"/>
    <w:rPr>
      <w:rFonts w:ascii="Arial" w:eastAsia="Times New Roman" w:hAnsi="Arial" w:cs="Arial"/>
      <w:b/>
      <w:bCs/>
      <w:kern w:val="32"/>
      <w:sz w:val="32"/>
      <w:szCs w:val="32"/>
    </w:rPr>
  </w:style>
  <w:style w:type="character" w:customStyle="1" w:styleId="Heading2Char">
    <w:name w:val="Heading 2 Char"/>
    <w:basedOn w:val="DefaultParagraphFont"/>
    <w:link w:val="Heading2"/>
    <w:rsid w:val="00176F3D"/>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176F3D"/>
    <w:rPr>
      <w:rFonts w:ascii="Arial" w:eastAsia="Times New Roman" w:hAnsi="Arial" w:cs="Arial"/>
      <w:b/>
      <w:bCs/>
      <w:sz w:val="26"/>
      <w:szCs w:val="26"/>
    </w:rPr>
  </w:style>
  <w:style w:type="character" w:customStyle="1" w:styleId="Heading4Char">
    <w:name w:val="Heading 4 Char"/>
    <w:basedOn w:val="DefaultParagraphFont"/>
    <w:link w:val="Heading4"/>
    <w:rsid w:val="00176F3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176F3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176F3D"/>
    <w:rPr>
      <w:rFonts w:ascii="Times New Roman" w:eastAsia="Times New Roman" w:hAnsi="Times New Roman" w:cs="Times New Roman"/>
      <w:b/>
      <w:bCs/>
    </w:rPr>
  </w:style>
  <w:style w:type="character" w:customStyle="1" w:styleId="Heading7Char">
    <w:name w:val="Heading 7 Char"/>
    <w:basedOn w:val="DefaultParagraphFont"/>
    <w:link w:val="Heading7"/>
    <w:rsid w:val="00176F3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76F3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76F3D"/>
    <w:rPr>
      <w:rFonts w:ascii="Arial" w:eastAsia="Times New Roman" w:hAnsi="Arial" w:cs="Arial"/>
    </w:rPr>
  </w:style>
  <w:style w:type="paragraph" w:styleId="Title">
    <w:name w:val="Title"/>
    <w:basedOn w:val="Normal"/>
    <w:link w:val="TitleChar"/>
    <w:qFormat/>
    <w:rsid w:val="00176F3D"/>
    <w:pPr>
      <w:jc w:val="center"/>
    </w:pPr>
    <w:rPr>
      <w:rFonts w:ascii="Comic Sans MS" w:hAnsi="Comic Sans MS"/>
      <w:b/>
      <w:bCs/>
      <w:color w:val="993366"/>
      <w:sz w:val="40"/>
    </w:rPr>
  </w:style>
  <w:style w:type="character" w:customStyle="1" w:styleId="TitleChar">
    <w:name w:val="Title Char"/>
    <w:basedOn w:val="DefaultParagraphFont"/>
    <w:link w:val="Title"/>
    <w:rsid w:val="00176F3D"/>
    <w:rPr>
      <w:rFonts w:ascii="Comic Sans MS" w:eastAsia="Times New Roman" w:hAnsi="Comic Sans MS" w:cs="Times New Roman"/>
      <w:b/>
      <w:bCs/>
      <w:color w:val="993366"/>
      <w:sz w:val="40"/>
      <w:szCs w:val="24"/>
    </w:rPr>
  </w:style>
  <w:style w:type="paragraph" w:customStyle="1" w:styleId="a">
    <w:name w:val="_"/>
    <w:basedOn w:val="Normal"/>
    <w:rsid w:val="00176F3D"/>
    <w:pPr>
      <w:widowControl w:val="0"/>
      <w:autoSpaceDE w:val="0"/>
      <w:autoSpaceDN w:val="0"/>
      <w:adjustRightInd w:val="0"/>
      <w:ind w:left="1620" w:hanging="450"/>
    </w:pPr>
    <w:rPr>
      <w:rFonts w:ascii="Arial" w:hAnsi="Arial"/>
      <w:sz w:val="20"/>
    </w:rPr>
  </w:style>
  <w:style w:type="paragraph" w:styleId="BodyText">
    <w:name w:val="Body Text"/>
    <w:basedOn w:val="Normal"/>
    <w:link w:val="BodyTextChar"/>
    <w:rsid w:val="00176F3D"/>
    <w:rPr>
      <w:i/>
      <w:iCs/>
    </w:rPr>
  </w:style>
  <w:style w:type="character" w:customStyle="1" w:styleId="BodyTextChar">
    <w:name w:val="Body Text Char"/>
    <w:basedOn w:val="DefaultParagraphFont"/>
    <w:link w:val="BodyText"/>
    <w:rsid w:val="00176F3D"/>
    <w:rPr>
      <w:rFonts w:ascii="Times New Roman" w:eastAsia="Times New Roman" w:hAnsi="Times New Roman" w:cs="Times New Roman"/>
      <w:i/>
      <w:iCs/>
      <w:sz w:val="24"/>
      <w:szCs w:val="24"/>
    </w:rPr>
  </w:style>
  <w:style w:type="paragraph" w:customStyle="1" w:styleId="IRMLevel1">
    <w:name w:val="IRM Level 1"/>
    <w:basedOn w:val="Heading2"/>
    <w:rsid w:val="00176F3D"/>
    <w:pPr>
      <w:numPr>
        <w:ilvl w:val="0"/>
        <w:numId w:val="1"/>
      </w:numPr>
      <w:spacing w:after="120"/>
    </w:pPr>
    <w:rPr>
      <w:b/>
      <w:bCs/>
      <w:sz w:val="24"/>
    </w:rPr>
  </w:style>
  <w:style w:type="paragraph" w:customStyle="1" w:styleId="IRMLevel2">
    <w:name w:val="IRM Level 2"/>
    <w:basedOn w:val="a"/>
    <w:rsid w:val="00176F3D"/>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176F3D"/>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176F3D"/>
    <w:pPr>
      <w:ind w:left="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5</cp:revision>
  <cp:lastPrinted>2010-01-07T07:41:00Z</cp:lastPrinted>
  <dcterms:created xsi:type="dcterms:W3CDTF">2009-01-11T15:36:00Z</dcterms:created>
  <dcterms:modified xsi:type="dcterms:W3CDTF">2010-01-07T07:43:00Z</dcterms:modified>
</cp:coreProperties>
</file>