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45" w:rightFromText="45" w:vertAnchor="text"/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D51973" w:rsidRPr="00D51973" w:rsidTr="00D5197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51973" w:rsidRDefault="00D51973" w:rsidP="00D5197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</w:pPr>
            <w:r w:rsidRPr="00D51973"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  <w:t>The cost of stability: Thailand’s economy</w:t>
            </w:r>
          </w:p>
          <w:p w:rsidR="00BA4E0E" w:rsidRDefault="00BA4E0E" w:rsidP="00D5197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</w:pPr>
          </w:p>
          <w:p w:rsidR="00BA4E0E" w:rsidRPr="00D51973" w:rsidRDefault="00BA4E0E" w:rsidP="00BA4E0E">
            <w:pPr>
              <w:spacing w:after="0" w:line="240" w:lineRule="auto"/>
              <w:rPr>
                <w:rFonts w:ascii="Helvetica" w:eastAsia="Times New Roman" w:hAnsi="Helvetica" w:cs="Helvetica"/>
                <w:color w:val="222222"/>
                <w:sz w:val="27"/>
                <w:szCs w:val="27"/>
                <w:lang w:bidi="th-TH"/>
              </w:rPr>
            </w:pPr>
            <w:r w:rsidRPr="00BA4E0E">
              <w:rPr>
                <w:rFonts w:ascii="Helvetica" w:eastAsia="Times New Roman" w:hAnsi="Helvetica" w:cs="Helvetica"/>
                <w:color w:val="222222"/>
                <w:lang w:bidi="th-TH"/>
              </w:rPr>
              <w:t>Source: The Economist August 21, 2017</w:t>
            </w:r>
          </w:p>
        </w:tc>
      </w:tr>
      <w:tr w:rsidR="00D51973" w:rsidRPr="00D51973" w:rsidTr="00D5197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51973" w:rsidRDefault="00D51973" w:rsidP="00D51973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  <w:r w:rsidRPr="00D51973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South-East Asia’s second-biggest economy will today announce a slight slowdown in GDP growth to 3% in the second quarter, from 3.3% in the first. It’s the lowest rate in the region, but the junta, now styled as a civilian government, will be happy. Growth has been sustained by foreign tourism, public investment and exports. Foreign reserves are at a record high, the fiscal position is admirable and the baht is Asia’s strongest currency this year. Unemployment is almost non-existent. Most big businesses, their fortunes tied to the state, are content: antitrust laws are ignored and entrepreneurialism is stifled. But current policies risk constraining future growth. Inward foreign investment collapsed to $1.6bn in 2016, outward flows surged eightfold to $13.2bn, and Thai firms are hoarding cash. The generals have delivered outward stability by abolishing multi-party politics and free expression, but they cannot stop investors from voting with their wallets.</w:t>
            </w:r>
          </w:p>
          <w:p w:rsidR="00BA4E0E" w:rsidRDefault="00BA4E0E" w:rsidP="00D51973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</w:p>
          <w:p w:rsidR="00BA4E0E" w:rsidRDefault="00BA4E0E" w:rsidP="00D51973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  <w:bookmarkStart w:id="0" w:name="_GoBack"/>
            <w:bookmarkEnd w:id="0"/>
          </w:p>
          <w:p w:rsidR="00D51973" w:rsidRPr="00D51973" w:rsidRDefault="00D51973" w:rsidP="00D51973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  <w:r>
              <w:rPr>
                <w:noProof/>
              </w:rPr>
              <w:drawing>
                <wp:inline distT="0" distB="0" distL="0" distR="0">
                  <wp:extent cx="4998378" cy="4140020"/>
                  <wp:effectExtent l="0" t="0" r="0" b="0"/>
                  <wp:docPr id="1" name="Picture 1" descr="C:\Users\lenovo\AppData\Local\Microsoft\Windows\INetCache\Content.Word\unnamed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AppData\Local\Microsoft\Windows\INetCache\Content.Word\unnamed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311" cy="414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5375" w:rsidRDefault="00815375"/>
    <w:sectPr w:rsidR="008153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73"/>
    <w:rsid w:val="004B3AB2"/>
    <w:rsid w:val="007E45BE"/>
    <w:rsid w:val="00815375"/>
    <w:rsid w:val="00B72A09"/>
    <w:rsid w:val="00BA4E0E"/>
    <w:rsid w:val="00D5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35EC7"/>
  <w15:chartTrackingRefBased/>
  <w15:docId w15:val="{9B8D182E-8AB6-478B-82CE-4A554905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2</cp:revision>
  <dcterms:created xsi:type="dcterms:W3CDTF">2017-08-21T03:41:00Z</dcterms:created>
  <dcterms:modified xsi:type="dcterms:W3CDTF">2017-08-21T03:44:00Z</dcterms:modified>
</cp:coreProperties>
</file>