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8E2" w:rsidRPr="009A68E2" w:rsidRDefault="009A68E2" w:rsidP="009A68E2">
      <w:pPr>
        <w:pStyle w:val="NormalWeb"/>
        <w:shd w:val="clear" w:color="auto" w:fill="FFFFFF"/>
        <w:spacing w:before="0" w:beforeAutospacing="0" w:after="0" w:afterAutospacing="0" w:line="331" w:lineRule="atLeast"/>
        <w:textAlignment w:val="baseline"/>
        <w:rPr>
          <w:rStyle w:val="Strong"/>
          <w:color w:val="4D4A35"/>
          <w:sz w:val="28"/>
          <w:szCs w:val="28"/>
          <w:bdr w:val="none" w:sz="0" w:space="0" w:color="auto" w:frame="1"/>
          <w:shd w:val="clear" w:color="auto" w:fill="FFFFFF"/>
        </w:rPr>
      </w:pPr>
      <w:r w:rsidRPr="009A68E2">
        <w:rPr>
          <w:rStyle w:val="Strong"/>
          <w:color w:val="4D4A35"/>
          <w:sz w:val="28"/>
          <w:szCs w:val="28"/>
          <w:bdr w:val="none" w:sz="0" w:space="0" w:color="auto" w:frame="1"/>
          <w:shd w:val="clear" w:color="auto" w:fill="FFFFFF"/>
        </w:rPr>
        <w:t>The IAIS and A2ii</w:t>
      </w:r>
    </w:p>
    <w:p w:rsidR="009A68E2" w:rsidRPr="009A68E2" w:rsidRDefault="009A68E2" w:rsidP="009A68E2">
      <w:pPr>
        <w:pStyle w:val="NormalWeb"/>
        <w:shd w:val="clear" w:color="auto" w:fill="FFFFFF"/>
        <w:spacing w:before="0" w:beforeAutospacing="0" w:after="0" w:afterAutospacing="0" w:line="331" w:lineRule="atLeast"/>
        <w:textAlignment w:val="baseline"/>
        <w:rPr>
          <w:rStyle w:val="Strong"/>
          <w:color w:val="4D4A35"/>
          <w:sz w:val="28"/>
          <w:szCs w:val="28"/>
          <w:bdr w:val="none" w:sz="0" w:space="0" w:color="auto" w:frame="1"/>
          <w:shd w:val="clear" w:color="auto" w:fill="FFFFFF"/>
        </w:rPr>
      </w:pPr>
    </w:p>
    <w:p w:rsidR="009A68E2" w:rsidRPr="009A68E2" w:rsidRDefault="009A68E2" w:rsidP="009A68E2">
      <w:pPr>
        <w:pStyle w:val="NormalWeb"/>
        <w:shd w:val="clear" w:color="auto" w:fill="FFFFFF"/>
        <w:spacing w:before="0" w:beforeAutospacing="0" w:after="0" w:afterAutospacing="0" w:line="331" w:lineRule="atLeast"/>
        <w:ind w:firstLine="720"/>
        <w:textAlignment w:val="baseline"/>
        <w:rPr>
          <w:color w:val="4D4A35"/>
          <w:sz w:val="28"/>
          <w:szCs w:val="28"/>
        </w:rPr>
      </w:pPr>
      <w:r w:rsidRPr="009A68E2">
        <w:rPr>
          <w:color w:val="4D4A35"/>
          <w:sz w:val="28"/>
          <w:szCs w:val="28"/>
        </w:rPr>
        <w:t>T</w:t>
      </w:r>
      <w:r w:rsidRPr="009A68E2">
        <w:rPr>
          <w:color w:val="4D4A35"/>
          <w:sz w:val="28"/>
          <w:szCs w:val="28"/>
        </w:rPr>
        <w:t xml:space="preserve">he IAIS and A2ii have undertaken a collaborative </w:t>
      </w:r>
      <w:r w:rsidRPr="009A68E2">
        <w:rPr>
          <w:color w:val="4D4A35"/>
          <w:sz w:val="28"/>
          <w:szCs w:val="28"/>
        </w:rPr>
        <w:t xml:space="preserve">roadmap development process. </w:t>
      </w:r>
      <w:r w:rsidRPr="009A68E2">
        <w:rPr>
          <w:color w:val="4D4A35"/>
          <w:sz w:val="28"/>
          <w:szCs w:val="28"/>
        </w:rPr>
        <w:t>, the IAIS and A2ii can support each other’s objectives and can benefit from integrated activity.</w:t>
      </w:r>
    </w:p>
    <w:p w:rsidR="009A68E2" w:rsidRPr="009A68E2" w:rsidRDefault="009A68E2" w:rsidP="009A68E2">
      <w:pPr>
        <w:pStyle w:val="NormalWeb"/>
        <w:shd w:val="clear" w:color="auto" w:fill="FFFFFF"/>
        <w:spacing w:before="0" w:beforeAutospacing="0" w:after="0" w:afterAutospacing="0" w:line="331" w:lineRule="atLeast"/>
        <w:textAlignment w:val="baseline"/>
        <w:rPr>
          <w:color w:val="4D4A35"/>
          <w:sz w:val="28"/>
          <w:szCs w:val="28"/>
        </w:rPr>
      </w:pPr>
      <w:r w:rsidRPr="009A68E2">
        <w:rPr>
          <w:color w:val="4D4A35"/>
          <w:sz w:val="28"/>
          <w:szCs w:val="28"/>
        </w:rPr>
        <w:t>Specifically, the A2ii and IAIS will support the development of regional implementation strategies, expanded</w:t>
      </w:r>
      <w:r w:rsidRPr="009A68E2">
        <w:rPr>
          <w:rStyle w:val="apple-converted-space"/>
          <w:color w:val="4D4A35"/>
          <w:sz w:val="28"/>
          <w:szCs w:val="28"/>
        </w:rPr>
        <w:t> </w:t>
      </w:r>
      <w:r w:rsidRPr="009A68E2">
        <w:rPr>
          <w:color w:val="4D4A35"/>
          <w:sz w:val="28"/>
          <w:szCs w:val="28"/>
          <w:bdr w:val="none" w:sz="0" w:space="0" w:color="auto" w:frame="1"/>
        </w:rPr>
        <w:t>peer-to-peer learning</w:t>
      </w:r>
      <w:r w:rsidRPr="009A68E2">
        <w:rPr>
          <w:rStyle w:val="apple-converted-space"/>
          <w:color w:val="4D4A35"/>
          <w:sz w:val="28"/>
          <w:szCs w:val="28"/>
        </w:rPr>
        <w:t> </w:t>
      </w:r>
      <w:r w:rsidRPr="009A68E2">
        <w:rPr>
          <w:color w:val="4D4A35"/>
          <w:sz w:val="28"/>
          <w:szCs w:val="28"/>
        </w:rPr>
        <w:t>between insurance supervisors, and develop targeted joint capacity building initiatives and learning tools for supervisors.</w:t>
      </w:r>
    </w:p>
    <w:p w:rsidR="009A68E2" w:rsidRPr="009A68E2" w:rsidRDefault="009A68E2" w:rsidP="009A68E2">
      <w:pPr>
        <w:pStyle w:val="NormalWeb"/>
        <w:shd w:val="clear" w:color="auto" w:fill="FFFFFF"/>
        <w:spacing w:before="0" w:beforeAutospacing="0" w:after="0" w:afterAutospacing="0" w:line="331" w:lineRule="atLeast"/>
        <w:textAlignment w:val="baseline"/>
        <w:rPr>
          <w:color w:val="4D4A35"/>
          <w:sz w:val="28"/>
          <w:szCs w:val="28"/>
        </w:rPr>
      </w:pPr>
    </w:p>
    <w:p w:rsidR="009A68E2" w:rsidRPr="009A68E2" w:rsidRDefault="009A68E2" w:rsidP="009A68E2">
      <w:pPr>
        <w:pStyle w:val="NormalWeb"/>
        <w:shd w:val="clear" w:color="auto" w:fill="FFFFFF"/>
        <w:spacing w:before="0" w:beforeAutospacing="0" w:after="300" w:afterAutospacing="0" w:line="331" w:lineRule="atLeast"/>
        <w:ind w:firstLine="720"/>
        <w:textAlignment w:val="baseline"/>
        <w:rPr>
          <w:color w:val="4D4A35"/>
          <w:sz w:val="28"/>
          <w:szCs w:val="28"/>
        </w:rPr>
      </w:pPr>
      <w:r w:rsidRPr="009A68E2">
        <w:rPr>
          <w:color w:val="4D4A35"/>
          <w:sz w:val="28"/>
          <w:szCs w:val="28"/>
        </w:rPr>
        <w:t xml:space="preserve">In </w:t>
      </w:r>
      <w:r w:rsidRPr="009A68E2">
        <w:rPr>
          <w:color w:val="4D4A35"/>
          <w:sz w:val="28"/>
          <w:szCs w:val="28"/>
        </w:rPr>
        <w:t xml:space="preserve">sub-Sahara Africa, supervisors are looking at ways in which can collaborate to improve insurance supervision and regulation. In early 2014 we held a meeting in Pretoria, South Africa, where supervisors discussed the challenges they are facing and what steps they were taking to address these challenges. What emerged from our conversation is that the opportunity to learn from each other is significant and that there are common challenges where it may make sense to consider a regional approach. </w:t>
      </w:r>
    </w:p>
    <w:p w:rsidR="009A68E2" w:rsidRPr="009A68E2" w:rsidRDefault="009A68E2" w:rsidP="009A68E2">
      <w:pPr>
        <w:pStyle w:val="NormalWeb"/>
        <w:shd w:val="clear" w:color="auto" w:fill="FFFFFF"/>
        <w:spacing w:before="0" w:beforeAutospacing="0" w:after="300" w:afterAutospacing="0" w:line="331" w:lineRule="atLeast"/>
        <w:ind w:firstLine="720"/>
        <w:textAlignment w:val="baseline"/>
        <w:rPr>
          <w:color w:val="4D4A35"/>
          <w:sz w:val="28"/>
          <w:szCs w:val="28"/>
        </w:rPr>
      </w:pPr>
      <w:r w:rsidRPr="009A68E2">
        <w:rPr>
          <w:color w:val="4D4A35"/>
          <w:sz w:val="28"/>
          <w:szCs w:val="28"/>
        </w:rPr>
        <w:t>The IAIS is the umbrella under which these regional plans can be developed, while the A2ii can provide the learning tools, technical knowledge, and organizational support to keep this process moving.</w:t>
      </w:r>
    </w:p>
    <w:p w:rsidR="009A68E2" w:rsidRPr="009A68E2" w:rsidRDefault="009A68E2">
      <w:pPr>
        <w:rPr>
          <w:rFonts w:ascii="Times New Roman" w:hAnsi="Times New Roman" w:cs="Times New Roman"/>
          <w:sz w:val="28"/>
        </w:rPr>
      </w:pPr>
      <w:bookmarkStart w:id="0" w:name="_GoBack"/>
      <w:bookmarkEnd w:id="0"/>
    </w:p>
    <w:p w:rsidR="009A68E2" w:rsidRPr="009A68E2" w:rsidRDefault="009A68E2">
      <w:pPr>
        <w:rPr>
          <w:rFonts w:ascii="Times New Roman" w:hAnsi="Times New Roman" w:cs="Times New Roman"/>
          <w:sz w:val="28"/>
        </w:rPr>
      </w:pPr>
    </w:p>
    <w:p w:rsidR="009A68E2" w:rsidRPr="009A68E2" w:rsidRDefault="009A68E2" w:rsidP="009A68E2">
      <w:pPr>
        <w:ind w:left="3600" w:firstLine="720"/>
        <w:rPr>
          <w:rFonts w:ascii="Times New Roman" w:hAnsi="Times New Roman" w:cs="Times New Roman"/>
          <w:sz w:val="28"/>
        </w:rPr>
      </w:pPr>
      <w:proofErr w:type="spellStart"/>
      <w:r w:rsidRPr="009A68E2">
        <w:rPr>
          <w:rFonts w:ascii="Times New Roman" w:hAnsi="Times New Roman" w:cs="Times New Roman"/>
          <w:sz w:val="28"/>
        </w:rPr>
        <w:t>Pongsakon</w:t>
      </w:r>
      <w:proofErr w:type="spellEnd"/>
      <w:r w:rsidRPr="009A68E2">
        <w:rPr>
          <w:rFonts w:ascii="Times New Roman" w:hAnsi="Times New Roman" w:cs="Times New Roman"/>
          <w:sz w:val="28"/>
        </w:rPr>
        <w:t xml:space="preserve"> </w:t>
      </w:r>
      <w:proofErr w:type="spellStart"/>
      <w:r w:rsidRPr="009A68E2">
        <w:rPr>
          <w:rFonts w:ascii="Times New Roman" w:hAnsi="Times New Roman" w:cs="Times New Roman"/>
          <w:sz w:val="28"/>
        </w:rPr>
        <w:t>Taksintaveesup</w:t>
      </w:r>
      <w:proofErr w:type="spellEnd"/>
      <w:r w:rsidRPr="009A68E2">
        <w:rPr>
          <w:rFonts w:ascii="Times New Roman" w:hAnsi="Times New Roman" w:cs="Times New Roman"/>
          <w:sz w:val="28"/>
        </w:rPr>
        <w:t xml:space="preserve"> 5604641281</w:t>
      </w:r>
    </w:p>
    <w:sectPr w:rsidR="009A68E2" w:rsidRPr="009A68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8E2"/>
    <w:rsid w:val="009A68E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8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A68E2"/>
    <w:rPr>
      <w:color w:val="0000FF"/>
      <w:u w:val="single"/>
    </w:rPr>
  </w:style>
  <w:style w:type="character" w:customStyle="1" w:styleId="apple-converted-space">
    <w:name w:val="apple-converted-space"/>
    <w:basedOn w:val="DefaultParagraphFont"/>
    <w:rsid w:val="009A68E2"/>
  </w:style>
  <w:style w:type="character" w:styleId="Strong">
    <w:name w:val="Strong"/>
    <w:basedOn w:val="DefaultParagraphFont"/>
    <w:uiPriority w:val="22"/>
    <w:qFormat/>
    <w:rsid w:val="009A68E2"/>
    <w:rPr>
      <w:b/>
      <w:bCs/>
    </w:rPr>
  </w:style>
  <w:style w:type="character" w:styleId="Emphasis">
    <w:name w:val="Emphasis"/>
    <w:basedOn w:val="DefaultParagraphFont"/>
    <w:uiPriority w:val="20"/>
    <w:qFormat/>
    <w:rsid w:val="009A68E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8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A68E2"/>
    <w:rPr>
      <w:color w:val="0000FF"/>
      <w:u w:val="single"/>
    </w:rPr>
  </w:style>
  <w:style w:type="character" w:customStyle="1" w:styleId="apple-converted-space">
    <w:name w:val="apple-converted-space"/>
    <w:basedOn w:val="DefaultParagraphFont"/>
    <w:rsid w:val="009A68E2"/>
  </w:style>
  <w:style w:type="character" w:styleId="Strong">
    <w:name w:val="Strong"/>
    <w:basedOn w:val="DefaultParagraphFont"/>
    <w:uiPriority w:val="22"/>
    <w:qFormat/>
    <w:rsid w:val="009A68E2"/>
    <w:rPr>
      <w:b/>
      <w:bCs/>
    </w:rPr>
  </w:style>
  <w:style w:type="character" w:styleId="Emphasis">
    <w:name w:val="Emphasis"/>
    <w:basedOn w:val="DefaultParagraphFont"/>
    <w:uiPriority w:val="20"/>
    <w:qFormat/>
    <w:rsid w:val="009A68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44982">
      <w:bodyDiv w:val="1"/>
      <w:marLeft w:val="0"/>
      <w:marRight w:val="0"/>
      <w:marTop w:val="0"/>
      <w:marBottom w:val="0"/>
      <w:divBdr>
        <w:top w:val="none" w:sz="0" w:space="0" w:color="auto"/>
        <w:left w:val="none" w:sz="0" w:space="0" w:color="auto"/>
        <w:bottom w:val="none" w:sz="0" w:space="0" w:color="auto"/>
        <w:right w:val="none" w:sz="0" w:space="0" w:color="auto"/>
      </w:divBdr>
    </w:div>
    <w:div w:id="1920016136">
      <w:bodyDiv w:val="1"/>
      <w:marLeft w:val="0"/>
      <w:marRight w:val="0"/>
      <w:marTop w:val="0"/>
      <w:marBottom w:val="0"/>
      <w:divBdr>
        <w:top w:val="none" w:sz="0" w:space="0" w:color="auto"/>
        <w:left w:val="none" w:sz="0" w:space="0" w:color="auto"/>
        <w:bottom w:val="none" w:sz="0" w:space="0" w:color="auto"/>
        <w:right w:val="none" w:sz="0" w:space="0" w:color="auto"/>
      </w:divBdr>
    </w:div>
    <w:div w:id="213282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PONGSAKON TAKSINTAVEESUP</dc:creator>
  <cp:lastModifiedBy>Mr. PONGSAKON TAKSINTAVEESUP</cp:lastModifiedBy>
  <cp:revision>1</cp:revision>
  <dcterms:created xsi:type="dcterms:W3CDTF">2016-04-07T05:10:00Z</dcterms:created>
  <dcterms:modified xsi:type="dcterms:W3CDTF">2016-04-07T05:20:00Z</dcterms:modified>
</cp:coreProperties>
</file>