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EAF" w:rsidRDefault="00047EAF"/>
    <w:p w:rsidR="00047EAF" w:rsidRDefault="00047EAF"/>
    <w:p w:rsidR="00047EAF" w:rsidRDefault="00047EAF" w:rsidP="00047EAF">
      <w:pPr>
        <w:spacing w:after="0" w:line="240" w:lineRule="auto"/>
        <w:rPr>
          <w:rFonts w:ascii="Arial" w:eastAsia="Times New Roman" w:hAnsi="Arial" w:cs="Arial"/>
          <w:color w:val="666666"/>
          <w:sz w:val="20"/>
          <w:szCs w:val="20"/>
        </w:rPr>
      </w:pPr>
      <w:r>
        <w:rPr>
          <w:noProof/>
        </w:rPr>
        <w:drawing>
          <wp:inline distT="0" distB="0" distL="0" distR="0" wp14:anchorId="641D1007" wp14:editId="49FCD70D">
            <wp:extent cx="5739765" cy="3488690"/>
            <wp:effectExtent l="0" t="0" r="13335" b="165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47EAF" w:rsidRDefault="00047EAF" w:rsidP="00047EAF">
      <w:pPr>
        <w:spacing w:after="0" w:line="240" w:lineRule="auto"/>
        <w:rPr>
          <w:sz w:val="36"/>
          <w:szCs w:val="44"/>
        </w:rPr>
      </w:pPr>
    </w:p>
    <w:p w:rsidR="00047EAF" w:rsidRDefault="00047EAF" w:rsidP="00047EAF">
      <w:pPr>
        <w:spacing w:after="0" w:line="240" w:lineRule="auto"/>
        <w:rPr>
          <w:sz w:val="32"/>
          <w:szCs w:val="40"/>
        </w:rPr>
      </w:pPr>
    </w:p>
    <w:p w:rsidR="00047EAF" w:rsidRPr="00047EAF" w:rsidRDefault="00047EAF" w:rsidP="00047EAF">
      <w:pPr>
        <w:spacing w:after="0" w:line="240" w:lineRule="auto"/>
        <w:rPr>
          <w:b/>
          <w:bCs/>
          <w:sz w:val="32"/>
          <w:szCs w:val="40"/>
        </w:rPr>
      </w:pPr>
      <w:r w:rsidRPr="00047EAF">
        <w:rPr>
          <w:b/>
          <w:bCs/>
          <w:sz w:val="32"/>
          <w:szCs w:val="40"/>
        </w:rPr>
        <w:t>Grap</w:t>
      </w:r>
      <w:r w:rsidRPr="00047EAF">
        <w:rPr>
          <w:b/>
          <w:bCs/>
          <w:sz w:val="32"/>
          <w:szCs w:val="40"/>
        </w:rPr>
        <w:t>h</w:t>
      </w:r>
      <w:r>
        <w:rPr>
          <w:b/>
          <w:bCs/>
          <w:sz w:val="32"/>
          <w:szCs w:val="40"/>
        </w:rPr>
        <w:t xml:space="preserve"> </w:t>
      </w:r>
      <w:r w:rsidRPr="00047EAF">
        <w:rPr>
          <w:b/>
          <w:bCs/>
          <w:sz w:val="32"/>
          <w:szCs w:val="40"/>
        </w:rPr>
        <w:t xml:space="preserve">1 </w:t>
      </w:r>
    </w:p>
    <w:p w:rsidR="00047EAF" w:rsidRDefault="00047EAF" w:rsidP="00047EAF">
      <w:pPr>
        <w:spacing w:after="0" w:line="240" w:lineRule="auto"/>
        <w:rPr>
          <w:sz w:val="32"/>
          <w:szCs w:val="40"/>
        </w:rPr>
      </w:pPr>
      <w:r>
        <w:rPr>
          <w:sz w:val="32"/>
          <w:szCs w:val="40"/>
        </w:rPr>
        <w:t>This graph shows the relationship between GNI and Depth of the food deficit.</w:t>
      </w:r>
    </w:p>
    <w:p w:rsidR="00047EAF" w:rsidRDefault="00047EAF" w:rsidP="00047EAF">
      <w:pPr>
        <w:spacing w:after="0" w:line="240" w:lineRule="auto"/>
        <w:rPr>
          <w:sz w:val="32"/>
          <w:szCs w:val="40"/>
        </w:rPr>
      </w:pPr>
      <w:r>
        <w:rPr>
          <w:sz w:val="32"/>
          <w:szCs w:val="40"/>
        </w:rPr>
        <w:t xml:space="preserve">Depth of the food deficit shows how much </w:t>
      </w:r>
      <w:proofErr w:type="gramStart"/>
      <w:r>
        <w:rPr>
          <w:sz w:val="32"/>
          <w:szCs w:val="40"/>
        </w:rPr>
        <w:t>calories is</w:t>
      </w:r>
      <w:proofErr w:type="gramEnd"/>
      <w:r>
        <w:rPr>
          <w:sz w:val="32"/>
          <w:szCs w:val="40"/>
        </w:rPr>
        <w:t xml:space="preserve"> need to exceed the undernourished.  </w:t>
      </w:r>
    </w:p>
    <w:p w:rsidR="00047EAF" w:rsidRDefault="00047EAF" w:rsidP="00047EAF">
      <w:pPr>
        <w:rPr>
          <w:sz w:val="32"/>
          <w:szCs w:val="40"/>
        </w:rPr>
      </w:pPr>
      <w:r>
        <w:rPr>
          <w:sz w:val="32"/>
          <w:szCs w:val="40"/>
        </w:rPr>
        <w:t>From the graph we can see that the more GNI, the less depth of food deficit because developed country’s population have high income to buy enough food. But some underdeveloped countries’ income, we clearly see that they have high depth of food deficit because they have low income that need to buy subsistence thing such as food, shelter, and clothing. This can show the standard of living of people how they live with low amount of food such as Central Africa.</w:t>
      </w:r>
    </w:p>
    <w:p w:rsidR="00047EAF" w:rsidRDefault="00047EAF"/>
    <w:p w:rsidR="00047EAF" w:rsidRDefault="00047EAF"/>
    <w:p w:rsidR="00047EAF" w:rsidRDefault="00047EAF"/>
    <w:p w:rsidR="007F3946" w:rsidRDefault="00EB01B1">
      <w:r>
        <w:rPr>
          <w:noProof/>
        </w:rPr>
        <w:lastRenderedPageBreak/>
        <w:drawing>
          <wp:inline distT="0" distB="0" distL="0" distR="0" wp14:anchorId="3DB47013" wp14:editId="0E5B2928">
            <wp:extent cx="5731510" cy="2192180"/>
            <wp:effectExtent l="0" t="0" r="2159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B01B1" w:rsidRPr="00BA27FE" w:rsidRDefault="00EB01B1">
      <w:pPr>
        <w:rPr>
          <w:sz w:val="36"/>
          <w:szCs w:val="44"/>
        </w:rPr>
      </w:pPr>
    </w:p>
    <w:p w:rsidR="00047EAF" w:rsidRPr="00047EAF" w:rsidRDefault="00047EAF">
      <w:pPr>
        <w:rPr>
          <w:rFonts w:cs="Arial"/>
          <w:b/>
          <w:bCs/>
          <w:sz w:val="32"/>
          <w:szCs w:val="32"/>
          <w:shd w:val="clear" w:color="auto" w:fill="FFFFFF"/>
        </w:rPr>
      </w:pPr>
      <w:r w:rsidRPr="00047EAF">
        <w:rPr>
          <w:rFonts w:cs="Arial"/>
          <w:b/>
          <w:bCs/>
          <w:sz w:val="32"/>
          <w:szCs w:val="32"/>
          <w:shd w:val="clear" w:color="auto" w:fill="FFFFFF"/>
        </w:rPr>
        <w:t>Gra</w:t>
      </w:r>
      <w:r w:rsidR="00ED3A0A">
        <w:rPr>
          <w:rFonts w:cs="Arial"/>
          <w:b/>
          <w:bCs/>
          <w:sz w:val="32"/>
          <w:szCs w:val="32"/>
          <w:shd w:val="clear" w:color="auto" w:fill="FFFFFF"/>
        </w:rPr>
        <w:t>p</w:t>
      </w:r>
      <w:bookmarkStart w:id="0" w:name="_GoBack"/>
      <w:bookmarkEnd w:id="0"/>
      <w:r w:rsidRPr="00047EAF">
        <w:rPr>
          <w:rFonts w:cs="Arial"/>
          <w:b/>
          <w:bCs/>
          <w:sz w:val="32"/>
          <w:szCs w:val="32"/>
          <w:shd w:val="clear" w:color="auto" w:fill="FFFFFF"/>
        </w:rPr>
        <w:t>h</w:t>
      </w:r>
      <w:r>
        <w:rPr>
          <w:rFonts w:cs="Arial"/>
          <w:b/>
          <w:bCs/>
          <w:sz w:val="32"/>
          <w:szCs w:val="32"/>
          <w:shd w:val="clear" w:color="auto" w:fill="FFFFFF"/>
        </w:rPr>
        <w:t xml:space="preserve"> </w:t>
      </w:r>
      <w:r w:rsidRPr="00047EAF">
        <w:rPr>
          <w:rFonts w:cs="Arial"/>
          <w:b/>
          <w:bCs/>
          <w:sz w:val="32"/>
          <w:szCs w:val="32"/>
          <w:shd w:val="clear" w:color="auto" w:fill="FFFFFF"/>
        </w:rPr>
        <w:t>2</w:t>
      </w:r>
    </w:p>
    <w:p w:rsidR="008F163B" w:rsidRPr="00E626DC" w:rsidRDefault="00EB01B1">
      <w:pPr>
        <w:rPr>
          <w:rFonts w:cs="Arial"/>
          <w:sz w:val="32"/>
          <w:szCs w:val="32"/>
          <w:shd w:val="clear" w:color="auto" w:fill="FFFFFF"/>
        </w:rPr>
      </w:pPr>
      <w:r w:rsidRPr="00E626DC">
        <w:rPr>
          <w:rFonts w:cs="Arial"/>
          <w:sz w:val="32"/>
          <w:szCs w:val="32"/>
          <w:shd w:val="clear" w:color="auto" w:fill="FFFFFF"/>
        </w:rPr>
        <w:t>Crude birth rate shows the number of live births per 1,000 midyear population.</w:t>
      </w:r>
    </w:p>
    <w:p w:rsidR="00EB01B1" w:rsidRDefault="00BA27FE">
      <w:pPr>
        <w:rPr>
          <w:rFonts w:cs="Arial"/>
          <w:sz w:val="32"/>
          <w:szCs w:val="32"/>
          <w:shd w:val="clear" w:color="auto" w:fill="FFFFFF"/>
        </w:rPr>
      </w:pPr>
      <w:r w:rsidRPr="00E626DC">
        <w:rPr>
          <w:rFonts w:cs="Arial"/>
          <w:sz w:val="32"/>
          <w:szCs w:val="32"/>
          <w:shd w:val="clear" w:color="auto" w:fill="FFFFFF"/>
        </w:rPr>
        <w:t>T</w:t>
      </w:r>
      <w:r w:rsidR="00EB01B1" w:rsidRPr="00E626DC">
        <w:rPr>
          <w:rFonts w:cs="Arial"/>
          <w:sz w:val="32"/>
          <w:szCs w:val="32"/>
          <w:shd w:val="clear" w:color="auto" w:fill="FFFFFF"/>
        </w:rPr>
        <w:t>he graph from year 1994 to 2016, it show</w:t>
      </w:r>
      <w:r w:rsidRPr="00E626DC">
        <w:rPr>
          <w:rFonts w:cs="Arial"/>
          <w:sz w:val="32"/>
          <w:szCs w:val="32"/>
          <w:shd w:val="clear" w:color="auto" w:fill="FFFFFF"/>
        </w:rPr>
        <w:t>s</w:t>
      </w:r>
      <w:r w:rsidR="00EB01B1" w:rsidRPr="00E626DC">
        <w:rPr>
          <w:rFonts w:cs="Arial"/>
          <w:sz w:val="32"/>
          <w:szCs w:val="32"/>
          <w:shd w:val="clear" w:color="auto" w:fill="FFFFFF"/>
        </w:rPr>
        <w:t xml:space="preserve"> that the number of live births per 1,000</w:t>
      </w:r>
      <w:r w:rsidRPr="00E626DC">
        <w:rPr>
          <w:rFonts w:cs="Arial"/>
          <w:sz w:val="32"/>
          <w:szCs w:val="32"/>
          <w:shd w:val="clear" w:color="auto" w:fill="FFFFFF"/>
        </w:rPr>
        <w:t xml:space="preserve"> people decrease </w:t>
      </w:r>
      <w:r w:rsidR="00EB01B1" w:rsidRPr="00E626DC">
        <w:rPr>
          <w:rFonts w:cs="Arial"/>
          <w:sz w:val="32"/>
          <w:szCs w:val="32"/>
          <w:shd w:val="clear" w:color="auto" w:fill="FFFFFF"/>
        </w:rPr>
        <w:t xml:space="preserve">across the year. </w:t>
      </w:r>
      <w:r w:rsidRPr="00E626DC">
        <w:rPr>
          <w:rFonts w:cs="Arial"/>
          <w:sz w:val="32"/>
          <w:szCs w:val="32"/>
          <w:shd w:val="clear" w:color="auto" w:fill="FFFFFF"/>
        </w:rPr>
        <w:t> The crude </w:t>
      </w:r>
      <w:hyperlink r:id="rId9" w:tooltip="Birth rate" w:history="1">
        <w:r w:rsidRPr="00E626DC">
          <w:rPr>
            <w:rFonts w:cs="Arial"/>
            <w:sz w:val="32"/>
            <w:szCs w:val="32"/>
            <w:shd w:val="clear" w:color="auto" w:fill="FFFFFF"/>
          </w:rPr>
          <w:t>birth rate</w:t>
        </w:r>
      </w:hyperlink>
      <w:r w:rsidRPr="00E626DC">
        <w:rPr>
          <w:rFonts w:cs="Arial"/>
          <w:sz w:val="32"/>
          <w:szCs w:val="32"/>
          <w:shd w:val="clear" w:color="auto" w:fill="FFFFFF"/>
        </w:rPr>
        <w:t> subtracting the crude </w:t>
      </w:r>
      <w:hyperlink r:id="rId10" w:tooltip="Death rate" w:history="1">
        <w:r w:rsidRPr="00E626DC">
          <w:rPr>
            <w:rFonts w:cs="Arial"/>
            <w:sz w:val="32"/>
            <w:szCs w:val="32"/>
            <w:shd w:val="clear" w:color="auto" w:fill="FFFFFF"/>
          </w:rPr>
          <w:t>death rate</w:t>
        </w:r>
      </w:hyperlink>
      <w:r w:rsidRPr="00E626DC">
        <w:rPr>
          <w:rFonts w:cs="Arial"/>
          <w:sz w:val="32"/>
          <w:szCs w:val="32"/>
          <w:shd w:val="clear" w:color="auto" w:fill="FFFFFF"/>
        </w:rPr>
        <w:t xml:space="preserve"> gets the rate of natural increase .This rate shows how country's population is growing and exclude the migration. Three countries birth rate decr</w:t>
      </w:r>
      <w:r w:rsidR="00B850FF" w:rsidRPr="00E626DC">
        <w:rPr>
          <w:rFonts w:cs="Arial"/>
          <w:sz w:val="32"/>
          <w:szCs w:val="32"/>
          <w:shd w:val="clear" w:color="auto" w:fill="FFFFFF"/>
        </w:rPr>
        <w:t xml:space="preserve">ease but in 2005, the birth rate </w:t>
      </w:r>
      <w:r w:rsidR="002B76A9" w:rsidRPr="00E626DC">
        <w:rPr>
          <w:rFonts w:cs="Arial"/>
          <w:sz w:val="32"/>
          <w:szCs w:val="32"/>
          <w:shd w:val="clear" w:color="auto" w:fill="FFFFFF"/>
        </w:rPr>
        <w:t>slightly</w:t>
      </w:r>
      <w:r w:rsidRPr="00E626DC">
        <w:rPr>
          <w:rFonts w:cs="Arial"/>
          <w:sz w:val="32"/>
          <w:szCs w:val="32"/>
          <w:shd w:val="clear" w:color="auto" w:fill="FFFFFF"/>
        </w:rPr>
        <w:t xml:space="preserve"> increase</w:t>
      </w:r>
      <w:r w:rsidR="00B850FF" w:rsidRPr="00E626DC">
        <w:rPr>
          <w:rFonts w:cs="Arial"/>
          <w:sz w:val="32"/>
          <w:szCs w:val="32"/>
          <w:shd w:val="clear" w:color="auto" w:fill="FFFFFF"/>
        </w:rPr>
        <w:t>d</w:t>
      </w:r>
      <w:r w:rsidRPr="00E626DC">
        <w:rPr>
          <w:rFonts w:cs="Arial"/>
          <w:sz w:val="32"/>
          <w:szCs w:val="32"/>
          <w:shd w:val="clear" w:color="auto" w:fill="FFFFFF"/>
        </w:rPr>
        <w:t xml:space="preserve">. The </w:t>
      </w:r>
      <w:r w:rsidR="001754D2" w:rsidRPr="00E626DC">
        <w:rPr>
          <w:rFonts w:cs="Arial"/>
          <w:sz w:val="32"/>
          <w:szCs w:val="32"/>
          <w:shd w:val="clear" w:color="auto" w:fill="FFFFFF"/>
        </w:rPr>
        <w:t xml:space="preserve">reason </w:t>
      </w:r>
      <w:r w:rsidRPr="00E626DC">
        <w:rPr>
          <w:rFonts w:cs="Arial"/>
          <w:sz w:val="32"/>
          <w:szCs w:val="32"/>
          <w:shd w:val="clear" w:color="auto" w:fill="FFFFFF"/>
        </w:rPr>
        <w:t>that the birthrate drop</w:t>
      </w:r>
      <w:r w:rsidR="001754D2" w:rsidRPr="00E626DC">
        <w:rPr>
          <w:rFonts w:cs="Arial"/>
          <w:sz w:val="32"/>
          <w:szCs w:val="32"/>
          <w:shd w:val="clear" w:color="auto" w:fill="FFFFFF"/>
        </w:rPr>
        <w:t xml:space="preserve"> in developed country because they have knowledge to </w:t>
      </w:r>
      <w:r w:rsidRPr="00E626DC">
        <w:rPr>
          <w:rFonts w:cs="Arial"/>
          <w:sz w:val="32"/>
          <w:szCs w:val="32"/>
          <w:shd w:val="clear" w:color="auto" w:fill="FFFFFF"/>
        </w:rPr>
        <w:t>control</w:t>
      </w:r>
      <w:r w:rsidR="001754D2" w:rsidRPr="00E626DC">
        <w:rPr>
          <w:rFonts w:cs="Arial"/>
          <w:sz w:val="32"/>
          <w:szCs w:val="32"/>
          <w:shd w:val="clear" w:color="auto" w:fill="FFFFFF"/>
        </w:rPr>
        <w:t xml:space="preserve"> birth using contraception. </w:t>
      </w:r>
      <w:r w:rsidR="00CF6CC7">
        <w:rPr>
          <w:rFonts w:cs="Arial"/>
          <w:sz w:val="32"/>
          <w:szCs w:val="32"/>
          <w:shd w:val="clear" w:color="auto" w:fill="FFFFFF"/>
        </w:rPr>
        <w:t>Another reason is that t</w:t>
      </w:r>
      <w:r w:rsidR="001754D2" w:rsidRPr="00E626DC">
        <w:rPr>
          <w:rFonts w:cs="Arial"/>
          <w:sz w:val="32"/>
          <w:szCs w:val="32"/>
          <w:shd w:val="clear" w:color="auto" w:fill="FFFFFF"/>
        </w:rPr>
        <w:t>he cost of having children is rising. So parents tend to give low birth.</w:t>
      </w:r>
    </w:p>
    <w:p w:rsidR="00047EAF" w:rsidRDefault="00047EAF">
      <w:pPr>
        <w:rPr>
          <w:rFonts w:cs="Arial"/>
          <w:sz w:val="32"/>
          <w:szCs w:val="32"/>
          <w:shd w:val="clear" w:color="auto" w:fill="FFFFFF"/>
        </w:rPr>
      </w:pPr>
    </w:p>
    <w:p w:rsidR="00047EAF" w:rsidRDefault="00047EAF" w:rsidP="00047EAF">
      <w:pPr>
        <w:spacing w:after="0" w:line="240" w:lineRule="auto"/>
        <w:rPr>
          <w:sz w:val="32"/>
          <w:szCs w:val="40"/>
        </w:rPr>
      </w:pPr>
      <w:r>
        <w:rPr>
          <w:rFonts w:ascii="Arial" w:eastAsia="Times New Roman" w:hAnsi="Arial" w:cs="Arial"/>
          <w:color w:val="666666"/>
          <w:sz w:val="20"/>
          <w:szCs w:val="20"/>
        </w:rPr>
        <w:br/>
      </w:r>
    </w:p>
    <w:p w:rsidR="00047EAF" w:rsidRPr="00E626DC" w:rsidRDefault="00047EAF">
      <w:pPr>
        <w:rPr>
          <w:rFonts w:cs="Arial"/>
          <w:sz w:val="32"/>
          <w:szCs w:val="32"/>
          <w:shd w:val="clear" w:color="auto" w:fill="FFFFFF"/>
        </w:rPr>
      </w:pPr>
    </w:p>
    <w:sectPr w:rsidR="00047EAF" w:rsidRPr="00E626D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441" w:rsidRDefault="00D54441" w:rsidP="002B76A9">
      <w:pPr>
        <w:spacing w:after="0" w:line="240" w:lineRule="auto"/>
      </w:pPr>
      <w:r>
        <w:separator/>
      </w:r>
    </w:p>
  </w:endnote>
  <w:endnote w:type="continuationSeparator" w:id="0">
    <w:p w:rsidR="00D54441" w:rsidRDefault="00D54441" w:rsidP="002B7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441" w:rsidRDefault="00D54441" w:rsidP="002B76A9">
      <w:pPr>
        <w:spacing w:after="0" w:line="240" w:lineRule="auto"/>
      </w:pPr>
      <w:r>
        <w:separator/>
      </w:r>
    </w:p>
  </w:footnote>
  <w:footnote w:type="continuationSeparator" w:id="0">
    <w:p w:rsidR="00D54441" w:rsidRDefault="00D54441" w:rsidP="002B76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6A9" w:rsidRDefault="002B76A9">
    <w:pPr>
      <w:pStyle w:val="Header"/>
    </w:pPr>
    <w:r>
      <w:t xml:space="preserve">5704641538 </w:t>
    </w:r>
    <w:proofErr w:type="spellStart"/>
    <w:r>
      <w:t>Patcharadon</w:t>
    </w:r>
    <w:proofErr w:type="spellEnd"/>
    <w:r>
      <w:t xml:space="preserve"> </w:t>
    </w:r>
    <w:proofErr w:type="spellStart"/>
    <w:r>
      <w:t>Cherngwiwatkij</w:t>
    </w:r>
    <w:proofErr w:type="spellEnd"/>
  </w:p>
  <w:p w:rsidR="002B76A9" w:rsidRDefault="002B76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1B1"/>
    <w:rsid w:val="00047EAF"/>
    <w:rsid w:val="00103559"/>
    <w:rsid w:val="001754D2"/>
    <w:rsid w:val="001E42E3"/>
    <w:rsid w:val="002B76A9"/>
    <w:rsid w:val="004E52E3"/>
    <w:rsid w:val="00547B5D"/>
    <w:rsid w:val="00594A2E"/>
    <w:rsid w:val="007F3946"/>
    <w:rsid w:val="008F163B"/>
    <w:rsid w:val="00B0529D"/>
    <w:rsid w:val="00B850FF"/>
    <w:rsid w:val="00BA27FE"/>
    <w:rsid w:val="00BD6827"/>
    <w:rsid w:val="00CD2B44"/>
    <w:rsid w:val="00CF6CC7"/>
    <w:rsid w:val="00D54441"/>
    <w:rsid w:val="00E626DC"/>
    <w:rsid w:val="00EB01B1"/>
    <w:rsid w:val="00ED3A0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01B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B01B1"/>
    <w:rPr>
      <w:rFonts w:ascii="Tahoma" w:hAnsi="Tahoma" w:cs="Angsana New"/>
      <w:sz w:val="16"/>
      <w:szCs w:val="20"/>
    </w:rPr>
  </w:style>
  <w:style w:type="character" w:styleId="Hyperlink">
    <w:name w:val="Hyperlink"/>
    <w:basedOn w:val="DefaultParagraphFont"/>
    <w:uiPriority w:val="99"/>
    <w:semiHidden/>
    <w:unhideWhenUsed/>
    <w:rsid w:val="00BA27FE"/>
    <w:rPr>
      <w:color w:val="0000FF"/>
      <w:u w:val="single"/>
    </w:rPr>
  </w:style>
  <w:style w:type="paragraph" w:styleId="Header">
    <w:name w:val="header"/>
    <w:basedOn w:val="Normal"/>
    <w:link w:val="HeaderChar"/>
    <w:uiPriority w:val="99"/>
    <w:unhideWhenUsed/>
    <w:rsid w:val="002B7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6A9"/>
  </w:style>
  <w:style w:type="paragraph" w:styleId="Footer">
    <w:name w:val="footer"/>
    <w:basedOn w:val="Normal"/>
    <w:link w:val="FooterChar"/>
    <w:uiPriority w:val="99"/>
    <w:unhideWhenUsed/>
    <w:rsid w:val="002B7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6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01B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B01B1"/>
    <w:rPr>
      <w:rFonts w:ascii="Tahoma" w:hAnsi="Tahoma" w:cs="Angsana New"/>
      <w:sz w:val="16"/>
      <w:szCs w:val="20"/>
    </w:rPr>
  </w:style>
  <w:style w:type="character" w:styleId="Hyperlink">
    <w:name w:val="Hyperlink"/>
    <w:basedOn w:val="DefaultParagraphFont"/>
    <w:uiPriority w:val="99"/>
    <w:semiHidden/>
    <w:unhideWhenUsed/>
    <w:rsid w:val="00BA27FE"/>
    <w:rPr>
      <w:color w:val="0000FF"/>
      <w:u w:val="single"/>
    </w:rPr>
  </w:style>
  <w:style w:type="paragraph" w:styleId="Header">
    <w:name w:val="header"/>
    <w:basedOn w:val="Normal"/>
    <w:link w:val="HeaderChar"/>
    <w:uiPriority w:val="99"/>
    <w:unhideWhenUsed/>
    <w:rsid w:val="002B7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6A9"/>
  </w:style>
  <w:style w:type="paragraph" w:styleId="Footer">
    <w:name w:val="footer"/>
    <w:basedOn w:val="Normal"/>
    <w:link w:val="FooterChar"/>
    <w:uiPriority w:val="99"/>
    <w:unhideWhenUsed/>
    <w:rsid w:val="002B7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390802">
      <w:bodyDiv w:val="1"/>
      <w:marLeft w:val="0"/>
      <w:marRight w:val="0"/>
      <w:marTop w:val="0"/>
      <w:marBottom w:val="0"/>
      <w:divBdr>
        <w:top w:val="none" w:sz="0" w:space="0" w:color="auto"/>
        <w:left w:val="none" w:sz="0" w:space="0" w:color="auto"/>
        <w:bottom w:val="none" w:sz="0" w:space="0" w:color="auto"/>
        <w:right w:val="none" w:sz="0" w:space="0" w:color="auto"/>
      </w:divBdr>
    </w:div>
    <w:div w:id="76874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n.wikipedia.org/wiki/Death_rate" TargetMode="External"/><Relationship Id="rId4" Type="http://schemas.openxmlformats.org/officeDocument/2006/relationships/webSettings" Target="webSettings.xml"/><Relationship Id="rId9" Type="http://schemas.openxmlformats.org/officeDocument/2006/relationships/hyperlink" Target="https://en.wikipedia.org/wiki/Birth_rat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g\Downloads\Data_Extract_From_World_Development_Indicators%20(1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g\Desktop\461\assign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h-T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i="0" u="none" strike="noStrike" baseline="0">
                <a:effectLst/>
              </a:rPr>
              <a:t/>
            </a:r>
            <a:br>
              <a:rPr lang="en-US" sz="1800" b="1" i="0" u="none" strike="noStrike" baseline="0">
                <a:effectLst/>
              </a:rPr>
            </a:br>
            <a:r>
              <a:rPr lang="en-US" sz="1800" b="1" i="0" u="none" strike="noStrike" baseline="0">
                <a:effectLst/>
              </a:rPr>
              <a:t>Depth of the food deficit (kilocalories per person per day)</a:t>
            </a:r>
            <a:endParaRPr lang="en-US"/>
          </a:p>
        </c:rich>
      </c:tx>
      <c:overlay val="0"/>
    </c:title>
    <c:autoTitleDeleted val="0"/>
    <c:plotArea>
      <c:layout/>
      <c:scatterChart>
        <c:scatterStyle val="lineMarker"/>
        <c:varyColors val="0"/>
        <c:ser>
          <c:idx val="0"/>
          <c:order val="0"/>
          <c:tx>
            <c:strRef>
              <c:f>'[Data_Extract_From_World_Development_Indicators (12).xlsx]Data'!$I$2:$I$256</c:f>
              <c:strCache>
                <c:ptCount val="1"/>
                <c:pt idx="0">
                  <c:v>57 .. .. 166 .. 21 .. .. 96 .. 3 45 .. .. .. 13 .. .. 120 23 .. .. 41 52 .. .. 109 .. 183 11 .. 13 .. 167 .. 72 102 64 .. .. 349 276 .. 22 78 67 .. .. 196 39 94 .. 8 .. .. .. .. 130 .. 88 72 12 86 .. .. .. 190 244 .. 30 .. .. .. 19 33 60 .. 22 .. .. .. ..</c:v>
                </c:pt>
              </c:strCache>
            </c:strRef>
          </c:tx>
          <c:spPr>
            <a:ln w="28575">
              <a:noFill/>
            </a:ln>
          </c:spPr>
          <c:xVal>
            <c:numRef>
              <c:f>'[Data_Extract_From_World_Development_Indicators (12).xlsx]Data'!$H$153:$H$264</c:f>
              <c:numCache>
                <c:formatCode>General</c:formatCode>
                <c:ptCount val="43"/>
                <c:pt idx="0">
                  <c:v>174730823147.98984</c:v>
                </c:pt>
                <c:pt idx="1">
                  <c:v>1004747798608.9344</c:v>
                </c:pt>
                <c:pt idx="2">
                  <c:v>79289367026.657913</c:v>
                </c:pt>
                <c:pt idx="3">
                  <c:v>75881933456.781464</c:v>
                </c:pt>
                <c:pt idx="4">
                  <c:v>900689296521.59644</c:v>
                </c:pt>
                <c:pt idx="5">
                  <c:v>1124224394.7073808</c:v>
                </c:pt>
                <c:pt idx="6">
                  <c:v>611778852.22102022</c:v>
                </c:pt>
                <c:pt idx="7">
                  <c:v>1754039080442.0503</c:v>
                </c:pt>
                <c:pt idx="8">
                  <c:v>45573902744.227066</c:v>
                </c:pt>
                <c:pt idx="9">
                  <c:v>1305436449.6405625</c:v>
                </c:pt>
                <c:pt idx="10">
                  <c:v>710713970959.74084</c:v>
                </c:pt>
                <c:pt idx="11">
                  <c:v>136435473750.8434</c:v>
                </c:pt>
                <c:pt idx="12">
                  <c:v>8835389360.1924744</c:v>
                </c:pt>
                <c:pt idx="13">
                  <c:v>11826724959.765955</c:v>
                </c:pt>
                <c:pt idx="14">
                  <c:v>45204437431.781509</c:v>
                </c:pt>
                <c:pt idx="15">
                  <c:v>1922818326171.1216</c:v>
                </c:pt>
                <c:pt idx="16">
                  <c:v>69930681817.394196</c:v>
                </c:pt>
                <c:pt idx="17">
                  <c:v>652082244119.19031</c:v>
                </c:pt>
                <c:pt idx="18">
                  <c:v>194128698214.98032</c:v>
                </c:pt>
                <c:pt idx="19">
                  <c:v>773293506.66078246</c:v>
                </c:pt>
                <c:pt idx="20">
                  <c:v>85113419548.490799</c:v>
                </c:pt>
                <c:pt idx="21">
                  <c:v>33244167434.147137</c:v>
                </c:pt>
                <c:pt idx="22">
                  <c:v>111377254460.06271</c:v>
                </c:pt>
                <c:pt idx="23">
                  <c:v>27344529745023.059</c:v>
                </c:pt>
                <c:pt idx="24">
                  <c:v>26273810519802.641</c:v>
                </c:pt>
                <c:pt idx="25">
                  <c:v>1563583259023.0115</c:v>
                </c:pt>
                <c:pt idx="26">
                  <c:v>56756522012671.617</c:v>
                </c:pt>
                <c:pt idx="27">
                  <c:v>2649902712545.8496</c:v>
                </c:pt>
                <c:pt idx="28">
                  <c:v>5488252464921.0215</c:v>
                </c:pt>
                <c:pt idx="29">
                  <c:v>9407292348232.418</c:v>
                </c:pt>
                <c:pt idx="30">
                  <c:v>9150387429959.5254</c:v>
                </c:pt>
                <c:pt idx="31">
                  <c:v>59921197430871.328</c:v>
                </c:pt>
                <c:pt idx="32">
                  <c:v>18551242421683.66</c:v>
                </c:pt>
                <c:pt idx="33">
                  <c:v>4484915220481.4365</c:v>
                </c:pt>
                <c:pt idx="34">
                  <c:v>4459947946941.9736</c:v>
                </c:pt>
                <c:pt idx="35">
                  <c:v>58570007914687.656</c:v>
                </c:pt>
                <c:pt idx="36">
                  <c:v>837196504329.15869</c:v>
                </c:pt>
                <c:pt idx="37">
                  <c:v>9898749424678.875</c:v>
                </c:pt>
                <c:pt idx="38">
                  <c:v>9898749424678.875</c:v>
                </c:pt>
                <c:pt idx="39">
                  <c:v>3660309475727.2432</c:v>
                </c:pt>
                <c:pt idx="40">
                  <c:v>3657986816166.4214</c:v>
                </c:pt>
                <c:pt idx="41">
                  <c:v>3660309475727.2427</c:v>
                </c:pt>
                <c:pt idx="42">
                  <c:v>39990711128090.055</c:v>
                </c:pt>
              </c:numCache>
            </c:numRef>
          </c:xVal>
          <c:yVal>
            <c:numRef>
              <c:f>'[Data_Extract_From_World_Development_Indicators (12).xlsx]Data'!$I$153:$I$264</c:f>
              <c:numCache>
                <c:formatCode>General</c:formatCode>
                <c:ptCount val="43"/>
                <c:pt idx="0">
                  <c:v>36</c:v>
                </c:pt>
                <c:pt idx="1">
                  <c:v>171</c:v>
                </c:pt>
                <c:pt idx="2">
                  <c:v>69</c:v>
                </c:pt>
                <c:pt idx="3">
                  <c:v>76</c:v>
                </c:pt>
                <c:pt idx="4">
                  <c:v>96</c:v>
                </c:pt>
                <c:pt idx="5">
                  <c:v>22</c:v>
                </c:pt>
                <c:pt idx="6">
                  <c:v>38</c:v>
                </c:pt>
                <c:pt idx="7">
                  <c:v>10</c:v>
                </c:pt>
                <c:pt idx="8">
                  <c:v>66</c:v>
                </c:pt>
                <c:pt idx="9">
                  <c:v>67</c:v>
                </c:pt>
                <c:pt idx="10">
                  <c:v>14</c:v>
                </c:pt>
                <c:pt idx="11">
                  <c:v>237</c:v>
                </c:pt>
                <c:pt idx="12">
                  <c:v>190</c:v>
                </c:pt>
                <c:pt idx="13">
                  <c:v>85</c:v>
                </c:pt>
                <c:pt idx="14">
                  <c:v>59</c:v>
                </c:pt>
                <c:pt idx="15">
                  <c:v>1</c:v>
                </c:pt>
                <c:pt idx="16">
                  <c:v>170</c:v>
                </c:pt>
                <c:pt idx="17">
                  <c:v>22</c:v>
                </c:pt>
                <c:pt idx="18">
                  <c:v>31</c:v>
                </c:pt>
                <c:pt idx="19">
                  <c:v>41</c:v>
                </c:pt>
                <c:pt idx="20">
                  <c:v>180</c:v>
                </c:pt>
                <c:pt idx="21">
                  <c:v>264</c:v>
                </c:pt>
                <c:pt idx="22">
                  <c:v>59.598400147906005</c:v>
                </c:pt>
                <c:pt idx="23">
                  <c:v>96.000746300130572</c:v>
                </c:pt>
                <c:pt idx="24">
                  <c:v>78.940008769389195</c:v>
                </c:pt>
                <c:pt idx="25">
                  <c:v>176.41957433301857</c:v>
                </c:pt>
                <c:pt idx="26">
                  <c:v>75.311284873662046</c:v>
                </c:pt>
                <c:pt idx="27">
                  <c:v>109.33623701408783</c:v>
                </c:pt>
                <c:pt idx="28">
                  <c:v>140.51309543528615</c:v>
                </c:pt>
                <c:pt idx="29">
                  <c:v>41.472451744457864</c:v>
                </c:pt>
                <c:pt idx="30">
                  <c:v>42.105434679218945</c:v>
                </c:pt>
                <c:pt idx="31">
                  <c:v>92.621203968260616</c:v>
                </c:pt>
                <c:pt idx="32">
                  <c:v>99.028212743968467</c:v>
                </c:pt>
                <c:pt idx="33">
                  <c:v>53.483888690548042</c:v>
                </c:pt>
                <c:pt idx="34">
                  <c:v>53.483888690548042</c:v>
                </c:pt>
                <c:pt idx="35">
                  <c:v>81.481145629159329</c:v>
                </c:pt>
                <c:pt idx="36">
                  <c:v>106.91470914849543</c:v>
                </c:pt>
                <c:pt idx="37">
                  <c:v>118.69711757691721</c:v>
                </c:pt>
                <c:pt idx="38">
                  <c:v>118.69711757691721</c:v>
                </c:pt>
                <c:pt idx="39">
                  <c:v>131.21080902351881</c:v>
                </c:pt>
                <c:pt idx="40">
                  <c:v>131.21080902351881</c:v>
                </c:pt>
                <c:pt idx="41">
                  <c:v>131.21080902351881</c:v>
                </c:pt>
                <c:pt idx="42">
                  <c:v>60.516490020651851</c:v>
                </c:pt>
              </c:numCache>
            </c:numRef>
          </c:yVal>
          <c:smooth val="0"/>
        </c:ser>
        <c:dLbls>
          <c:showLegendKey val="0"/>
          <c:showVal val="0"/>
          <c:showCatName val="0"/>
          <c:showSerName val="0"/>
          <c:showPercent val="0"/>
          <c:showBubbleSize val="0"/>
        </c:dLbls>
        <c:axId val="78320000"/>
        <c:axId val="78322304"/>
      </c:scatterChart>
      <c:valAx>
        <c:axId val="78320000"/>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US"/>
                  <a:t>GNI (</a:t>
                </a:r>
                <a:r>
                  <a:rPr lang="en-US" sz="1000" b="1" i="0" u="none" strike="noStrike" kern="1200" baseline="0">
                    <a:solidFill>
                      <a:sysClr val="windowText" lastClr="000000"/>
                    </a:solidFill>
                    <a:latin typeface="+mn-lt"/>
                    <a:ea typeface="+mn-ea"/>
                    <a:cs typeface="+mn-cs"/>
                  </a:rPr>
                  <a:t>Gross national income)</a:t>
                </a:r>
              </a:p>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endParaRPr lang="en-US"/>
              </a:p>
            </c:rich>
          </c:tx>
          <c:overlay val="0"/>
        </c:title>
        <c:numFmt formatCode="General" sourceLinked="1"/>
        <c:majorTickMark val="none"/>
        <c:minorTickMark val="none"/>
        <c:tickLblPos val="nextTo"/>
        <c:crossAx val="78322304"/>
        <c:crosses val="autoZero"/>
        <c:crossBetween val="midCat"/>
      </c:valAx>
      <c:valAx>
        <c:axId val="78322304"/>
        <c:scaling>
          <c:orientation val="minMax"/>
        </c:scaling>
        <c:delete val="0"/>
        <c:axPos val="l"/>
        <c:majorGridlines/>
        <c:title>
          <c:tx>
            <c:rich>
              <a:bodyPr/>
              <a:lstStyle/>
              <a:p>
                <a:pPr>
                  <a:defRPr/>
                </a:pPr>
                <a:r>
                  <a:rPr lang="en-US" sz="1000" b="1" i="0" u="none" strike="noStrike" baseline="0">
                    <a:effectLst/>
                  </a:rPr>
                  <a:t>Depth of the food deficit </a:t>
                </a:r>
                <a:endParaRPr lang="en-US"/>
              </a:p>
            </c:rich>
          </c:tx>
          <c:overlay val="0"/>
        </c:title>
        <c:numFmt formatCode="General" sourceLinked="1"/>
        <c:majorTickMark val="none"/>
        <c:minorTickMark val="none"/>
        <c:tickLblPos val="nextTo"/>
        <c:crossAx val="78320000"/>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h-T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Birth rate, crude (per 1,000 people)</a:t>
            </a:r>
          </a:p>
        </c:rich>
      </c:tx>
      <c:overlay val="0"/>
    </c:title>
    <c:autoTitleDeleted val="0"/>
    <c:plotArea>
      <c:layout/>
      <c:scatterChart>
        <c:scatterStyle val="lineMarker"/>
        <c:varyColors val="0"/>
        <c:ser>
          <c:idx val="0"/>
          <c:order val="0"/>
          <c:tx>
            <c:strRef>
              <c:f>Data!$B$22</c:f>
              <c:strCache>
                <c:ptCount val="1"/>
                <c:pt idx="0">
                  <c:v>Thailand</c:v>
                </c:pt>
              </c:strCache>
            </c:strRef>
          </c:tx>
          <c:spPr>
            <a:ln w="28575">
              <a:noFill/>
            </a:ln>
          </c:spPr>
          <c:xVal>
            <c:numRef>
              <c:f>Data!$A$23:$A$45</c:f>
              <c:numCache>
                <c:formatCode>General</c:formatCode>
                <c:ptCount val="23"/>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numCache>
            </c:numRef>
          </c:xVal>
          <c:yVal>
            <c:numRef>
              <c:f>Data!$B$23:$B$45</c:f>
              <c:numCache>
                <c:formatCode>General</c:formatCode>
                <c:ptCount val="23"/>
                <c:pt idx="0">
                  <c:v>17.391999999999999</c:v>
                </c:pt>
                <c:pt idx="1">
                  <c:v>16.91</c:v>
                </c:pt>
                <c:pt idx="2">
                  <c:v>16.416</c:v>
                </c:pt>
                <c:pt idx="3">
                  <c:v>15.920999999999999</c:v>
                </c:pt>
                <c:pt idx="4">
                  <c:v>15.436</c:v>
                </c:pt>
                <c:pt idx="5">
                  <c:v>14.97</c:v>
                </c:pt>
                <c:pt idx="6">
                  <c:v>14.531000000000001</c:v>
                </c:pt>
                <c:pt idx="7">
                  <c:v>14.128</c:v>
                </c:pt>
                <c:pt idx="8">
                  <c:v>13.762</c:v>
                </c:pt>
                <c:pt idx="9">
                  <c:v>13.435</c:v>
                </c:pt>
                <c:pt idx="10">
                  <c:v>13.143000000000001</c:v>
                </c:pt>
                <c:pt idx="11">
                  <c:v>12.884</c:v>
                </c:pt>
                <c:pt idx="12">
                  <c:v>12.651999999999999</c:v>
                </c:pt>
                <c:pt idx="13">
                  <c:v>12.436</c:v>
                </c:pt>
                <c:pt idx="14">
                  <c:v>12.228</c:v>
                </c:pt>
                <c:pt idx="15">
                  <c:v>12.021000000000001</c:v>
                </c:pt>
                <c:pt idx="16">
                  <c:v>11.805999999999999</c:v>
                </c:pt>
                <c:pt idx="17">
                  <c:v>11.579000000000001</c:v>
                </c:pt>
                <c:pt idx="18">
                  <c:v>11.34</c:v>
                </c:pt>
                <c:pt idx="19">
                  <c:v>11.090999999999999</c:v>
                </c:pt>
                <c:pt idx="20">
                  <c:v>10.837</c:v>
                </c:pt>
                <c:pt idx="21">
                  <c:v>10.582000000000001</c:v>
                </c:pt>
                <c:pt idx="22">
                  <c:v>10.333</c:v>
                </c:pt>
              </c:numCache>
            </c:numRef>
          </c:yVal>
          <c:smooth val="0"/>
        </c:ser>
        <c:ser>
          <c:idx val="1"/>
          <c:order val="1"/>
          <c:tx>
            <c:strRef>
              <c:f>Data!$C$22</c:f>
              <c:strCache>
                <c:ptCount val="1"/>
                <c:pt idx="0">
                  <c:v>United States</c:v>
                </c:pt>
              </c:strCache>
            </c:strRef>
          </c:tx>
          <c:spPr>
            <a:ln w="28575">
              <a:noFill/>
            </a:ln>
          </c:spPr>
          <c:xVal>
            <c:numRef>
              <c:f>Data!$A$23:$A$45</c:f>
              <c:numCache>
                <c:formatCode>General</c:formatCode>
                <c:ptCount val="23"/>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numCache>
            </c:numRef>
          </c:xVal>
          <c:yVal>
            <c:numRef>
              <c:f>Data!$C$23:$C$45</c:f>
              <c:numCache>
                <c:formatCode>General</c:formatCode>
                <c:ptCount val="23"/>
                <c:pt idx="0">
                  <c:v>15</c:v>
                </c:pt>
                <c:pt idx="1">
                  <c:v>14.6</c:v>
                </c:pt>
                <c:pt idx="2">
                  <c:v>14.4</c:v>
                </c:pt>
                <c:pt idx="3">
                  <c:v>14.2</c:v>
                </c:pt>
                <c:pt idx="4">
                  <c:v>14.3</c:v>
                </c:pt>
                <c:pt idx="5">
                  <c:v>14.2</c:v>
                </c:pt>
                <c:pt idx="6">
                  <c:v>14.4</c:v>
                </c:pt>
                <c:pt idx="7">
                  <c:v>14.1</c:v>
                </c:pt>
                <c:pt idx="8">
                  <c:v>14</c:v>
                </c:pt>
                <c:pt idx="9">
                  <c:v>14.1</c:v>
                </c:pt>
                <c:pt idx="10">
                  <c:v>14</c:v>
                </c:pt>
                <c:pt idx="11">
                  <c:v>14</c:v>
                </c:pt>
                <c:pt idx="12">
                  <c:v>14.3</c:v>
                </c:pt>
                <c:pt idx="13">
                  <c:v>14.3</c:v>
                </c:pt>
                <c:pt idx="14">
                  <c:v>14</c:v>
                </c:pt>
                <c:pt idx="15">
                  <c:v>13.5</c:v>
                </c:pt>
                <c:pt idx="16">
                  <c:v>13</c:v>
                </c:pt>
                <c:pt idx="17">
                  <c:v>12.7</c:v>
                </c:pt>
                <c:pt idx="18">
                  <c:v>12.6</c:v>
                </c:pt>
                <c:pt idx="19">
                  <c:v>12.4</c:v>
                </c:pt>
                <c:pt idx="20">
                  <c:v>12.5</c:v>
                </c:pt>
                <c:pt idx="21">
                  <c:v>12.4</c:v>
                </c:pt>
                <c:pt idx="22">
                  <c:v>12.4</c:v>
                </c:pt>
              </c:numCache>
            </c:numRef>
          </c:yVal>
          <c:smooth val="0"/>
        </c:ser>
        <c:ser>
          <c:idx val="2"/>
          <c:order val="2"/>
          <c:tx>
            <c:strRef>
              <c:f>Data!$D$22</c:f>
              <c:strCache>
                <c:ptCount val="1"/>
                <c:pt idx="0">
                  <c:v>United Kingdom</c:v>
                </c:pt>
              </c:strCache>
            </c:strRef>
          </c:tx>
          <c:spPr>
            <a:ln w="28575">
              <a:noFill/>
            </a:ln>
          </c:spPr>
          <c:xVal>
            <c:numRef>
              <c:f>Data!$A$23:$A$45</c:f>
              <c:numCache>
                <c:formatCode>General</c:formatCode>
                <c:ptCount val="23"/>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numCache>
            </c:numRef>
          </c:xVal>
          <c:yVal>
            <c:numRef>
              <c:f>Data!$D$23:$D$45</c:f>
              <c:numCache>
                <c:formatCode>General</c:formatCode>
                <c:ptCount val="23"/>
                <c:pt idx="0">
                  <c:v>13</c:v>
                </c:pt>
                <c:pt idx="1">
                  <c:v>12.6</c:v>
                </c:pt>
                <c:pt idx="2">
                  <c:v>12.6</c:v>
                </c:pt>
                <c:pt idx="3">
                  <c:v>12.5</c:v>
                </c:pt>
                <c:pt idx="4">
                  <c:v>12.3</c:v>
                </c:pt>
                <c:pt idx="5">
                  <c:v>11.9</c:v>
                </c:pt>
                <c:pt idx="6">
                  <c:v>11.5</c:v>
                </c:pt>
                <c:pt idx="7">
                  <c:v>11.3</c:v>
                </c:pt>
                <c:pt idx="8">
                  <c:v>11.3</c:v>
                </c:pt>
                <c:pt idx="9">
                  <c:v>11.7</c:v>
                </c:pt>
                <c:pt idx="10">
                  <c:v>11.9</c:v>
                </c:pt>
                <c:pt idx="11">
                  <c:v>12</c:v>
                </c:pt>
                <c:pt idx="12">
                  <c:v>12.3</c:v>
                </c:pt>
                <c:pt idx="13">
                  <c:v>12.6</c:v>
                </c:pt>
                <c:pt idx="14">
                  <c:v>12.9</c:v>
                </c:pt>
                <c:pt idx="15">
                  <c:v>12.7</c:v>
                </c:pt>
                <c:pt idx="16">
                  <c:v>12.9</c:v>
                </c:pt>
                <c:pt idx="17">
                  <c:v>12.8</c:v>
                </c:pt>
                <c:pt idx="18">
                  <c:v>12.8</c:v>
                </c:pt>
                <c:pt idx="19">
                  <c:v>12.1</c:v>
                </c:pt>
                <c:pt idx="20">
                  <c:v>12</c:v>
                </c:pt>
                <c:pt idx="21">
                  <c:v>11.9</c:v>
                </c:pt>
                <c:pt idx="22">
                  <c:v>11.8</c:v>
                </c:pt>
              </c:numCache>
            </c:numRef>
          </c:yVal>
          <c:smooth val="0"/>
        </c:ser>
        <c:dLbls>
          <c:showLegendKey val="0"/>
          <c:showVal val="0"/>
          <c:showCatName val="0"/>
          <c:showSerName val="0"/>
          <c:showPercent val="0"/>
          <c:showBubbleSize val="0"/>
        </c:dLbls>
        <c:axId val="80951168"/>
        <c:axId val="81149952"/>
      </c:scatterChart>
      <c:valAx>
        <c:axId val="80951168"/>
        <c:scaling>
          <c:orientation val="minMax"/>
        </c:scaling>
        <c:delete val="0"/>
        <c:axPos val="b"/>
        <c:title>
          <c:tx>
            <c:rich>
              <a:bodyPr/>
              <a:lstStyle/>
              <a:p>
                <a:pPr>
                  <a:defRPr/>
                </a:pPr>
                <a:r>
                  <a:rPr lang="en-US"/>
                  <a:t>Year</a:t>
                </a:r>
              </a:p>
            </c:rich>
          </c:tx>
          <c:overlay val="0"/>
        </c:title>
        <c:numFmt formatCode="General" sourceLinked="1"/>
        <c:majorTickMark val="none"/>
        <c:minorTickMark val="none"/>
        <c:tickLblPos val="nextTo"/>
        <c:crossAx val="81149952"/>
        <c:crosses val="autoZero"/>
        <c:crossBetween val="midCat"/>
      </c:valAx>
      <c:valAx>
        <c:axId val="81149952"/>
        <c:scaling>
          <c:orientation val="minMax"/>
        </c:scaling>
        <c:delete val="0"/>
        <c:axPos val="l"/>
        <c:majorGridlines/>
        <c:title>
          <c:tx>
            <c:rich>
              <a:bodyPr/>
              <a:lstStyle/>
              <a:p>
                <a:pPr>
                  <a:defRPr/>
                </a:pPr>
                <a:r>
                  <a:rPr lang="en-US" sz="1000" b="1" i="0" u="none" strike="noStrike" baseline="0">
                    <a:effectLst/>
                  </a:rPr>
                  <a:t>Birth rate</a:t>
                </a:r>
                <a:endParaRPr lang="en-US" b="1"/>
              </a:p>
            </c:rich>
          </c:tx>
          <c:overlay val="0"/>
        </c:title>
        <c:numFmt formatCode="General" sourceLinked="1"/>
        <c:majorTickMark val="none"/>
        <c:minorTickMark val="none"/>
        <c:tickLblPos val="nextTo"/>
        <c:crossAx val="80951168"/>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3</cp:revision>
  <dcterms:created xsi:type="dcterms:W3CDTF">2019-01-31T06:19:00Z</dcterms:created>
  <dcterms:modified xsi:type="dcterms:W3CDTF">2019-01-31T06:19:00Z</dcterms:modified>
</cp:coreProperties>
</file>