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0A396A" w14:textId="3572D0C8" w:rsidR="006818F4" w:rsidRDefault="000E35AE">
      <w:pPr>
        <w:rPr>
          <w:sz w:val="28"/>
          <w:szCs w:val="32"/>
          <w:lang w:val="en-US"/>
        </w:rPr>
      </w:pPr>
      <w:r>
        <w:rPr>
          <w:lang w:val="en-US"/>
        </w:rPr>
        <w:tab/>
      </w:r>
      <w:r w:rsidR="00BB5A76">
        <w:rPr>
          <w:sz w:val="28"/>
          <w:szCs w:val="32"/>
          <w:lang w:val="en-US"/>
        </w:rPr>
        <w:t xml:space="preserve">This paper identifies 3 factors explaining stocks-return and 2 factors for bond return. Then, see if there are any cross-section influences. The writers, </w:t>
      </w:r>
      <w:proofErr w:type="spellStart"/>
      <w:r w:rsidR="00BB5A76">
        <w:rPr>
          <w:sz w:val="28"/>
          <w:szCs w:val="32"/>
          <w:lang w:val="en-US"/>
        </w:rPr>
        <w:t>Fama</w:t>
      </w:r>
      <w:proofErr w:type="spellEnd"/>
      <w:r w:rsidR="00BB5A76">
        <w:rPr>
          <w:sz w:val="28"/>
          <w:szCs w:val="32"/>
          <w:lang w:val="en-US"/>
        </w:rPr>
        <w:t xml:space="preserve"> and French, hypothesize that there must be some influence across the markets because, in real world, all markets are integrated. First, they defined the variables used: empirically determined average return, size (</w:t>
      </w:r>
      <w:r w:rsidR="00BB5A76">
        <w:rPr>
          <w:i/>
          <w:iCs/>
          <w:sz w:val="28"/>
          <w:szCs w:val="32"/>
          <w:lang w:val="en-US"/>
        </w:rPr>
        <w:t>ME</w:t>
      </w:r>
      <w:r w:rsidR="00BB5A76">
        <w:rPr>
          <w:sz w:val="28"/>
          <w:szCs w:val="32"/>
          <w:lang w:val="en-US"/>
        </w:rPr>
        <w:t>, stock price times number of shares), leverage, earning/price,</w:t>
      </w:r>
      <w:r w:rsidR="00A85722">
        <w:rPr>
          <w:sz w:val="28"/>
          <w:szCs w:val="32"/>
          <w:lang w:val="en-US"/>
        </w:rPr>
        <w:t xml:space="preserve"> book to market equity (BE/ME)</w:t>
      </w:r>
      <w:r w:rsidR="00881D03">
        <w:rPr>
          <w:sz w:val="28"/>
          <w:szCs w:val="32"/>
          <w:lang w:val="en-US"/>
        </w:rPr>
        <w:t>, default risk (DEF), term structure risk (TERM)</w:t>
      </w:r>
      <w:r w:rsidR="00A85722">
        <w:rPr>
          <w:sz w:val="28"/>
          <w:szCs w:val="32"/>
          <w:lang w:val="en-US"/>
        </w:rPr>
        <w:t>. First</w:t>
      </w:r>
      <w:r w:rsidR="00651C43">
        <w:rPr>
          <w:sz w:val="28"/>
          <w:szCs w:val="32"/>
          <w:lang w:val="en-US"/>
        </w:rPr>
        <w:t>,</w:t>
      </w:r>
      <w:r w:rsidR="00A85722">
        <w:rPr>
          <w:sz w:val="28"/>
          <w:szCs w:val="32"/>
          <w:lang w:val="en-US"/>
        </w:rPr>
        <w:t xml:space="preserve"> we construct 6 base portfolios from the intersection between </w:t>
      </w:r>
      <w:r w:rsidR="00651C43">
        <w:rPr>
          <w:sz w:val="28"/>
          <w:szCs w:val="32"/>
          <w:lang w:val="en-US"/>
        </w:rPr>
        <w:t>big-small stocks and high-middle-low BE/ME stocks.</w:t>
      </w:r>
    </w:p>
    <w:p w14:paraId="4ACAB12E" w14:textId="0C0B5747" w:rsidR="00A85722" w:rsidRDefault="00A85722">
      <w:pPr>
        <w:rPr>
          <w:sz w:val="28"/>
          <w:szCs w:val="32"/>
          <w:lang w:val="en-US"/>
        </w:rPr>
      </w:pPr>
      <w:r>
        <w:rPr>
          <w:sz w:val="28"/>
          <w:szCs w:val="32"/>
          <w:lang w:val="en-US"/>
        </w:rPr>
        <w:tab/>
        <w:t>The methodology is to form 25 portfolios</w:t>
      </w:r>
      <w:r w:rsidR="00651C43">
        <w:rPr>
          <w:sz w:val="28"/>
          <w:szCs w:val="32"/>
          <w:lang w:val="en-US"/>
        </w:rPr>
        <w:t xml:space="preserve"> according to 5 quintiles of size and BE/ME </w:t>
      </w:r>
      <w:r>
        <w:rPr>
          <w:sz w:val="28"/>
          <w:szCs w:val="32"/>
          <w:lang w:val="en-US"/>
        </w:rPr>
        <w:t>and</w:t>
      </w:r>
      <w:r w:rsidR="00D561F4">
        <w:rPr>
          <w:sz w:val="28"/>
          <w:szCs w:val="32"/>
          <w:lang w:val="en-US"/>
        </w:rPr>
        <w:t xml:space="preserve"> time-series-</w:t>
      </w:r>
      <w:r>
        <w:rPr>
          <w:sz w:val="28"/>
          <w:szCs w:val="32"/>
          <w:lang w:val="en-US"/>
        </w:rPr>
        <w:t>regressed based on market factor (proxied by RM-RF), size factor (SMB), and BE/ME factor (HML). For SML (small minus big) is the difference between the simple average of the returns on the three small portfolios</w:t>
      </w:r>
      <w:r w:rsidR="00651C43">
        <w:rPr>
          <w:sz w:val="28"/>
          <w:szCs w:val="32"/>
          <w:lang w:val="en-US"/>
        </w:rPr>
        <w:t xml:space="preserve"> (S/L, S/M, and S/H) and the average of the returns on the three big-stock portfolios (B/L, B/M, and B/H). This difference should be free of influence of BE/ME. Likewise, BE/ME factor is constructed by the difference between the simple average of the returns on the two high BE/ME portfolios (S/H and B/H) and the average of the returns on the two low BE/ME portfolios (S/L and B/L). This difference </w:t>
      </w:r>
      <w:r w:rsidR="00D561F4">
        <w:rPr>
          <w:sz w:val="28"/>
          <w:szCs w:val="32"/>
          <w:lang w:val="en-US"/>
        </w:rPr>
        <w:t xml:space="preserve">should be free of size factors. </w:t>
      </w:r>
    </w:p>
    <w:p w14:paraId="2A20072D" w14:textId="6EB9ED2A" w:rsidR="00D561F4" w:rsidRDefault="00D561F4">
      <w:pPr>
        <w:rPr>
          <w:sz w:val="28"/>
          <w:szCs w:val="32"/>
          <w:lang w:val="en-US"/>
        </w:rPr>
      </w:pPr>
      <w:r>
        <w:rPr>
          <w:sz w:val="28"/>
          <w:szCs w:val="32"/>
          <w:lang w:val="en-US"/>
        </w:rPr>
        <w:tab/>
        <w:t>The dependent variables are government bonds portfolios; covering maturity from 1-5 years and 6-10 years, corporate bonds, excess return on 25 portfolios; formed on size and book-to-market equity. Later, earning per price and dividend per price will also be added.</w:t>
      </w:r>
    </w:p>
    <w:p w14:paraId="6DCC58D8" w14:textId="7FAAB62A" w:rsidR="00D561F4" w:rsidRDefault="00D561F4">
      <w:pPr>
        <w:rPr>
          <w:sz w:val="28"/>
          <w:szCs w:val="32"/>
          <w:lang w:val="en-US"/>
        </w:rPr>
      </w:pPr>
      <w:r>
        <w:rPr>
          <w:sz w:val="28"/>
          <w:szCs w:val="32"/>
          <w:lang w:val="en-US"/>
        </w:rPr>
        <w:tab/>
      </w:r>
      <w:r w:rsidR="00881D03">
        <w:rPr>
          <w:sz w:val="28"/>
          <w:szCs w:val="32"/>
          <w:lang w:val="en-US"/>
        </w:rPr>
        <w:t xml:space="preserve">The result suggests that DEF and TERM can explain almost none of the average excess return on stocks with only 0.06% and 0.02% per month. This means the magnitude of cross-market influences is minimal. However, TERM and DEF can explain almost all variation in high grade bonds. </w:t>
      </w:r>
      <w:r w:rsidR="004832BC">
        <w:rPr>
          <w:sz w:val="28"/>
          <w:szCs w:val="32"/>
          <w:lang w:val="en-US"/>
        </w:rPr>
        <w:t>TERM and DEF slope for corporate bonds are like the slopes for stocks, we can infer that stock return share almost all the variation in high-grade corporate bond returns. Stock, however, have substantial additional common volatility due to stock market factor (RMO).</w:t>
      </w:r>
    </w:p>
    <w:p w14:paraId="531B65CA" w14:textId="65C4943E" w:rsidR="004832BC" w:rsidRDefault="004832BC">
      <w:pPr>
        <w:rPr>
          <w:sz w:val="28"/>
          <w:szCs w:val="32"/>
          <w:lang w:val="en-US"/>
        </w:rPr>
      </w:pPr>
      <w:r>
        <w:rPr>
          <w:sz w:val="28"/>
          <w:szCs w:val="32"/>
          <w:lang w:val="en-US"/>
        </w:rPr>
        <w:tab/>
        <w:t xml:space="preserve">For SMB, the result suggest that small stock return is much more variable than big stock return. For HML, lowest BE/ME portfolios are more volatile than the highest </w:t>
      </w:r>
      <w:r w:rsidR="00560C3B">
        <w:rPr>
          <w:sz w:val="28"/>
          <w:szCs w:val="32"/>
          <w:lang w:val="en-US"/>
        </w:rPr>
        <w:t>BE/ME returns, especially for the three smallest size quintiles.</w:t>
      </w:r>
    </w:p>
    <w:p w14:paraId="4178049C" w14:textId="7FC6147A" w:rsidR="00560C3B" w:rsidRPr="00BB5A76" w:rsidRDefault="00560C3B">
      <w:pPr>
        <w:rPr>
          <w:sz w:val="28"/>
          <w:szCs w:val="32"/>
          <w:lang w:val="en-US"/>
        </w:rPr>
      </w:pPr>
      <w:r>
        <w:rPr>
          <w:sz w:val="28"/>
          <w:szCs w:val="32"/>
          <w:lang w:val="en-US"/>
        </w:rPr>
        <w:tab/>
        <w:t>This paper can be applied to anything that requires estimated expected stock return. For example, selecting portfolios, evaluating portfolio performance, measuring abnormal returns in event studies, and estimating the cost of capital.</w:t>
      </w:r>
    </w:p>
    <w:sectPr w:rsidR="00560C3B" w:rsidRPr="00BB5A76">
      <w:headerReference w:type="default" r:id="rId6"/>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109D69" w14:textId="77777777" w:rsidR="00323F6A" w:rsidRDefault="00323F6A" w:rsidP="000E35AE">
      <w:r>
        <w:separator/>
      </w:r>
    </w:p>
  </w:endnote>
  <w:endnote w:type="continuationSeparator" w:id="0">
    <w:p w14:paraId="522E40A6" w14:textId="77777777" w:rsidR="00323F6A" w:rsidRDefault="00323F6A" w:rsidP="000E35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Cordia New">
    <w:panose1 w:val="020B0304020202020204"/>
    <w:charset w:val="DE"/>
    <w:family w:val="swiss"/>
    <w:pitch w:val="variable"/>
    <w:sig w:usb0="81000003" w:usb1="00000000" w:usb2="00000000" w:usb3="00000000" w:csb0="00010001" w:csb1="00000000"/>
  </w:font>
  <w:font w:name="Angsana New">
    <w:panose1 w:val="02020603050405020304"/>
    <w:charset w:val="DE"/>
    <w:family w:val="roman"/>
    <w:pitch w:val="variable"/>
    <w:sig w:usb0="81000003" w:usb1="00000000" w:usb2="00000000" w:usb3="00000000" w:csb0="0001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08B07C" w14:textId="77777777" w:rsidR="00323F6A" w:rsidRDefault="00323F6A" w:rsidP="000E35AE">
      <w:r>
        <w:separator/>
      </w:r>
    </w:p>
  </w:footnote>
  <w:footnote w:type="continuationSeparator" w:id="0">
    <w:p w14:paraId="1A1A007C" w14:textId="77777777" w:rsidR="00323F6A" w:rsidRDefault="00323F6A" w:rsidP="000E35A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33252E" w14:textId="59C5A7F0" w:rsidR="000E35AE" w:rsidRPr="000E35AE" w:rsidRDefault="000E35AE" w:rsidP="000E35AE">
    <w:pPr>
      <w:pStyle w:val="Header"/>
      <w:jc w:val="right"/>
      <w:rPr>
        <w:lang w:val="en-US"/>
      </w:rPr>
    </w:pPr>
    <w:proofErr w:type="spellStart"/>
    <w:r>
      <w:rPr>
        <w:lang w:val="en-US"/>
      </w:rPr>
      <w:t>Wiraphat</w:t>
    </w:r>
    <w:proofErr w:type="spellEnd"/>
    <w:r>
      <w:rPr>
        <w:lang w:val="en-US"/>
      </w:rPr>
      <w:t xml:space="preserve"> Lin 6204641473</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5"/>
  <w:proofState w:spelling="clean" w:grammar="clean"/>
  <w:defaultTabStop w:val="720"/>
  <w:characterSpacingControl w:val="doNotCompres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35AE"/>
    <w:rsid w:val="000E35AE"/>
    <w:rsid w:val="0030638D"/>
    <w:rsid w:val="00323F6A"/>
    <w:rsid w:val="004832BC"/>
    <w:rsid w:val="00560C3B"/>
    <w:rsid w:val="00651C43"/>
    <w:rsid w:val="006818F4"/>
    <w:rsid w:val="00881D03"/>
    <w:rsid w:val="00A85722"/>
    <w:rsid w:val="00BB5A76"/>
    <w:rsid w:val="00D561F4"/>
    <w:rsid w:val="00F27D6B"/>
  </w:rsids>
  <m:mathPr>
    <m:mathFont m:val="Cambria Math"/>
    <m:brkBin m:val="before"/>
    <m:brkBinSub m:val="--"/>
    <m:smallFrac m:val="0"/>
    <m:dispDef/>
    <m:lMargin m:val="0"/>
    <m:rMargin m:val="0"/>
    <m:defJc m:val="centerGroup"/>
    <m:wrapIndent m:val="1440"/>
    <m:intLim m:val="subSup"/>
    <m:naryLim m:val="undOvr"/>
  </m:mathPr>
  <w:themeFontLang w:val="en-TH" w:bidi="th-TH"/>
  <w:clrSchemeMapping w:bg1="light1" w:t1="dark1" w:bg2="light2" w:t2="dark2" w:accent1="accent1" w:accent2="accent2" w:accent3="accent3" w:accent4="accent4" w:accent5="accent5" w:accent6="accent6" w:hyperlink="hyperlink" w:followedHyperlink="followedHyperlink"/>
  <w:decimalSymbol w:val="."/>
  <w:listSeparator w:val=","/>
  <w14:docId w14:val="498A5013"/>
  <w15:chartTrackingRefBased/>
  <w15:docId w15:val="{6E71ABB0-7C52-4D4E-A983-3DFDED573A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30"/>
        <w:lang w:val="en-TH" w:eastAsia="en-US" w:bidi="th-TH"/>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cs="Angsana New"/>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E35AE"/>
    <w:pPr>
      <w:tabs>
        <w:tab w:val="center" w:pos="4680"/>
        <w:tab w:val="right" w:pos="9360"/>
      </w:tabs>
    </w:pPr>
  </w:style>
  <w:style w:type="character" w:customStyle="1" w:styleId="HeaderChar">
    <w:name w:val="Header Char"/>
    <w:basedOn w:val="DefaultParagraphFont"/>
    <w:link w:val="Header"/>
    <w:uiPriority w:val="99"/>
    <w:rsid w:val="000E35AE"/>
    <w:rPr>
      <w:rFonts w:cs="Angsana New"/>
    </w:rPr>
  </w:style>
  <w:style w:type="paragraph" w:styleId="Footer">
    <w:name w:val="footer"/>
    <w:basedOn w:val="Normal"/>
    <w:link w:val="FooterChar"/>
    <w:uiPriority w:val="99"/>
    <w:unhideWhenUsed/>
    <w:rsid w:val="000E35AE"/>
    <w:pPr>
      <w:tabs>
        <w:tab w:val="center" w:pos="4680"/>
        <w:tab w:val="right" w:pos="9360"/>
      </w:tabs>
    </w:pPr>
  </w:style>
  <w:style w:type="character" w:customStyle="1" w:styleId="FooterChar">
    <w:name w:val="Footer Char"/>
    <w:basedOn w:val="DefaultParagraphFont"/>
    <w:link w:val="Footer"/>
    <w:uiPriority w:val="99"/>
    <w:rsid w:val="000E35AE"/>
    <w:rPr>
      <w:rFonts w:cs="Angsana Ne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52</TotalTime>
  <Pages>1</Pages>
  <Words>397</Words>
  <Characters>2265</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wiraphat lin</dc:creator>
  <cp:keywords/>
  <dc:description/>
  <cp:lastModifiedBy>wiraphat lin</cp:lastModifiedBy>
  <cp:revision>1</cp:revision>
  <dcterms:created xsi:type="dcterms:W3CDTF">2022-03-15T02:40:00Z</dcterms:created>
  <dcterms:modified xsi:type="dcterms:W3CDTF">2022-03-15T03:54:00Z</dcterms:modified>
</cp:coreProperties>
</file>