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6C5" w:rsidRDefault="009E3047" w:rsidP="00904320">
      <w:pPr>
        <w:jc w:val="center"/>
        <w:rPr>
          <w:b/>
          <w:bCs/>
          <w:sz w:val="24"/>
        </w:rPr>
      </w:pPr>
      <w:r w:rsidRPr="00904320">
        <w:rPr>
          <w:b/>
          <w:bCs/>
          <w:sz w:val="24"/>
        </w:rPr>
        <w:t>EE301/403 Reading and Commenting Groups</w:t>
      </w:r>
    </w:p>
    <w:tbl>
      <w:tblPr>
        <w:tblStyle w:val="TableGrid"/>
        <w:tblW w:w="0" w:type="auto"/>
        <w:tblLook w:val="04A0"/>
      </w:tblPr>
      <w:tblGrid>
        <w:gridCol w:w="3936"/>
        <w:gridCol w:w="2653"/>
        <w:gridCol w:w="2653"/>
      </w:tblGrid>
      <w:tr w:rsidR="009E3047" w:rsidRPr="002169DB" w:rsidTr="002169DB">
        <w:tc>
          <w:tcPr>
            <w:tcW w:w="3936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:rsidR="009E3047" w:rsidRPr="002169DB" w:rsidRDefault="009E3047" w:rsidP="00E95BA2">
            <w:pPr>
              <w:jc w:val="center"/>
              <w:rPr>
                <w:b/>
                <w:bCs/>
                <w:color w:val="FFFFFF" w:themeColor="background1"/>
                <w:szCs w:val="24"/>
              </w:rPr>
            </w:pPr>
            <w:r w:rsidRPr="002169DB">
              <w:rPr>
                <w:b/>
                <w:bCs/>
                <w:color w:val="FFFFFF" w:themeColor="background1"/>
                <w:szCs w:val="24"/>
              </w:rPr>
              <w:t>Articles/Chapters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:rsidR="009E3047" w:rsidRPr="002169DB" w:rsidRDefault="009E3047" w:rsidP="00E95BA2">
            <w:pPr>
              <w:jc w:val="center"/>
              <w:rPr>
                <w:b/>
                <w:bCs/>
                <w:color w:val="FFFFFF" w:themeColor="background1"/>
                <w:szCs w:val="24"/>
              </w:rPr>
            </w:pPr>
            <w:r w:rsidRPr="002169DB">
              <w:rPr>
                <w:b/>
                <w:bCs/>
                <w:color w:val="FFFFFF" w:themeColor="background1"/>
                <w:szCs w:val="24"/>
              </w:rPr>
              <w:t>Reading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:rsidR="009E3047" w:rsidRPr="0074163C" w:rsidRDefault="002169DB" w:rsidP="00E95BA2">
            <w:pPr>
              <w:jc w:val="center"/>
              <w:rPr>
                <w:b/>
                <w:bCs/>
                <w:szCs w:val="24"/>
              </w:rPr>
            </w:pPr>
            <w:r w:rsidRPr="0074163C">
              <w:rPr>
                <w:b/>
                <w:bCs/>
                <w:szCs w:val="24"/>
              </w:rPr>
              <w:t>Date</w:t>
            </w:r>
          </w:p>
        </w:tc>
      </w:tr>
      <w:tr w:rsidR="009A7F70" w:rsidRPr="003F08F9" w:rsidTr="00CF0E78">
        <w:tc>
          <w:tcPr>
            <w:tcW w:w="9242" w:type="dxa"/>
            <w:gridSpan w:val="3"/>
            <w:shd w:val="clear" w:color="auto" w:fill="D9D9D9" w:themeFill="background1" w:themeFillShade="D9"/>
          </w:tcPr>
          <w:p w:rsidR="009A7F70" w:rsidRPr="0074163C" w:rsidRDefault="009A7F70" w:rsidP="00CF0E78">
            <w:pPr>
              <w:rPr>
                <w:i/>
                <w:iCs/>
                <w:szCs w:val="24"/>
              </w:rPr>
            </w:pPr>
            <w:r w:rsidRPr="0074163C">
              <w:rPr>
                <w:i/>
                <w:iCs/>
                <w:szCs w:val="24"/>
              </w:rPr>
              <w:t>Theory of the Firm</w:t>
            </w:r>
          </w:p>
        </w:tc>
      </w:tr>
      <w:tr w:rsidR="009A7F70" w:rsidTr="00CF0E78">
        <w:tc>
          <w:tcPr>
            <w:tcW w:w="3936" w:type="dxa"/>
          </w:tcPr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Deakin, Simon and Ajit Singh, 2008, “The Stock Market, the Market for Corporate Control, and the Theory of the Firm: Legal and Economic Perspectives and Implications for Public Policy,” </w:t>
            </w:r>
            <w:r w:rsidRPr="00F27F0D">
              <w:rPr>
                <w:i/>
                <w:iCs/>
                <w:szCs w:val="24"/>
              </w:rPr>
              <w:t>Centre for Business Research, University of Cambridge Working Paper No. 365</w:t>
            </w:r>
            <w:r w:rsidRPr="00F27F0D">
              <w:rPr>
                <w:szCs w:val="24"/>
              </w:rPr>
              <w:t>, CBR Research Programme on Corporate Governance</w:t>
            </w:r>
          </w:p>
        </w:tc>
        <w:tc>
          <w:tcPr>
            <w:tcW w:w="2653" w:type="dxa"/>
          </w:tcPr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Suttikarn 5104641245</w:t>
            </w:r>
          </w:p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Nuttapoom 5104640668</w:t>
            </w:r>
          </w:p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Vasan 5104641344</w:t>
            </w:r>
          </w:p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Pimhathai 5204640782</w:t>
            </w:r>
          </w:p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Ploypailin 5204640857</w:t>
            </w:r>
          </w:p>
        </w:tc>
        <w:tc>
          <w:tcPr>
            <w:tcW w:w="2653" w:type="dxa"/>
          </w:tcPr>
          <w:p w:rsidR="009A7F70" w:rsidRPr="0074163C" w:rsidRDefault="0074163C" w:rsidP="00CF0E78">
            <w:pPr>
              <w:rPr>
                <w:szCs w:val="24"/>
              </w:rPr>
            </w:pPr>
            <w:r w:rsidRPr="0074163C">
              <w:rPr>
                <w:szCs w:val="24"/>
              </w:rPr>
              <w:t>7 Dec</w:t>
            </w:r>
          </w:p>
        </w:tc>
      </w:tr>
      <w:tr w:rsidR="009A7F70" w:rsidTr="00CF0E78">
        <w:tc>
          <w:tcPr>
            <w:tcW w:w="9242" w:type="dxa"/>
            <w:gridSpan w:val="3"/>
            <w:shd w:val="clear" w:color="auto" w:fill="D9D9D9" w:themeFill="background1" w:themeFillShade="D9"/>
          </w:tcPr>
          <w:p w:rsidR="009A7F70" w:rsidRPr="0074163C" w:rsidRDefault="009A7F70" w:rsidP="00CF0E78">
            <w:pPr>
              <w:rPr>
                <w:szCs w:val="24"/>
              </w:rPr>
            </w:pPr>
            <w:r w:rsidRPr="0074163C">
              <w:rPr>
                <w:i/>
                <w:iCs/>
                <w:szCs w:val="24"/>
              </w:rPr>
              <w:t>Intellectual Property</w:t>
            </w:r>
          </w:p>
        </w:tc>
      </w:tr>
      <w:tr w:rsidR="009A7F70" w:rsidTr="00CF0E78">
        <w:tc>
          <w:tcPr>
            <w:tcW w:w="3936" w:type="dxa"/>
          </w:tcPr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Hazlett, Thomas W., 1998, “The Law and Economics of Property Rights to Radio Spectrum: Introduction,”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 Vol. 41, No. S2 (October 1998), pp. 521-522</w:t>
            </w:r>
          </w:p>
        </w:tc>
        <w:tc>
          <w:tcPr>
            <w:tcW w:w="2653" w:type="dxa"/>
          </w:tcPr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Pupit 5004640123</w:t>
            </w:r>
          </w:p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Supajika 5104641195</w:t>
            </w:r>
          </w:p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Thiti 5204641301</w:t>
            </w:r>
          </w:p>
          <w:p w:rsidR="009A7F70" w:rsidRPr="00F27F0D" w:rsidRDefault="009A7F70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Sapol 5204640915</w:t>
            </w:r>
          </w:p>
        </w:tc>
        <w:tc>
          <w:tcPr>
            <w:tcW w:w="2653" w:type="dxa"/>
          </w:tcPr>
          <w:p w:rsidR="009A7F70" w:rsidRPr="0074163C" w:rsidRDefault="0074163C" w:rsidP="00CF0E78">
            <w:pPr>
              <w:rPr>
                <w:szCs w:val="24"/>
              </w:rPr>
            </w:pPr>
            <w:r>
              <w:rPr>
                <w:szCs w:val="24"/>
              </w:rPr>
              <w:t>7 Dec</w:t>
            </w:r>
          </w:p>
        </w:tc>
      </w:tr>
      <w:tr w:rsidR="009A7F70" w:rsidRPr="00745306" w:rsidTr="00CF0E78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9A7F70" w:rsidRPr="00745306" w:rsidRDefault="009A7F70" w:rsidP="00CF0E78">
            <w:pPr>
              <w:rPr>
                <w:color w:val="000000" w:themeColor="text1"/>
                <w:szCs w:val="24"/>
              </w:rPr>
            </w:pPr>
            <w:r w:rsidRPr="00745306">
              <w:rPr>
                <w:color w:val="000000" w:themeColor="text1"/>
                <w:szCs w:val="24"/>
              </w:rPr>
              <w:t xml:space="preserve">Martínez-Sánchez, Francisco, 2008, “Learning by Copying,” </w:t>
            </w:r>
            <w:r w:rsidRPr="00745306">
              <w:rPr>
                <w:i/>
                <w:iCs/>
                <w:color w:val="000000" w:themeColor="text1"/>
                <w:szCs w:val="24"/>
              </w:rPr>
              <w:t>ThE Papers No. 08/05</w:t>
            </w:r>
            <w:r w:rsidRPr="00745306">
              <w:rPr>
                <w:color w:val="000000" w:themeColor="text1"/>
                <w:szCs w:val="24"/>
              </w:rPr>
              <w:t>, Department of Economic Theory and Economic History, University of Granada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9A7F70" w:rsidRPr="00745306" w:rsidRDefault="009A7F70" w:rsidP="00CF0E78">
            <w:pPr>
              <w:rPr>
                <w:color w:val="000000" w:themeColor="text1"/>
                <w:szCs w:val="24"/>
              </w:rPr>
            </w:pPr>
            <w:r w:rsidRPr="00745306">
              <w:rPr>
                <w:color w:val="000000" w:themeColor="text1"/>
                <w:szCs w:val="24"/>
              </w:rPr>
              <w:t>Vorapong 5304641359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9A7F70" w:rsidRPr="0074163C" w:rsidRDefault="0074163C" w:rsidP="00CF0E78">
            <w:pPr>
              <w:rPr>
                <w:szCs w:val="24"/>
              </w:rPr>
            </w:pPr>
            <w:r>
              <w:rPr>
                <w:szCs w:val="24"/>
              </w:rPr>
              <w:t>7 Dec</w:t>
            </w:r>
          </w:p>
        </w:tc>
      </w:tr>
      <w:tr w:rsidR="00051D2D" w:rsidTr="00CF0E78">
        <w:tc>
          <w:tcPr>
            <w:tcW w:w="9242" w:type="dxa"/>
            <w:gridSpan w:val="3"/>
            <w:shd w:val="clear" w:color="auto" w:fill="D9D9D9" w:themeFill="background1" w:themeFillShade="D9"/>
          </w:tcPr>
          <w:p w:rsidR="00051D2D" w:rsidRPr="0074163C" w:rsidRDefault="00051D2D" w:rsidP="00CF0E78">
            <w:pPr>
              <w:rPr>
                <w:i/>
                <w:iCs/>
                <w:szCs w:val="24"/>
              </w:rPr>
            </w:pPr>
            <w:r w:rsidRPr="0074163C">
              <w:rPr>
                <w:i/>
                <w:iCs/>
                <w:szCs w:val="24"/>
              </w:rPr>
              <w:t>Environment</w:t>
            </w:r>
          </w:p>
        </w:tc>
      </w:tr>
      <w:tr w:rsidR="00051D2D" w:rsidTr="00CF0E78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051D2D" w:rsidRPr="00F27F0D" w:rsidRDefault="00051D2D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Deardorff, Alan V., 1996, “International externalities in the use of pollution policies,” </w:t>
            </w:r>
            <w:r w:rsidRPr="00F27F0D">
              <w:rPr>
                <w:i/>
                <w:iCs/>
                <w:szCs w:val="24"/>
              </w:rPr>
              <w:t>International Review of Law and Economics</w:t>
            </w:r>
            <w:r w:rsidRPr="00F27F0D">
              <w:rPr>
                <w:szCs w:val="24"/>
              </w:rPr>
              <w:t xml:space="preserve">, vol. 16, issue 1, pp. 53-59 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051D2D" w:rsidRPr="00F27F0D" w:rsidRDefault="00051D2D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Athinee 5304640047</w:t>
            </w:r>
          </w:p>
          <w:p w:rsidR="00051D2D" w:rsidRPr="00F27F0D" w:rsidRDefault="00051D2D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Jariya 5304640229</w:t>
            </w:r>
          </w:p>
          <w:p w:rsidR="00051D2D" w:rsidRPr="00F27F0D" w:rsidRDefault="00051D2D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Prachya 5304640815  </w:t>
            </w:r>
          </w:p>
          <w:p w:rsidR="00051D2D" w:rsidRPr="00F27F0D" w:rsidRDefault="00051D2D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Pluemkoon 5304640773</w:t>
            </w:r>
          </w:p>
          <w:p w:rsidR="00051D2D" w:rsidRPr="00F27F0D" w:rsidRDefault="00051D2D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Suthipat 5304641086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051D2D" w:rsidRPr="0074163C" w:rsidRDefault="0074163C" w:rsidP="00CF0E78">
            <w:pPr>
              <w:rPr>
                <w:szCs w:val="24"/>
              </w:rPr>
            </w:pPr>
            <w:r>
              <w:rPr>
                <w:szCs w:val="24"/>
              </w:rPr>
              <w:t>7 Dec</w:t>
            </w:r>
          </w:p>
        </w:tc>
      </w:tr>
      <w:tr w:rsidR="00051D2D" w:rsidTr="00CF0E78">
        <w:tc>
          <w:tcPr>
            <w:tcW w:w="9242" w:type="dxa"/>
            <w:gridSpan w:val="3"/>
            <w:shd w:val="clear" w:color="auto" w:fill="D9D9D9" w:themeFill="background1" w:themeFillShade="D9"/>
          </w:tcPr>
          <w:p w:rsidR="00051D2D" w:rsidRPr="0074163C" w:rsidRDefault="00051D2D" w:rsidP="00CF0E78">
            <w:pPr>
              <w:rPr>
                <w:i/>
                <w:iCs/>
                <w:szCs w:val="24"/>
              </w:rPr>
            </w:pPr>
            <w:r w:rsidRPr="0074163C">
              <w:rPr>
                <w:i/>
                <w:iCs/>
                <w:szCs w:val="24"/>
              </w:rPr>
              <w:t>International</w:t>
            </w:r>
          </w:p>
        </w:tc>
      </w:tr>
      <w:tr w:rsidR="00051D2D" w:rsidRPr="00B235AF" w:rsidTr="00CF0E78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051D2D" w:rsidRPr="00B235AF" w:rsidRDefault="00051D2D" w:rsidP="00CF0E78">
            <w:pPr>
              <w:rPr>
                <w:color w:val="000000" w:themeColor="text1"/>
                <w:szCs w:val="24"/>
              </w:rPr>
            </w:pPr>
            <w:r w:rsidRPr="00B235AF">
              <w:rPr>
                <w:color w:val="000000" w:themeColor="text1"/>
                <w:szCs w:val="24"/>
              </w:rPr>
              <w:t xml:space="preserve">Kirstein, Roland, Schmidtchen, Dieter, and Neunzig, Alexander, 2004, ‘Conflict of law rules and international trade: a transaction costs approach,’ </w:t>
            </w:r>
            <w:r w:rsidRPr="00B235AF">
              <w:rPr>
                <w:i/>
                <w:iCs/>
                <w:color w:val="000000" w:themeColor="text1"/>
                <w:szCs w:val="24"/>
              </w:rPr>
              <w:t>CSLE Discussion Paper 2004-01</w:t>
            </w:r>
            <w:r w:rsidRPr="00B235AF">
              <w:rPr>
                <w:color w:val="000000" w:themeColor="text1"/>
                <w:szCs w:val="24"/>
              </w:rPr>
              <w:t>, CSLE - Forschungsstelle zur Ökonomischen Analyse des Rechts, Universität des Saarlandes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051D2D" w:rsidRPr="00B235AF" w:rsidRDefault="00051D2D" w:rsidP="00CF0E78">
            <w:pPr>
              <w:rPr>
                <w:color w:val="000000" w:themeColor="text1"/>
                <w:szCs w:val="24"/>
              </w:rPr>
            </w:pPr>
            <w:r w:rsidRPr="00B235AF">
              <w:rPr>
                <w:color w:val="000000" w:themeColor="text1"/>
                <w:szCs w:val="24"/>
              </w:rPr>
              <w:t>Santisuk 5304641037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051D2D" w:rsidRPr="0074163C" w:rsidRDefault="0074163C" w:rsidP="00CF0E78">
            <w:pPr>
              <w:rPr>
                <w:szCs w:val="24"/>
              </w:rPr>
            </w:pPr>
            <w:r>
              <w:rPr>
                <w:szCs w:val="24"/>
              </w:rPr>
              <w:t>7 Dec</w:t>
            </w:r>
          </w:p>
        </w:tc>
      </w:tr>
      <w:tr w:rsidR="003F08F9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3F08F9" w:rsidRPr="0074163C" w:rsidRDefault="003F08F9">
            <w:pPr>
              <w:rPr>
                <w:szCs w:val="24"/>
              </w:rPr>
            </w:pPr>
            <w:r w:rsidRPr="0074163C">
              <w:rPr>
                <w:i/>
                <w:iCs/>
                <w:szCs w:val="24"/>
              </w:rPr>
              <w:t>Tax Avoidance</w:t>
            </w:r>
          </w:p>
        </w:tc>
      </w:tr>
      <w:tr w:rsidR="003F08F9" w:rsidTr="00BD0950">
        <w:tc>
          <w:tcPr>
            <w:tcW w:w="3936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Lipatov, Vilen, 2008, “Social Interaction in Tax Evasion,”</w:t>
            </w:r>
            <w:r w:rsidRPr="00F27F0D">
              <w:rPr>
                <w:i/>
                <w:iCs/>
                <w:szCs w:val="24"/>
              </w:rPr>
              <w:t xml:space="preserve"> MPRA Paper No. 8829</w:t>
            </w:r>
            <w:r w:rsidRPr="00F27F0D">
              <w:rPr>
                <w:szCs w:val="24"/>
              </w:rPr>
              <w:t>, Munich Personal RePEc Archive</w:t>
            </w:r>
          </w:p>
        </w:tc>
        <w:tc>
          <w:tcPr>
            <w:tcW w:w="2653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Monica 5202640487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Chanisa 5204640139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Somrudee 5204641038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Surita 5204641129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Thongkorn 5204641335</w:t>
            </w:r>
          </w:p>
        </w:tc>
        <w:tc>
          <w:tcPr>
            <w:tcW w:w="2653" w:type="dxa"/>
          </w:tcPr>
          <w:p w:rsidR="003F08F9" w:rsidRPr="0074163C" w:rsidRDefault="0074163C" w:rsidP="004200CA">
            <w:pPr>
              <w:rPr>
                <w:szCs w:val="24"/>
              </w:rPr>
            </w:pPr>
            <w:r>
              <w:rPr>
                <w:szCs w:val="24"/>
              </w:rPr>
              <w:t>7 Dec</w:t>
            </w:r>
          </w:p>
        </w:tc>
      </w:tr>
      <w:tr w:rsidR="003F08F9" w:rsidTr="00E95BA2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Orviska, Marta, and John Hudson, 2003, ‘Tax Evasion, Civic Duty, and the Law abiding Citizen,’ </w:t>
            </w:r>
            <w:r w:rsidRPr="00F27F0D">
              <w:rPr>
                <w:i/>
                <w:iCs/>
                <w:szCs w:val="24"/>
              </w:rPr>
              <w:t>European Journal of Political Economy</w:t>
            </w:r>
            <w:r w:rsidRPr="00F27F0D">
              <w:rPr>
                <w:szCs w:val="24"/>
              </w:rPr>
              <w:t>, Volume 19, Issue 1,pp. 83-102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Benya 5104640080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Pakanan 5104640692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Parinth 5104640791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Phassaphon 5104640908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Sanchai 5104641112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3F08F9" w:rsidRPr="0074163C" w:rsidRDefault="0074163C" w:rsidP="0078691E">
            <w:pPr>
              <w:rPr>
                <w:szCs w:val="24"/>
              </w:rPr>
            </w:pPr>
            <w:r>
              <w:rPr>
                <w:szCs w:val="24"/>
              </w:rPr>
              <w:t>7 Dec</w:t>
            </w:r>
          </w:p>
        </w:tc>
      </w:tr>
      <w:tr w:rsidR="0029558C" w:rsidTr="0047420F">
        <w:tc>
          <w:tcPr>
            <w:tcW w:w="3936" w:type="dxa"/>
          </w:tcPr>
          <w:p w:rsidR="0029558C" w:rsidRPr="00F27F0D" w:rsidRDefault="0029558C" w:rsidP="0047420F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Cai, Hongbin, Hanming Fang and Lixin </w:t>
            </w:r>
            <w:r w:rsidRPr="00F27F0D">
              <w:rPr>
                <w:szCs w:val="24"/>
              </w:rPr>
              <w:lastRenderedPageBreak/>
              <w:t xml:space="preserve">Colin Xu, 2011, “Eat, Drink, Firms, Government: An Investigation of Corruption from the Entertainment and Travel Costs of Chinese Firms”,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 xml:space="preserve">, Vol. 54, No. 1 (February 2011), pp. 55-78 </w:t>
            </w:r>
          </w:p>
        </w:tc>
        <w:tc>
          <w:tcPr>
            <w:tcW w:w="2653" w:type="dxa"/>
          </w:tcPr>
          <w:p w:rsidR="0029558C" w:rsidRPr="00F27F0D" w:rsidRDefault="0029558C" w:rsidP="0047420F">
            <w:pPr>
              <w:rPr>
                <w:szCs w:val="24"/>
              </w:rPr>
            </w:pPr>
            <w:r w:rsidRPr="00F27F0D">
              <w:rPr>
                <w:szCs w:val="24"/>
              </w:rPr>
              <w:lastRenderedPageBreak/>
              <w:t>Thongkorn 5204641335</w:t>
            </w:r>
          </w:p>
        </w:tc>
        <w:tc>
          <w:tcPr>
            <w:tcW w:w="2653" w:type="dxa"/>
          </w:tcPr>
          <w:p w:rsidR="0029558C" w:rsidRPr="0074163C" w:rsidRDefault="0029558C" w:rsidP="0047420F">
            <w:pPr>
              <w:rPr>
                <w:szCs w:val="24"/>
              </w:rPr>
            </w:pPr>
            <w:r w:rsidRPr="0074163C">
              <w:rPr>
                <w:szCs w:val="24"/>
              </w:rPr>
              <w:t>7 Dec</w:t>
            </w:r>
          </w:p>
        </w:tc>
      </w:tr>
      <w:tr w:rsidR="003F08F9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3F08F9" w:rsidRPr="0074163C" w:rsidRDefault="003F08F9" w:rsidP="00ED62E3">
            <w:pPr>
              <w:rPr>
                <w:szCs w:val="24"/>
              </w:rPr>
            </w:pPr>
            <w:r w:rsidRPr="0074163C">
              <w:rPr>
                <w:i/>
                <w:iCs/>
                <w:szCs w:val="24"/>
              </w:rPr>
              <w:lastRenderedPageBreak/>
              <w:t>Norms</w:t>
            </w:r>
          </w:p>
        </w:tc>
      </w:tr>
      <w:tr w:rsidR="00ED62E3" w:rsidTr="00E95BA2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ED62E3" w:rsidRPr="00F27F0D" w:rsidRDefault="00ED62E3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Costa, Dora L. and Matthew E. Kahn, 2007, “Deserters, Social Norms, and Migration,”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 Vol. 50, No. 2 (May 2007), pp. 323-353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Tatnita 5304641151</w:t>
            </w:r>
          </w:p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Jutimar 5304641441</w:t>
            </w:r>
          </w:p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Tanut 5304641128</w:t>
            </w:r>
          </w:p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Wisaruth 5304641383</w:t>
            </w:r>
          </w:p>
          <w:p w:rsidR="00ED62E3" w:rsidRPr="00F27F0D" w:rsidRDefault="001971AB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Supanida 5304641052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ED62E3" w:rsidRPr="0074163C" w:rsidRDefault="0074163C" w:rsidP="00ED62E3">
            <w:pPr>
              <w:rPr>
                <w:szCs w:val="24"/>
              </w:rPr>
            </w:pPr>
            <w:r>
              <w:rPr>
                <w:szCs w:val="24"/>
              </w:rPr>
              <w:t>9 Dec</w:t>
            </w:r>
          </w:p>
        </w:tc>
      </w:tr>
      <w:tr w:rsidR="0074163C" w:rsidTr="00CF0E78">
        <w:tc>
          <w:tcPr>
            <w:tcW w:w="9242" w:type="dxa"/>
            <w:gridSpan w:val="3"/>
            <w:shd w:val="clear" w:color="auto" w:fill="D9D9D9" w:themeFill="background1" w:themeFillShade="D9"/>
          </w:tcPr>
          <w:p w:rsidR="0074163C" w:rsidRPr="0074163C" w:rsidRDefault="0074163C" w:rsidP="00CF0E78">
            <w:pPr>
              <w:rPr>
                <w:i/>
                <w:iCs/>
                <w:szCs w:val="24"/>
              </w:rPr>
            </w:pPr>
            <w:r w:rsidRPr="0074163C">
              <w:rPr>
                <w:i/>
                <w:iCs/>
                <w:szCs w:val="24"/>
              </w:rPr>
              <w:t>Family</w:t>
            </w:r>
          </w:p>
        </w:tc>
      </w:tr>
      <w:tr w:rsidR="0074163C" w:rsidTr="00CF0E78">
        <w:tc>
          <w:tcPr>
            <w:tcW w:w="3936" w:type="dxa"/>
          </w:tcPr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Aizer, Anna, and Pedro Dal Bó, 2007, “Love, Hate and Murder: Commitment Devices in Violent Relationships,” </w:t>
            </w:r>
            <w:r w:rsidRPr="00F27F0D">
              <w:rPr>
                <w:i/>
                <w:iCs/>
                <w:szCs w:val="24"/>
              </w:rPr>
              <w:t>NBER Working Paper 13492</w:t>
            </w:r>
            <w:r w:rsidRPr="00F27F0D">
              <w:rPr>
                <w:szCs w:val="24"/>
              </w:rPr>
              <w:t xml:space="preserve">, National Bureau of Economic Research: Cambridge, MA. </w:t>
            </w:r>
          </w:p>
        </w:tc>
        <w:tc>
          <w:tcPr>
            <w:tcW w:w="2653" w:type="dxa"/>
          </w:tcPr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Jananya 5104610254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Narttana 5104640494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Thanyathorn 5304641201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Tossaporn 5304641318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Paam 5304640559</w:t>
            </w:r>
          </w:p>
        </w:tc>
        <w:tc>
          <w:tcPr>
            <w:tcW w:w="2653" w:type="dxa"/>
          </w:tcPr>
          <w:p w:rsidR="0074163C" w:rsidRPr="0074163C" w:rsidRDefault="0074163C" w:rsidP="00CF0E78">
            <w:pPr>
              <w:rPr>
                <w:szCs w:val="24"/>
              </w:rPr>
            </w:pPr>
            <w:r>
              <w:rPr>
                <w:szCs w:val="24"/>
              </w:rPr>
              <w:t>9 Dec</w:t>
            </w:r>
          </w:p>
        </w:tc>
      </w:tr>
      <w:tr w:rsidR="0074163C" w:rsidTr="00CF0E78">
        <w:tc>
          <w:tcPr>
            <w:tcW w:w="3936" w:type="dxa"/>
          </w:tcPr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Brinig, Margaret F., 1990, ‘Rings and Promises,’ </w:t>
            </w:r>
            <w:r w:rsidRPr="00F27F0D">
              <w:rPr>
                <w:i/>
                <w:iCs/>
                <w:szCs w:val="24"/>
              </w:rPr>
              <w:t>Journal of Law, Economics, &amp; Organization</w:t>
            </w:r>
            <w:r w:rsidRPr="00F27F0D">
              <w:rPr>
                <w:szCs w:val="24"/>
              </w:rPr>
              <w:t>, Vol. 6, No. 1, pp. 203-215</w:t>
            </w:r>
          </w:p>
        </w:tc>
        <w:tc>
          <w:tcPr>
            <w:tcW w:w="2653" w:type="dxa"/>
          </w:tcPr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Jiramon 5104640296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Natthita 5104640569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Paphichaya 5104640783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Patcharaphan 5104640825</w:t>
            </w:r>
          </w:p>
        </w:tc>
        <w:tc>
          <w:tcPr>
            <w:tcW w:w="2653" w:type="dxa"/>
          </w:tcPr>
          <w:p w:rsidR="0074163C" w:rsidRPr="0074163C" w:rsidRDefault="0074163C" w:rsidP="00CF0E78">
            <w:pPr>
              <w:rPr>
                <w:szCs w:val="24"/>
              </w:rPr>
            </w:pPr>
            <w:r>
              <w:rPr>
                <w:szCs w:val="24"/>
              </w:rPr>
              <w:t>9 Dec</w:t>
            </w:r>
          </w:p>
        </w:tc>
      </w:tr>
      <w:tr w:rsidR="0074163C" w:rsidTr="00CF0E78">
        <w:tc>
          <w:tcPr>
            <w:tcW w:w="3936" w:type="dxa"/>
          </w:tcPr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Cohen, Lloyd, 1987, ‘Marriage, Divorce, and Quasi Rents; Or, "I Gave Him the Best Years of My Life",’ </w:t>
            </w:r>
            <w:r w:rsidRPr="00F27F0D">
              <w:rPr>
                <w:i/>
                <w:iCs/>
                <w:szCs w:val="24"/>
              </w:rPr>
              <w:t>Journal of Legal Studies</w:t>
            </w:r>
            <w:r w:rsidRPr="00F27F0D">
              <w:rPr>
                <w:szCs w:val="24"/>
              </w:rPr>
              <w:t>, Vol. 16, No. 2, pp. 267-303</w:t>
            </w:r>
          </w:p>
        </w:tc>
        <w:tc>
          <w:tcPr>
            <w:tcW w:w="2653" w:type="dxa"/>
          </w:tcPr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Primchat 5304640823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Ratawan 5304640898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Sajjapat 5304640922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Tipdhara 5304641292</w:t>
            </w:r>
          </w:p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>Vorapong 5304641359</w:t>
            </w:r>
          </w:p>
        </w:tc>
        <w:tc>
          <w:tcPr>
            <w:tcW w:w="2653" w:type="dxa"/>
          </w:tcPr>
          <w:p w:rsidR="0074163C" w:rsidRPr="0074163C" w:rsidRDefault="0074163C" w:rsidP="00CF0E78">
            <w:pPr>
              <w:rPr>
                <w:szCs w:val="24"/>
              </w:rPr>
            </w:pPr>
            <w:r>
              <w:rPr>
                <w:szCs w:val="24"/>
              </w:rPr>
              <w:t>9 Dec</w:t>
            </w:r>
          </w:p>
        </w:tc>
      </w:tr>
      <w:tr w:rsidR="0074163C" w:rsidTr="00CF0E78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74163C" w:rsidRPr="00F27F0D" w:rsidRDefault="0074163C" w:rsidP="00CF0E78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Chou ,Shin‐Yi, Inas Rashad and Michael Grossman, 2008, “Fast‐Food Restaurant Advertising on Television and Its Influence on Childhood Obesity,”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 Vol. 51, No. 4 (November 2008), pp. 599-618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74163C" w:rsidRPr="0074163C" w:rsidRDefault="0074163C" w:rsidP="00CF0E78">
            <w:pPr>
              <w:rPr>
                <w:szCs w:val="24"/>
              </w:rPr>
            </w:pPr>
            <w:r w:rsidRPr="0074163C">
              <w:rPr>
                <w:szCs w:val="24"/>
              </w:rPr>
              <w:t>Natakorn 5204640576</w:t>
            </w:r>
          </w:p>
          <w:p w:rsidR="0074163C" w:rsidRPr="0074163C" w:rsidRDefault="0074163C" w:rsidP="00CF0E78">
            <w:pPr>
              <w:rPr>
                <w:szCs w:val="24"/>
              </w:rPr>
            </w:pPr>
            <w:r w:rsidRPr="0074163C">
              <w:rPr>
                <w:szCs w:val="24"/>
              </w:rPr>
              <w:t>Paween 5204640733</w:t>
            </w:r>
          </w:p>
          <w:p w:rsidR="0074163C" w:rsidRPr="0074163C" w:rsidRDefault="0074163C" w:rsidP="00CF0E78">
            <w:pPr>
              <w:rPr>
                <w:szCs w:val="24"/>
              </w:rPr>
            </w:pPr>
            <w:r w:rsidRPr="0074163C">
              <w:rPr>
                <w:szCs w:val="24"/>
              </w:rPr>
              <w:t>Piyaporn 5204640824</w:t>
            </w:r>
          </w:p>
          <w:p w:rsidR="0074163C" w:rsidRPr="0074163C" w:rsidRDefault="0074163C" w:rsidP="00CF0E78">
            <w:pPr>
              <w:rPr>
                <w:szCs w:val="24"/>
              </w:rPr>
            </w:pPr>
            <w:r w:rsidRPr="0074163C">
              <w:rPr>
                <w:szCs w:val="24"/>
              </w:rPr>
              <w:t>Tamonwan 5204641178</w:t>
            </w:r>
          </w:p>
          <w:p w:rsidR="0074163C" w:rsidRPr="00F27F0D" w:rsidRDefault="0074163C" w:rsidP="00CF0E78">
            <w:pPr>
              <w:rPr>
                <w:szCs w:val="24"/>
              </w:rPr>
            </w:pP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74163C" w:rsidRPr="0074163C" w:rsidRDefault="0074163C" w:rsidP="00CF0E78">
            <w:pPr>
              <w:rPr>
                <w:szCs w:val="24"/>
              </w:rPr>
            </w:pPr>
            <w:r>
              <w:rPr>
                <w:szCs w:val="24"/>
              </w:rPr>
              <w:t>9 Dec</w:t>
            </w:r>
          </w:p>
        </w:tc>
      </w:tr>
      <w:tr w:rsidR="00E95BA2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E95BA2" w:rsidRPr="0074163C" w:rsidRDefault="00E95BA2" w:rsidP="00BD0950">
            <w:pPr>
              <w:rPr>
                <w:szCs w:val="24"/>
              </w:rPr>
            </w:pPr>
            <w:r w:rsidRPr="0074163C">
              <w:rPr>
                <w:i/>
                <w:iCs/>
                <w:szCs w:val="24"/>
              </w:rPr>
              <w:t>Others</w:t>
            </w:r>
          </w:p>
        </w:tc>
      </w:tr>
      <w:tr w:rsidR="00E95BA2" w:rsidTr="00BD0950">
        <w:tc>
          <w:tcPr>
            <w:tcW w:w="3936" w:type="dxa"/>
          </w:tcPr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Rasmusen, Eric, 1996, ‘Stigma and Self-Fulfilling Expectations of Criminality,’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,’ Vol. 39, No. 2, pp. 519-543</w:t>
            </w:r>
          </w:p>
        </w:tc>
        <w:tc>
          <w:tcPr>
            <w:tcW w:w="2653" w:type="dxa"/>
          </w:tcPr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Theerapat 5304641250</w:t>
            </w:r>
          </w:p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Suntisuk 5304641037</w:t>
            </w:r>
          </w:p>
          <w:p w:rsidR="00E95BA2" w:rsidRPr="00F27F0D" w:rsidRDefault="00E95BA2" w:rsidP="000508F6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Sutthikit </w:t>
            </w:r>
            <w:r w:rsidR="000508F6">
              <w:rPr>
                <w:szCs w:val="24"/>
              </w:rPr>
              <w:t>5304641094</w:t>
            </w:r>
          </w:p>
        </w:tc>
        <w:tc>
          <w:tcPr>
            <w:tcW w:w="2653" w:type="dxa"/>
          </w:tcPr>
          <w:p w:rsidR="00E95BA2" w:rsidRPr="0074163C" w:rsidRDefault="0074163C" w:rsidP="00BD0950">
            <w:pPr>
              <w:rPr>
                <w:szCs w:val="24"/>
              </w:rPr>
            </w:pPr>
            <w:r>
              <w:rPr>
                <w:szCs w:val="24"/>
              </w:rPr>
              <w:t>9 Dec</w:t>
            </w:r>
          </w:p>
        </w:tc>
      </w:tr>
      <w:tr w:rsidR="00E95BA2" w:rsidTr="00BD0950">
        <w:tc>
          <w:tcPr>
            <w:tcW w:w="3936" w:type="dxa"/>
          </w:tcPr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Carneiro, Pedro, Heckman, James J. and Dimitriy V. Masterov, 2005, ‘Labor Market Discrimination and Racial Differences in Premarket Factors,’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 Vol. 48, No. 1, pp. 1-39</w:t>
            </w:r>
          </w:p>
        </w:tc>
        <w:tc>
          <w:tcPr>
            <w:tcW w:w="2653" w:type="dxa"/>
          </w:tcPr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Chanisa 5204640139</w:t>
            </w:r>
          </w:p>
        </w:tc>
        <w:tc>
          <w:tcPr>
            <w:tcW w:w="2653" w:type="dxa"/>
          </w:tcPr>
          <w:p w:rsidR="00E95BA2" w:rsidRPr="0074163C" w:rsidRDefault="0074163C" w:rsidP="00A8266D">
            <w:pPr>
              <w:rPr>
                <w:szCs w:val="24"/>
              </w:rPr>
            </w:pPr>
            <w:r>
              <w:rPr>
                <w:szCs w:val="24"/>
              </w:rPr>
              <w:t>9 Dec</w:t>
            </w:r>
          </w:p>
        </w:tc>
      </w:tr>
      <w:tr w:rsidR="00E715D6" w:rsidTr="00BD0950">
        <w:tc>
          <w:tcPr>
            <w:tcW w:w="3936" w:type="dxa"/>
          </w:tcPr>
          <w:p w:rsidR="00E715D6" w:rsidRPr="00E715D6" w:rsidRDefault="00E715D6" w:rsidP="00E715D6">
            <w:pPr>
              <w:rPr>
                <w:szCs w:val="24"/>
              </w:rPr>
            </w:pPr>
            <w:r w:rsidRPr="00E715D6">
              <w:rPr>
                <w:szCs w:val="24"/>
              </w:rPr>
              <w:t>Khwaja</w:t>
            </w:r>
            <w:r>
              <w:rPr>
                <w:szCs w:val="24"/>
              </w:rPr>
              <w:t xml:space="preserve">, </w:t>
            </w:r>
            <w:r w:rsidRPr="00E715D6">
              <w:rPr>
                <w:szCs w:val="24"/>
              </w:rPr>
              <w:t>Ahmed</w:t>
            </w:r>
            <w:r>
              <w:rPr>
                <w:szCs w:val="24"/>
              </w:rPr>
              <w:t xml:space="preserve">, </w:t>
            </w:r>
            <w:r w:rsidRPr="00E715D6">
              <w:rPr>
                <w:szCs w:val="24"/>
              </w:rPr>
              <w:t>Sloan</w:t>
            </w:r>
            <w:r>
              <w:rPr>
                <w:szCs w:val="24"/>
              </w:rPr>
              <w:t xml:space="preserve">, </w:t>
            </w:r>
          </w:p>
          <w:p w:rsidR="00E715D6" w:rsidRPr="00E715D6" w:rsidRDefault="00E715D6" w:rsidP="00E715D6">
            <w:pPr>
              <w:rPr>
                <w:szCs w:val="24"/>
              </w:rPr>
            </w:pPr>
            <w:r w:rsidRPr="00E715D6">
              <w:rPr>
                <w:szCs w:val="24"/>
              </w:rPr>
              <w:t>Frank</w:t>
            </w:r>
            <w:r>
              <w:rPr>
                <w:szCs w:val="24"/>
              </w:rPr>
              <w:t xml:space="preserve"> and </w:t>
            </w:r>
            <w:r w:rsidRPr="00E715D6">
              <w:rPr>
                <w:szCs w:val="24"/>
              </w:rPr>
              <w:t>Yang Wang Duke</w:t>
            </w:r>
            <w:r>
              <w:rPr>
                <w:szCs w:val="24"/>
              </w:rPr>
              <w:t>, 2009, ‘</w:t>
            </w:r>
            <w:r w:rsidRPr="00E715D6">
              <w:rPr>
                <w:szCs w:val="24"/>
              </w:rPr>
              <w:t>Do Smokers Value Their Health</w:t>
            </w:r>
          </w:p>
          <w:p w:rsidR="00E715D6" w:rsidRPr="00F27F0D" w:rsidRDefault="00E715D6" w:rsidP="00E715D6">
            <w:pPr>
              <w:rPr>
                <w:szCs w:val="24"/>
              </w:rPr>
            </w:pPr>
            <w:r w:rsidRPr="00E715D6">
              <w:rPr>
                <w:szCs w:val="24"/>
              </w:rPr>
              <w:t>and Longevity Less?</w:t>
            </w:r>
            <w:r>
              <w:rPr>
                <w:szCs w:val="24"/>
              </w:rPr>
              <w:t xml:space="preserve">’ </w:t>
            </w:r>
            <w:r w:rsidRPr="00E715D6">
              <w:rPr>
                <w:i/>
                <w:iCs/>
                <w:szCs w:val="24"/>
              </w:rPr>
              <w:t>Journal of Law and Economics</w:t>
            </w:r>
            <w:r>
              <w:rPr>
                <w:szCs w:val="24"/>
              </w:rPr>
              <w:t>, vol. 52,pp. 171-196</w:t>
            </w:r>
          </w:p>
        </w:tc>
        <w:tc>
          <w:tcPr>
            <w:tcW w:w="2653" w:type="dxa"/>
          </w:tcPr>
          <w:p w:rsidR="00E715D6" w:rsidRPr="00F27F0D" w:rsidRDefault="00E715D6" w:rsidP="0074163C">
            <w:pPr>
              <w:rPr>
                <w:szCs w:val="24"/>
              </w:rPr>
            </w:pPr>
            <w:r w:rsidRPr="00E715D6">
              <w:rPr>
                <w:szCs w:val="24"/>
              </w:rPr>
              <w:t>Pudit 5004640123</w:t>
            </w:r>
          </w:p>
        </w:tc>
        <w:tc>
          <w:tcPr>
            <w:tcW w:w="2653" w:type="dxa"/>
          </w:tcPr>
          <w:p w:rsidR="00E715D6" w:rsidRPr="0074163C" w:rsidRDefault="0074163C" w:rsidP="00A8266D">
            <w:pPr>
              <w:rPr>
                <w:szCs w:val="24"/>
              </w:rPr>
            </w:pPr>
            <w:r>
              <w:rPr>
                <w:szCs w:val="24"/>
              </w:rPr>
              <w:t>9 Dec</w:t>
            </w:r>
          </w:p>
        </w:tc>
      </w:tr>
    </w:tbl>
    <w:p w:rsidR="009E3047" w:rsidRPr="009E3047" w:rsidRDefault="009E3047">
      <w:pPr>
        <w:rPr>
          <w:sz w:val="24"/>
        </w:rPr>
      </w:pPr>
    </w:p>
    <w:sectPr w:rsidR="009E3047" w:rsidRPr="009E3047" w:rsidSect="00E95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A42" w:rsidRDefault="00087A42" w:rsidP="009E3047">
      <w:pPr>
        <w:spacing w:after="0" w:line="240" w:lineRule="auto"/>
      </w:pPr>
      <w:r>
        <w:separator/>
      </w:r>
    </w:p>
  </w:endnote>
  <w:endnote w:type="continuationSeparator" w:id="1">
    <w:p w:rsidR="00087A42" w:rsidRDefault="00087A42" w:rsidP="009E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A42" w:rsidRDefault="00087A42" w:rsidP="009E3047">
      <w:pPr>
        <w:spacing w:after="0" w:line="240" w:lineRule="auto"/>
      </w:pPr>
      <w:r>
        <w:separator/>
      </w:r>
    </w:p>
  </w:footnote>
  <w:footnote w:type="continuationSeparator" w:id="1">
    <w:p w:rsidR="00087A42" w:rsidRDefault="00087A42" w:rsidP="009E30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E3047"/>
    <w:rsid w:val="000416C1"/>
    <w:rsid w:val="000508F6"/>
    <w:rsid w:val="00051D2D"/>
    <w:rsid w:val="00087A42"/>
    <w:rsid w:val="000B02D2"/>
    <w:rsid w:val="000C3147"/>
    <w:rsid w:val="00184C46"/>
    <w:rsid w:val="001971AB"/>
    <w:rsid w:val="001D1FA6"/>
    <w:rsid w:val="001D47D2"/>
    <w:rsid w:val="002169DB"/>
    <w:rsid w:val="00273BF2"/>
    <w:rsid w:val="0029558C"/>
    <w:rsid w:val="002A2801"/>
    <w:rsid w:val="00397EC9"/>
    <w:rsid w:val="003D2CDC"/>
    <w:rsid w:val="003F08F9"/>
    <w:rsid w:val="004200CA"/>
    <w:rsid w:val="005E5D6C"/>
    <w:rsid w:val="006A3418"/>
    <w:rsid w:val="0074163C"/>
    <w:rsid w:val="00745306"/>
    <w:rsid w:val="0078691E"/>
    <w:rsid w:val="007C1C1E"/>
    <w:rsid w:val="008C2569"/>
    <w:rsid w:val="00904320"/>
    <w:rsid w:val="009A7F70"/>
    <w:rsid w:val="009C0911"/>
    <w:rsid w:val="009E3047"/>
    <w:rsid w:val="00A126C5"/>
    <w:rsid w:val="00A50181"/>
    <w:rsid w:val="00A8266D"/>
    <w:rsid w:val="00B235AF"/>
    <w:rsid w:val="00BC27C2"/>
    <w:rsid w:val="00C70F53"/>
    <w:rsid w:val="00DB4301"/>
    <w:rsid w:val="00E715D6"/>
    <w:rsid w:val="00E95BA2"/>
    <w:rsid w:val="00ED62E3"/>
    <w:rsid w:val="00F27F0D"/>
    <w:rsid w:val="00F47EB5"/>
    <w:rsid w:val="00F546AE"/>
    <w:rsid w:val="00F94F08"/>
    <w:rsid w:val="00FB6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6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E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3047"/>
  </w:style>
  <w:style w:type="paragraph" w:styleId="Footer">
    <w:name w:val="footer"/>
    <w:basedOn w:val="Normal"/>
    <w:link w:val="FooterChar"/>
    <w:uiPriority w:val="99"/>
    <w:semiHidden/>
    <w:unhideWhenUsed/>
    <w:rsid w:val="009E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3047"/>
  </w:style>
  <w:style w:type="table" w:styleId="TableGrid">
    <w:name w:val="Table Grid"/>
    <w:basedOn w:val="TableNormal"/>
    <w:uiPriority w:val="59"/>
    <w:rsid w:val="009E30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0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53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3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test</cp:lastModifiedBy>
  <cp:revision>19</cp:revision>
  <dcterms:created xsi:type="dcterms:W3CDTF">2011-09-06T01:35:00Z</dcterms:created>
  <dcterms:modified xsi:type="dcterms:W3CDTF">2011-11-23T06:58:00Z</dcterms:modified>
</cp:coreProperties>
</file>