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03C" w:rsidRDefault="002C203C" w:rsidP="002C203C">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FN281</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1. Discuss one insurance product and comment on its benefits.</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        I chose group life insurance offered by AIA All in one for the insurance product. Insurance is saving money that also a protection of a life, health, accident, because when you buy insurance, you are covered by an agreement with the company. Allows you not to worry so much. When the insurance is at maturity, you will get the premium back and with profit margins and the benefits of saving money on insurance, it is better to put the money in insurance program than in bank. Saving money on Life Insurance can also deduct the income tax. This insurance product covers almost all type of the insurance programs that people need such as life insurance, accident, disease, health, income and offset the savings you get with every situation that reversed. Fully insured in a single purchase from age 1month to 70 years old and premium fixed throughout the contract.</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        Firstly, life insurance coverage of 200,000 baht (pay premiums for only 10 years, live coverage to age 80 years ). Premiums in this category can be used to deduct the income tax highest for 100,000 Baht. If the permanent disability while paying the insurance premium ,the company will provide insurance premium in a full amount. The insurance paid 200,000. Baht to the buyers at the end of contract when they are 80 years old. If the buyers died before the age of 80, 200,000 Baht will be paid beneficiary immediately.</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        Secondly, accident insurance coverage of 600,000 Baht. Deaths from accidents, providing 600,000 THB to beneficiaries immediately and also get paid 200,000 from life insurance. Deaths from murder, the beneficiary receives 400,000 and 200,000 from life insurance. Get compensation for hospitalization from the accident 600 baht per day.</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        Coverage of 200,000 baht for the 44 serious diseases when the doctor found that the buyers get the disease. Also the coverage health insurance including medical cost, treatment, etc. </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        Lastly, group income insurance, compensation for daily income of 1,000 baht when admitted to hospital. </w:t>
      </w:r>
    </w:p>
    <w:tbl>
      <w:tblPr>
        <w:tblW w:w="5000" w:type="pct"/>
        <w:tblCellSpacing w:w="0" w:type="dxa"/>
        <w:tblCellMar>
          <w:left w:w="0" w:type="dxa"/>
          <w:right w:w="0" w:type="dxa"/>
        </w:tblCellMar>
        <w:tblLook w:val="04A0"/>
      </w:tblPr>
      <w:tblGrid>
        <w:gridCol w:w="136"/>
        <w:gridCol w:w="8890"/>
      </w:tblGrid>
      <w:tr w:rsidR="002C203C" w:rsidRPr="002C203C" w:rsidTr="002C203C">
        <w:trPr>
          <w:tblCellSpacing w:w="0" w:type="dxa"/>
        </w:trPr>
        <w:tc>
          <w:tcPr>
            <w:tcW w:w="0" w:type="auto"/>
            <w:vAlign w:val="center"/>
            <w:hideMark/>
          </w:tcPr>
          <w:p w:rsidR="002C203C" w:rsidRPr="002C203C" w:rsidRDefault="002C203C" w:rsidP="002C203C">
            <w:pPr>
              <w:spacing w:after="0" w:line="240" w:lineRule="auto"/>
              <w:rPr>
                <w:rFonts w:ascii="Arial" w:eastAsia="Times New Roman" w:hAnsi="Arial" w:cs="Arial"/>
                <w:color w:val="F7F3F3"/>
                <w:sz w:val="29"/>
                <w:szCs w:val="29"/>
              </w:rPr>
            </w:pPr>
            <w:r w:rsidRPr="002C203C">
              <w:rPr>
                <w:rFonts w:ascii="Arial" w:eastAsia="Times New Roman" w:hAnsi="Arial" w:cs="Arial"/>
                <w:color w:val="F7F3F3"/>
                <w:sz w:val="29"/>
                <w:szCs w:val="29"/>
              </w:rPr>
              <w:t>​</w:t>
            </w:r>
            <w:r w:rsidRPr="002C203C">
              <w:rPr>
                <w:rFonts w:ascii="Arial" w:eastAsia="Times New Roman" w:hAnsi="Arial" w:cs="Arial"/>
                <w:color w:val="F7F3F3"/>
                <w:sz w:val="29"/>
                <w:szCs w:val="29"/>
              </w:rPr>
              <w:lastRenderedPageBreak/>
              <w:t>d</w:t>
            </w:r>
          </w:p>
        </w:tc>
        <w:tc>
          <w:tcPr>
            <w:tcW w:w="0" w:type="auto"/>
            <w:vAlign w:val="center"/>
            <w:hideMark/>
          </w:tcPr>
          <w:p w:rsidR="002C203C" w:rsidRPr="002C203C" w:rsidRDefault="002C203C" w:rsidP="002C203C">
            <w:pPr>
              <w:spacing w:after="0" w:line="240" w:lineRule="auto"/>
              <w:rPr>
                <w:rFonts w:ascii="Tahoma" w:eastAsia="Times New Roman" w:hAnsi="Tahoma" w:cs="Tahoma"/>
                <w:color w:val="009AFF"/>
                <w:sz w:val="29"/>
                <w:szCs w:val="29"/>
              </w:rPr>
            </w:pPr>
            <w:r w:rsidRPr="002C203C">
              <w:rPr>
                <w:rFonts w:ascii="Tahoma" w:eastAsia="Times New Roman" w:hAnsi="Tahoma" w:cs="Tahoma"/>
                <w:b/>
                <w:bCs/>
                <w:color w:val="FF0000"/>
                <w:sz w:val="29"/>
              </w:rPr>
              <w:lastRenderedPageBreak/>
              <w:t>                                                      </w:t>
            </w:r>
            <w:r w:rsidRPr="002C203C">
              <w:rPr>
                <w:rFonts w:ascii="Tahoma" w:eastAsia="Times New Roman" w:hAnsi="Tahoma" w:cs="Tahoma"/>
                <w:color w:val="FF0000"/>
                <w:sz w:val="29"/>
                <w:szCs w:val="29"/>
              </w:rPr>
              <w:t>                                               </w:t>
            </w:r>
            <w:r w:rsidRPr="002C203C">
              <w:rPr>
                <w:rFonts w:ascii="Tahoma" w:eastAsia="Times New Roman" w:hAnsi="Tahoma" w:cs="Tahoma"/>
                <w:color w:val="FF0000"/>
                <w:sz w:val="29"/>
                <w:szCs w:val="29"/>
              </w:rPr>
              <w:lastRenderedPageBreak/>
              <w:t xml:space="preserve">       premium table: AIA All in one male (estimated premiums).</w:t>
            </w:r>
          </w:p>
        </w:tc>
      </w:tr>
      <w:tr w:rsidR="002C203C" w:rsidRPr="002C203C" w:rsidTr="002C203C">
        <w:trPr>
          <w:tblCellSpacing w:w="0" w:type="dxa"/>
        </w:trPr>
        <w:tc>
          <w:tcPr>
            <w:tcW w:w="0" w:type="auto"/>
            <w:vAlign w:val="center"/>
            <w:hideMark/>
          </w:tcPr>
          <w:p w:rsidR="002C203C" w:rsidRPr="002C203C" w:rsidRDefault="002C203C" w:rsidP="002C203C">
            <w:pPr>
              <w:spacing w:after="0" w:line="240" w:lineRule="auto"/>
              <w:jc w:val="center"/>
              <w:rPr>
                <w:rFonts w:ascii="Arial" w:eastAsia="Times New Roman" w:hAnsi="Arial" w:cs="Arial"/>
                <w:color w:val="F7F3F3"/>
                <w:sz w:val="29"/>
                <w:szCs w:val="29"/>
              </w:rPr>
            </w:pPr>
            <w:r w:rsidRPr="002C203C">
              <w:rPr>
                <w:rFonts w:ascii="Arial" w:eastAsia="Times New Roman" w:hAnsi="Arial" w:cs="Arial"/>
                <w:color w:val="F7F3F3"/>
                <w:sz w:val="29"/>
                <w:szCs w:val="29"/>
              </w:rPr>
              <w:lastRenderedPageBreak/>
              <w:t>​</w:t>
            </w:r>
          </w:p>
        </w:tc>
        <w:tc>
          <w:tcPr>
            <w:tcW w:w="0" w:type="auto"/>
            <w:vAlign w:val="center"/>
            <w:hideMark/>
          </w:tcPr>
          <w:p w:rsidR="002C203C" w:rsidRPr="002C203C" w:rsidRDefault="002C203C" w:rsidP="002C203C">
            <w:pPr>
              <w:spacing w:after="0" w:line="240" w:lineRule="auto"/>
              <w:jc w:val="center"/>
              <w:rPr>
                <w:rFonts w:ascii="Arial" w:eastAsia="Times New Roman" w:hAnsi="Arial" w:cs="Arial"/>
                <w:color w:val="F7F3F3"/>
                <w:sz w:val="29"/>
                <w:szCs w:val="29"/>
              </w:rPr>
            </w:pPr>
            <w:r>
              <w:rPr>
                <w:rFonts w:ascii="Arial" w:eastAsia="Times New Roman" w:hAnsi="Arial" w:cs="Arial"/>
                <w:noProof/>
                <w:color w:val="F7F3F3"/>
                <w:sz w:val="29"/>
                <w:szCs w:val="29"/>
              </w:rPr>
              <w:drawing>
                <wp:inline distT="0" distB="0" distL="0" distR="0">
                  <wp:extent cx="6215380" cy="2720340"/>
                  <wp:effectExtent l="19050" t="0" r="0" b="0"/>
                  <wp:docPr id="1" name="Picture 1" descr="https://ci4.googleusercontent.com/proxy/38aoRxM_qt_4O_vrMPhoV4sL_u7_0-kwGMJL9z0kiV5WTtrdmFXymICJUSfRQFt9KWMrKSgFfcwORebX_8Gb__gBkX5v=s0-d-e1-ft#http://www.aiafamily.com/images/AllinOne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4.googleusercontent.com/proxy/38aoRxM_qt_4O_vrMPhoV4sL_u7_0-kwGMJL9z0kiV5WTtrdmFXymICJUSfRQFt9KWMrKSgFfcwORebX_8Gb__gBkX5v=s0-d-e1-ft#http://www.aiafamily.com/images/AllinOneMan.jpg"/>
                          <pic:cNvPicPr>
                            <a:picLocks noChangeAspect="1" noChangeArrowheads="1"/>
                          </pic:cNvPicPr>
                        </pic:nvPicPr>
                        <pic:blipFill>
                          <a:blip r:embed="rId6" cstate="print"/>
                          <a:srcRect/>
                          <a:stretch>
                            <a:fillRect/>
                          </a:stretch>
                        </pic:blipFill>
                        <pic:spPr bwMode="auto">
                          <a:xfrm>
                            <a:off x="0" y="0"/>
                            <a:ext cx="6215380" cy="2720340"/>
                          </a:xfrm>
                          <a:prstGeom prst="rect">
                            <a:avLst/>
                          </a:prstGeom>
                          <a:noFill/>
                          <a:ln w="9525">
                            <a:noFill/>
                            <a:miter lim="800000"/>
                            <a:headEnd/>
                            <a:tailEnd/>
                          </a:ln>
                        </pic:spPr>
                      </pic:pic>
                    </a:graphicData>
                  </a:graphic>
                </wp:inline>
              </w:drawing>
            </w:r>
          </w:p>
        </w:tc>
      </w:tr>
      <w:tr w:rsidR="002C203C" w:rsidRPr="002C203C" w:rsidTr="002C203C">
        <w:trPr>
          <w:tblCellSpacing w:w="0" w:type="dxa"/>
        </w:trPr>
        <w:tc>
          <w:tcPr>
            <w:tcW w:w="0" w:type="auto"/>
            <w:vAlign w:val="center"/>
            <w:hideMark/>
          </w:tcPr>
          <w:p w:rsidR="002C203C" w:rsidRPr="002C203C" w:rsidRDefault="002C203C" w:rsidP="002C203C">
            <w:pPr>
              <w:spacing w:after="0" w:line="240" w:lineRule="auto"/>
              <w:rPr>
                <w:rFonts w:ascii="Arial" w:eastAsia="Times New Roman" w:hAnsi="Arial" w:cs="Arial"/>
                <w:color w:val="F7F3F3"/>
                <w:sz w:val="29"/>
                <w:szCs w:val="29"/>
              </w:rPr>
            </w:pPr>
            <w:r w:rsidRPr="002C203C">
              <w:rPr>
                <w:rFonts w:ascii="Arial" w:eastAsia="Times New Roman" w:hAnsi="Arial" w:cs="Arial"/>
                <w:color w:val="F7F3F3"/>
                <w:sz w:val="29"/>
                <w:szCs w:val="29"/>
              </w:rPr>
              <w:t>​</w:t>
            </w:r>
          </w:p>
        </w:tc>
        <w:tc>
          <w:tcPr>
            <w:tcW w:w="0" w:type="auto"/>
            <w:vAlign w:val="center"/>
            <w:hideMark/>
          </w:tcPr>
          <w:p w:rsidR="002C203C" w:rsidRPr="002C203C" w:rsidRDefault="002C203C" w:rsidP="002C203C">
            <w:pPr>
              <w:spacing w:after="0" w:line="240" w:lineRule="auto"/>
              <w:rPr>
                <w:rFonts w:ascii="Arial" w:eastAsia="Times New Roman" w:hAnsi="Arial" w:cs="Arial"/>
                <w:color w:val="F7F3F3"/>
                <w:sz w:val="29"/>
                <w:szCs w:val="29"/>
              </w:rPr>
            </w:pPr>
          </w:p>
        </w:tc>
      </w:tr>
      <w:tr w:rsidR="002C203C" w:rsidRPr="002C203C" w:rsidTr="002C203C">
        <w:trPr>
          <w:tblCellSpacing w:w="0" w:type="dxa"/>
        </w:trPr>
        <w:tc>
          <w:tcPr>
            <w:tcW w:w="0" w:type="auto"/>
            <w:vAlign w:val="center"/>
            <w:hideMark/>
          </w:tcPr>
          <w:p w:rsidR="002C203C" w:rsidRPr="002C203C" w:rsidRDefault="002C203C" w:rsidP="002C203C">
            <w:pPr>
              <w:spacing w:after="0" w:line="240" w:lineRule="auto"/>
              <w:rPr>
                <w:rFonts w:ascii="Arial" w:eastAsia="Times New Roman" w:hAnsi="Arial" w:cs="Arial"/>
                <w:color w:val="F7F3F3"/>
                <w:sz w:val="29"/>
                <w:szCs w:val="29"/>
              </w:rPr>
            </w:pPr>
            <w:r w:rsidRPr="002C203C">
              <w:rPr>
                <w:rFonts w:ascii="Arial" w:eastAsia="Times New Roman" w:hAnsi="Arial" w:cs="Arial"/>
                <w:color w:val="F7F3F3"/>
                <w:sz w:val="29"/>
                <w:szCs w:val="29"/>
              </w:rPr>
              <w:t>​</w:t>
            </w:r>
          </w:p>
        </w:tc>
        <w:tc>
          <w:tcPr>
            <w:tcW w:w="0" w:type="auto"/>
            <w:vAlign w:val="center"/>
            <w:hideMark/>
          </w:tcPr>
          <w:p w:rsidR="002C203C" w:rsidRPr="002C203C" w:rsidRDefault="002C203C" w:rsidP="002C203C">
            <w:pPr>
              <w:spacing w:after="0" w:line="240" w:lineRule="auto"/>
              <w:rPr>
                <w:rFonts w:ascii="Arial" w:eastAsia="Times New Roman" w:hAnsi="Arial" w:cs="Arial"/>
                <w:color w:val="F7F3F3"/>
                <w:sz w:val="29"/>
                <w:szCs w:val="29"/>
              </w:rPr>
            </w:pPr>
            <w:r w:rsidRPr="002C203C">
              <w:rPr>
                <w:rFonts w:ascii="Arial" w:eastAsia="Times New Roman" w:hAnsi="Arial" w:cs="Arial"/>
                <w:color w:val="F7F3F3"/>
                <w:sz w:val="29"/>
                <w:szCs w:val="29"/>
              </w:rPr>
              <w:t> </w:t>
            </w:r>
          </w:p>
        </w:tc>
      </w:tr>
      <w:tr w:rsidR="002C203C" w:rsidRPr="002C203C" w:rsidTr="002C203C">
        <w:trPr>
          <w:tblCellSpacing w:w="0" w:type="dxa"/>
        </w:trPr>
        <w:tc>
          <w:tcPr>
            <w:tcW w:w="0" w:type="auto"/>
            <w:vAlign w:val="center"/>
            <w:hideMark/>
          </w:tcPr>
          <w:p w:rsidR="002C203C" w:rsidRPr="002C203C" w:rsidRDefault="002C203C" w:rsidP="002C203C">
            <w:pPr>
              <w:spacing w:after="0" w:line="240" w:lineRule="auto"/>
              <w:rPr>
                <w:rFonts w:ascii="Arial" w:eastAsia="Times New Roman" w:hAnsi="Arial" w:cs="Arial"/>
                <w:color w:val="F7F3F3"/>
                <w:sz w:val="29"/>
                <w:szCs w:val="29"/>
              </w:rPr>
            </w:pPr>
            <w:r w:rsidRPr="002C203C">
              <w:rPr>
                <w:rFonts w:ascii="Arial" w:eastAsia="Times New Roman" w:hAnsi="Arial" w:cs="Arial"/>
                <w:color w:val="F7F3F3"/>
                <w:sz w:val="29"/>
                <w:szCs w:val="29"/>
              </w:rPr>
              <w:t>​</w:t>
            </w:r>
          </w:p>
        </w:tc>
        <w:tc>
          <w:tcPr>
            <w:tcW w:w="0" w:type="auto"/>
            <w:vAlign w:val="center"/>
            <w:hideMark/>
          </w:tcPr>
          <w:p w:rsidR="002C203C" w:rsidRPr="002C203C" w:rsidRDefault="002C203C" w:rsidP="002C203C">
            <w:pPr>
              <w:spacing w:after="0" w:line="240" w:lineRule="auto"/>
              <w:rPr>
                <w:rFonts w:ascii="Tahoma" w:eastAsia="Times New Roman" w:hAnsi="Tahoma" w:cs="Tahoma"/>
                <w:color w:val="009AFF"/>
                <w:sz w:val="29"/>
                <w:szCs w:val="29"/>
              </w:rPr>
            </w:pPr>
            <w:r w:rsidRPr="002C203C">
              <w:rPr>
                <w:rFonts w:ascii="Tahoma" w:eastAsia="Times New Roman" w:hAnsi="Tahoma" w:cs="Tahoma"/>
                <w:color w:val="000000"/>
                <w:sz w:val="29"/>
                <w:szCs w:val="29"/>
              </w:rPr>
              <w:t xml:space="preserve">     </w:t>
            </w:r>
            <w:r w:rsidRPr="002C203C">
              <w:rPr>
                <w:rFonts w:ascii="Tahoma" w:eastAsia="Times New Roman" w:hAnsi="Tahoma" w:cs="Tahoma"/>
                <w:color w:val="FF0000"/>
                <w:sz w:val="29"/>
                <w:szCs w:val="29"/>
              </w:rPr>
              <w:t>premium table: AIA All in One female (approximately premiums).</w:t>
            </w:r>
          </w:p>
        </w:tc>
      </w:tr>
      <w:tr w:rsidR="002C203C" w:rsidRPr="002C203C" w:rsidTr="002C203C">
        <w:trPr>
          <w:tblCellSpacing w:w="0" w:type="dxa"/>
        </w:trPr>
        <w:tc>
          <w:tcPr>
            <w:tcW w:w="0" w:type="auto"/>
            <w:vAlign w:val="center"/>
            <w:hideMark/>
          </w:tcPr>
          <w:p w:rsidR="002C203C" w:rsidRPr="002C203C" w:rsidRDefault="002C203C" w:rsidP="002C203C">
            <w:pPr>
              <w:spacing w:after="0" w:line="240" w:lineRule="auto"/>
              <w:jc w:val="center"/>
              <w:rPr>
                <w:rFonts w:ascii="Arial" w:eastAsia="Times New Roman" w:hAnsi="Arial" w:cs="Arial"/>
                <w:color w:val="F7F3F3"/>
                <w:sz w:val="29"/>
                <w:szCs w:val="29"/>
              </w:rPr>
            </w:pPr>
            <w:r w:rsidRPr="002C203C">
              <w:rPr>
                <w:rFonts w:ascii="Arial" w:eastAsia="Times New Roman" w:hAnsi="Arial" w:cs="Arial"/>
                <w:color w:val="F7F3F3"/>
                <w:sz w:val="29"/>
                <w:szCs w:val="29"/>
              </w:rPr>
              <w:t>​</w:t>
            </w:r>
          </w:p>
        </w:tc>
        <w:tc>
          <w:tcPr>
            <w:tcW w:w="0" w:type="auto"/>
            <w:vAlign w:val="center"/>
            <w:hideMark/>
          </w:tcPr>
          <w:p w:rsidR="002C203C" w:rsidRPr="002C203C" w:rsidRDefault="002C203C" w:rsidP="002C203C">
            <w:pPr>
              <w:spacing w:after="290" w:line="240" w:lineRule="auto"/>
              <w:jc w:val="center"/>
              <w:rPr>
                <w:rFonts w:ascii="Arial" w:eastAsia="Times New Roman" w:hAnsi="Arial" w:cs="Arial"/>
                <w:color w:val="F7F3F3"/>
                <w:sz w:val="29"/>
                <w:szCs w:val="29"/>
              </w:rPr>
            </w:pPr>
            <w:r w:rsidRPr="002C203C">
              <w:rPr>
                <w:rFonts w:ascii="Arial" w:eastAsia="Times New Roman" w:hAnsi="Arial" w:cs="Arial"/>
                <w:color w:val="F7F3F3"/>
                <w:sz w:val="29"/>
                <w:szCs w:val="29"/>
              </w:rPr>
              <w:t>​ </w:t>
            </w:r>
            <w:r>
              <w:rPr>
                <w:rFonts w:ascii="Arial" w:eastAsia="Times New Roman" w:hAnsi="Arial" w:cs="Arial"/>
                <w:noProof/>
                <w:color w:val="F7F3F3"/>
                <w:sz w:val="29"/>
                <w:szCs w:val="29"/>
              </w:rPr>
              <w:drawing>
                <wp:inline distT="0" distB="0" distL="0" distR="0">
                  <wp:extent cx="6192520" cy="2708275"/>
                  <wp:effectExtent l="19050" t="0" r="0" b="0"/>
                  <wp:docPr id="2" name="Picture 2" descr="https://ci4.googleusercontent.com/proxy/Qlr_MuHk9CKRMiImgh4jVdPWhIYPq1NWsY8Qq8O68byOHp8NcuZ-FJhz3Rw0DV99q628g8s-iOVNqc4ebOg-euN3mtcqMAw=s0-d-e1-ft#http://www.aiafamily.com/images/AllinOneWo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i4.googleusercontent.com/proxy/Qlr_MuHk9CKRMiImgh4jVdPWhIYPq1NWsY8Qq8O68byOHp8NcuZ-FJhz3Rw0DV99q628g8s-iOVNqc4ebOg-euN3mtcqMAw=s0-d-e1-ft#http://www.aiafamily.com/images/AllinOneWomen.jpg"/>
                          <pic:cNvPicPr>
                            <a:picLocks noChangeAspect="1" noChangeArrowheads="1"/>
                          </pic:cNvPicPr>
                        </pic:nvPicPr>
                        <pic:blipFill>
                          <a:blip r:embed="rId7" cstate="print"/>
                          <a:srcRect/>
                          <a:stretch>
                            <a:fillRect/>
                          </a:stretch>
                        </pic:blipFill>
                        <pic:spPr bwMode="auto">
                          <a:xfrm>
                            <a:off x="0" y="0"/>
                            <a:ext cx="6192520" cy="2708275"/>
                          </a:xfrm>
                          <a:prstGeom prst="rect">
                            <a:avLst/>
                          </a:prstGeom>
                          <a:noFill/>
                          <a:ln w="9525">
                            <a:noFill/>
                            <a:miter lim="800000"/>
                            <a:headEnd/>
                            <a:tailEnd/>
                          </a:ln>
                        </pic:spPr>
                      </pic:pic>
                    </a:graphicData>
                  </a:graphic>
                </wp:inline>
              </w:drawing>
            </w:r>
            <w:r w:rsidRPr="002C203C">
              <w:rPr>
                <w:rFonts w:ascii="Arial" w:eastAsia="Times New Roman" w:hAnsi="Arial" w:cs="Arial"/>
                <w:color w:val="F7F3F3"/>
                <w:sz w:val="29"/>
                <w:szCs w:val="29"/>
              </w:rPr>
              <w:br/>
            </w:r>
            <w:r w:rsidRPr="002C203C">
              <w:rPr>
                <w:rFonts w:ascii="Arial" w:eastAsia="Times New Roman" w:hAnsi="Arial" w:cs="Arial"/>
                <w:color w:val="F7F3F3"/>
                <w:sz w:val="29"/>
                <w:szCs w:val="29"/>
              </w:rPr>
              <w:br/>
              <w:t>zzz</w:t>
            </w:r>
          </w:p>
        </w:tc>
      </w:tr>
    </w:tbl>
    <w:p w:rsidR="002C203C" w:rsidRPr="002C203C" w:rsidRDefault="002C203C" w:rsidP="002C203C">
      <w:pPr>
        <w:spacing w:after="0" w:line="240" w:lineRule="auto"/>
        <w:rPr>
          <w:rFonts w:asciiTheme="majorBidi" w:eastAsia="Times New Roman" w:hAnsiTheme="majorBidi" w:cstheme="majorBidi"/>
          <w:sz w:val="36"/>
          <w:szCs w:val="36"/>
        </w:rPr>
      </w:pPr>
      <w:r w:rsidRPr="002C203C">
        <w:rPr>
          <w:rFonts w:asciiTheme="majorBidi" w:eastAsia="Times New Roman" w:hAnsiTheme="majorBidi" w:cstheme="majorBidi"/>
          <w:color w:val="000000"/>
          <w:sz w:val="36"/>
          <w:szCs w:val="36"/>
        </w:rPr>
        <w:t>    For example, a 32 years old person want to buy all type coverage insurance program in a single insurance. He choose AIA all in one then he pay a premium of 19,076 Baht per year or 1,715 Baht per month as on the table above.   </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lastRenderedPageBreak/>
        <w:t>    In conclusion, we can see that the buyers get a lot of benefit from buying this insurance product including income tax benefit that the buyers can save up to 100,000 Baht per year as the tax privilege and they also get the compensation of the coverage if they face an accident and etc.</w:t>
      </w:r>
    </w:p>
    <w:p w:rsidR="002C203C" w:rsidRPr="002C203C" w:rsidRDefault="002C203C" w:rsidP="002C203C">
      <w:pPr>
        <w:spacing w:after="0" w:line="240" w:lineRule="auto"/>
        <w:rPr>
          <w:rFonts w:asciiTheme="majorBidi" w:eastAsia="Times New Roman" w:hAnsiTheme="majorBidi" w:cstheme="majorBidi"/>
          <w:color w:val="000000"/>
          <w:sz w:val="36"/>
          <w:szCs w:val="36"/>
        </w:rPr>
      </w:pP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Reference : </w:t>
      </w:r>
      <w:hyperlink r:id="rId8" w:tgtFrame="_blank" w:history="1">
        <w:r w:rsidRPr="002C203C">
          <w:rPr>
            <w:rFonts w:asciiTheme="majorBidi" w:eastAsia="Times New Roman" w:hAnsiTheme="majorBidi" w:cstheme="majorBidi"/>
            <w:color w:val="000000"/>
            <w:sz w:val="36"/>
            <w:szCs w:val="36"/>
            <w:u w:val="single"/>
          </w:rPr>
          <w:t>http://www.aiafamily.com/AIAAllinOne.ph</w:t>
        </w:r>
      </w:hyperlink>
    </w:p>
    <w:p w:rsidR="002C203C" w:rsidRPr="002C203C" w:rsidRDefault="002C203C" w:rsidP="002C203C">
      <w:pPr>
        <w:spacing w:after="0" w:line="240" w:lineRule="auto"/>
        <w:rPr>
          <w:rFonts w:asciiTheme="majorBidi" w:eastAsia="Times New Roman" w:hAnsiTheme="majorBidi" w:cstheme="majorBidi"/>
          <w:color w:val="000000"/>
          <w:sz w:val="36"/>
          <w:szCs w:val="36"/>
        </w:rPr>
      </w:pP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2. Which mortgage would result in higher total payments?</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Mortgage A's total payment : 970 x 12months x 30 years = $349,200</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Mortgage B's total payment : (760 x 12months x 5 years) + (1,005 x 12months x 25 years) = $347,100</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From the computed result, Mortgage A would result in higher total payment for $2,100.</w:t>
      </w:r>
    </w:p>
    <w:p w:rsidR="002C203C" w:rsidRPr="002C203C" w:rsidRDefault="002C203C" w:rsidP="002C203C">
      <w:pPr>
        <w:spacing w:after="0" w:line="240" w:lineRule="auto"/>
        <w:rPr>
          <w:rFonts w:asciiTheme="majorBidi" w:eastAsia="Times New Roman" w:hAnsiTheme="majorBidi" w:cstheme="majorBidi"/>
          <w:color w:val="000000"/>
          <w:sz w:val="36"/>
          <w:szCs w:val="36"/>
        </w:rPr>
      </w:pP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3. What are the two main types of consumer credit?</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    </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    There are two main types of consumer credit which are open-end credit and closed-end credit.</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1)  </w:t>
      </w:r>
      <w:r w:rsidRPr="002C203C">
        <w:rPr>
          <w:rFonts w:asciiTheme="majorBidi" w:eastAsia="Times New Roman" w:hAnsiTheme="majorBidi" w:cstheme="majorBidi"/>
          <w:color w:val="000000"/>
          <w:sz w:val="36"/>
          <w:szCs w:val="36"/>
          <w:shd w:val="clear" w:color="auto" w:fill="FFFFFF"/>
        </w:rPr>
        <w:t>Open-end credit is a pre-approved loan between a </w:t>
      </w:r>
      <w:hyperlink r:id="rId9" w:tgtFrame="_blank" w:history="1">
        <w:r w:rsidRPr="002C203C">
          <w:rPr>
            <w:rFonts w:asciiTheme="majorBidi" w:eastAsia="Times New Roman" w:hAnsiTheme="majorBidi" w:cstheme="majorBidi"/>
            <w:color w:val="000000"/>
            <w:sz w:val="36"/>
            <w:szCs w:val="36"/>
          </w:rPr>
          <w:t>financial institution</w:t>
        </w:r>
      </w:hyperlink>
      <w:r w:rsidRPr="002C203C">
        <w:rPr>
          <w:rFonts w:asciiTheme="majorBidi" w:eastAsia="Times New Roman" w:hAnsiTheme="majorBidi" w:cstheme="majorBidi"/>
          <w:color w:val="000000"/>
          <w:sz w:val="36"/>
          <w:szCs w:val="36"/>
          <w:shd w:val="clear" w:color="auto" w:fill="FFFFFF"/>
        </w:rPr>
        <w:t> and borrower that may be used repeatedly up to a certain limit and can subsequently be paid back prior to payments coming due. The pre-approved amount will be set out in the agreement between the </w:t>
      </w:r>
      <w:hyperlink r:id="rId10" w:tgtFrame="_blank" w:history="1">
        <w:r w:rsidRPr="002C203C">
          <w:rPr>
            <w:rFonts w:asciiTheme="majorBidi" w:eastAsia="Times New Roman" w:hAnsiTheme="majorBidi" w:cstheme="majorBidi"/>
            <w:color w:val="000000"/>
            <w:sz w:val="36"/>
            <w:szCs w:val="36"/>
          </w:rPr>
          <w:t>lender</w:t>
        </w:r>
      </w:hyperlink>
      <w:r w:rsidRPr="002C203C">
        <w:rPr>
          <w:rFonts w:asciiTheme="majorBidi" w:eastAsia="Times New Roman" w:hAnsiTheme="majorBidi" w:cstheme="majorBidi"/>
          <w:color w:val="000000"/>
          <w:sz w:val="36"/>
          <w:szCs w:val="36"/>
          <w:shd w:val="clear" w:color="auto" w:fill="FFFFFF"/>
        </w:rPr>
        <w:t> and the borrower. </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shd w:val="clear" w:color="auto" w:fill="FFFFFF"/>
        </w:rPr>
        <w:t>2) A closed-end credit is a </w:t>
      </w:r>
      <w:hyperlink r:id="rId11" w:tgtFrame="_blank" w:history="1">
        <w:r w:rsidRPr="002C203C">
          <w:rPr>
            <w:rFonts w:asciiTheme="majorBidi" w:eastAsia="Times New Roman" w:hAnsiTheme="majorBidi" w:cstheme="majorBidi"/>
            <w:color w:val="000000"/>
            <w:sz w:val="36"/>
            <w:szCs w:val="36"/>
          </w:rPr>
          <w:t>loan</w:t>
        </w:r>
      </w:hyperlink>
      <w:r w:rsidRPr="002C203C">
        <w:rPr>
          <w:rFonts w:asciiTheme="majorBidi" w:eastAsia="Times New Roman" w:hAnsiTheme="majorBidi" w:cstheme="majorBidi"/>
          <w:color w:val="000000"/>
          <w:sz w:val="36"/>
          <w:szCs w:val="36"/>
          <w:shd w:val="clear" w:color="auto" w:fill="FFFFFF"/>
        </w:rPr>
        <w:t> or extension of credit in which the proceeds are dispersed in full when the loan closes and must be repaid, including any interest and finance charges, by a specified date. The loan may require periodic principal and interest payments, or may require the entire payment of principal at maturity.</w:t>
      </w:r>
    </w:p>
    <w:p w:rsidR="002C203C" w:rsidRPr="002C203C" w:rsidRDefault="002C203C" w:rsidP="002C203C">
      <w:pPr>
        <w:spacing w:after="0" w:line="240" w:lineRule="auto"/>
        <w:rPr>
          <w:rFonts w:asciiTheme="majorBidi" w:eastAsia="Times New Roman" w:hAnsiTheme="majorBidi" w:cstheme="majorBidi"/>
          <w:color w:val="000000"/>
          <w:sz w:val="36"/>
          <w:szCs w:val="36"/>
        </w:rPr>
      </w:pP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shd w:val="clear" w:color="auto" w:fill="FFFFFF"/>
        </w:rPr>
        <w:t>4. What are the general rules of measuring credit capacity?</w:t>
      </w:r>
    </w:p>
    <w:p w:rsidR="002C203C" w:rsidRPr="002C203C" w:rsidRDefault="002C203C" w:rsidP="002C203C">
      <w:pPr>
        <w:spacing w:after="0" w:line="240" w:lineRule="auto"/>
        <w:rPr>
          <w:rFonts w:asciiTheme="majorBidi" w:eastAsia="Times New Roman" w:hAnsiTheme="majorBidi" w:cstheme="majorBidi"/>
          <w:color w:val="000000"/>
          <w:sz w:val="36"/>
          <w:szCs w:val="36"/>
        </w:rPr>
      </w:pP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shd w:val="clear" w:color="auto" w:fill="FFFFFF"/>
        </w:rPr>
        <w:lastRenderedPageBreak/>
        <w:t>     There are two type of credit capacity measurement which are debt to income ratio and debt to equity ratio.</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111111"/>
          <w:sz w:val="36"/>
          <w:szCs w:val="36"/>
          <w:shd w:val="clear" w:color="auto" w:fill="FFFFFF"/>
        </w:rPr>
        <w:t>1) A debt-to-income ratio (DTI) is one way lenders</w:t>
      </w:r>
      <w:r w:rsidRPr="002C203C">
        <w:rPr>
          <w:rFonts w:asciiTheme="majorBidi" w:eastAsia="Times New Roman" w:hAnsiTheme="majorBidi" w:cstheme="majorBidi"/>
          <w:color w:val="111111"/>
          <w:sz w:val="36"/>
          <w:szCs w:val="36"/>
        </w:rPr>
        <w:t> </w:t>
      </w:r>
      <w:r w:rsidRPr="002C203C">
        <w:rPr>
          <w:rFonts w:asciiTheme="majorBidi" w:eastAsia="Times New Roman" w:hAnsiTheme="majorBidi" w:cstheme="majorBidi"/>
          <w:color w:val="111111"/>
          <w:sz w:val="36"/>
          <w:szCs w:val="36"/>
          <w:shd w:val="clear" w:color="auto" w:fill="FFFFFF"/>
        </w:rPr>
        <w:t>measure an individual’s ability to manage monthly payment and repay debts. DTI is calculated by dividing total recurring monthly debt by gross monthly income, and it is expressed as a percentage. The ratio should not exceed 20 percent.</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111111"/>
          <w:sz w:val="36"/>
          <w:szCs w:val="36"/>
          <w:shd w:val="clear" w:color="auto" w:fill="FFFFFF"/>
        </w:rPr>
        <w:t>    Debt to income ratio= Monthly debt payment / Gross monthly income</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shd w:val="clear" w:color="auto" w:fill="FFFFFF"/>
        </w:rPr>
        <w:t>2) Debt to Equity Ratio is a </w:t>
      </w:r>
      <w:hyperlink r:id="rId12" w:tgtFrame="_blank" w:history="1">
        <w:r w:rsidRPr="002C203C">
          <w:rPr>
            <w:rFonts w:asciiTheme="majorBidi" w:eastAsia="Times New Roman" w:hAnsiTheme="majorBidi" w:cstheme="majorBidi"/>
            <w:color w:val="000000"/>
            <w:sz w:val="36"/>
            <w:szCs w:val="36"/>
          </w:rPr>
          <w:t>debt ratio</w:t>
        </w:r>
      </w:hyperlink>
      <w:r w:rsidRPr="002C203C">
        <w:rPr>
          <w:rFonts w:asciiTheme="majorBidi" w:eastAsia="Times New Roman" w:hAnsiTheme="majorBidi" w:cstheme="majorBidi"/>
          <w:color w:val="000000"/>
          <w:sz w:val="36"/>
          <w:szCs w:val="36"/>
          <w:shd w:val="clear" w:color="auto" w:fill="FFFFFF"/>
        </w:rPr>
        <w:t> used to measure a company's financial leverage, calculated by dividing a company’s total </w:t>
      </w:r>
      <w:hyperlink r:id="rId13" w:tgtFrame="_blank" w:history="1">
        <w:r w:rsidRPr="002C203C">
          <w:rPr>
            <w:rFonts w:asciiTheme="majorBidi" w:eastAsia="Times New Roman" w:hAnsiTheme="majorBidi" w:cstheme="majorBidi"/>
            <w:color w:val="000000"/>
            <w:sz w:val="36"/>
            <w:szCs w:val="36"/>
          </w:rPr>
          <w:t>liabilities</w:t>
        </w:r>
      </w:hyperlink>
      <w:r w:rsidRPr="002C203C">
        <w:rPr>
          <w:rFonts w:asciiTheme="majorBidi" w:eastAsia="Times New Roman" w:hAnsiTheme="majorBidi" w:cstheme="majorBidi"/>
          <w:color w:val="000000"/>
          <w:sz w:val="36"/>
          <w:szCs w:val="36"/>
          <w:shd w:val="clear" w:color="auto" w:fill="FFFFFF"/>
        </w:rPr>
        <w:t> by its stockholder's equity. The D/E ratio indicates how much </w:t>
      </w:r>
      <w:hyperlink r:id="rId14" w:tgtFrame="_blank" w:history="1">
        <w:r w:rsidRPr="002C203C">
          <w:rPr>
            <w:rFonts w:asciiTheme="majorBidi" w:eastAsia="Times New Roman" w:hAnsiTheme="majorBidi" w:cstheme="majorBidi"/>
            <w:color w:val="000000"/>
            <w:sz w:val="36"/>
            <w:szCs w:val="36"/>
          </w:rPr>
          <w:t>debt</w:t>
        </w:r>
      </w:hyperlink>
      <w:r w:rsidRPr="002C203C">
        <w:rPr>
          <w:rFonts w:asciiTheme="majorBidi" w:eastAsia="Times New Roman" w:hAnsiTheme="majorBidi" w:cstheme="majorBidi"/>
          <w:color w:val="000000"/>
          <w:sz w:val="36"/>
          <w:szCs w:val="36"/>
          <w:shd w:val="clear" w:color="auto" w:fill="FFFFFF"/>
        </w:rPr>
        <w:t> a company is using to finance its </w:t>
      </w:r>
      <w:hyperlink r:id="rId15" w:tgtFrame="_blank" w:history="1">
        <w:r w:rsidRPr="002C203C">
          <w:rPr>
            <w:rFonts w:asciiTheme="majorBidi" w:eastAsia="Times New Roman" w:hAnsiTheme="majorBidi" w:cstheme="majorBidi"/>
            <w:color w:val="000000"/>
            <w:sz w:val="36"/>
            <w:szCs w:val="36"/>
          </w:rPr>
          <w:t>assets</w:t>
        </w:r>
      </w:hyperlink>
      <w:r w:rsidRPr="002C203C">
        <w:rPr>
          <w:rFonts w:asciiTheme="majorBidi" w:eastAsia="Times New Roman" w:hAnsiTheme="majorBidi" w:cstheme="majorBidi"/>
          <w:color w:val="000000"/>
          <w:sz w:val="36"/>
          <w:szCs w:val="36"/>
          <w:shd w:val="clear" w:color="auto" w:fill="FFFFFF"/>
        </w:rPr>
        <w:t> relative to the amount of value represented in shareholders’ </w:t>
      </w:r>
      <w:hyperlink r:id="rId16" w:tgtFrame="_blank" w:history="1">
        <w:r w:rsidRPr="002C203C">
          <w:rPr>
            <w:rFonts w:asciiTheme="majorBidi" w:eastAsia="Times New Roman" w:hAnsiTheme="majorBidi" w:cstheme="majorBidi"/>
            <w:color w:val="000000"/>
            <w:sz w:val="36"/>
            <w:szCs w:val="36"/>
          </w:rPr>
          <w:t>equity</w:t>
        </w:r>
      </w:hyperlink>
      <w:r w:rsidRPr="002C203C">
        <w:rPr>
          <w:rFonts w:asciiTheme="majorBidi" w:eastAsia="Times New Roman" w:hAnsiTheme="majorBidi" w:cstheme="majorBidi"/>
          <w:color w:val="000000"/>
          <w:sz w:val="36"/>
          <w:szCs w:val="36"/>
          <w:shd w:val="clear" w:color="auto" w:fill="FFFFFF"/>
        </w:rPr>
        <w:t>. The ratio should not be higher than 0.50.</w:t>
      </w: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111111"/>
          <w:sz w:val="36"/>
          <w:szCs w:val="36"/>
          <w:shd w:val="clear" w:color="auto" w:fill="FFFFFF"/>
        </w:rPr>
        <w:t>    Debt-to-equity ratio = total liabilities / total shareholders' equity</w:t>
      </w:r>
    </w:p>
    <w:p w:rsidR="002C203C" w:rsidRPr="002C203C" w:rsidRDefault="002C203C" w:rsidP="002C203C">
      <w:pPr>
        <w:spacing w:after="0" w:line="240" w:lineRule="auto"/>
        <w:rPr>
          <w:rFonts w:asciiTheme="majorBidi" w:eastAsia="Times New Roman" w:hAnsiTheme="majorBidi" w:cstheme="majorBidi"/>
          <w:color w:val="000000"/>
          <w:sz w:val="36"/>
          <w:szCs w:val="36"/>
        </w:rPr>
      </w:pP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111111"/>
          <w:sz w:val="36"/>
          <w:szCs w:val="36"/>
          <w:shd w:val="clear" w:color="auto" w:fill="FFFFFF"/>
        </w:rPr>
        <w:t>5.</w:t>
      </w:r>
      <w:r w:rsidRPr="002C203C">
        <w:rPr>
          <w:rFonts w:asciiTheme="majorBidi" w:eastAsia="Times New Roman" w:hAnsiTheme="majorBidi" w:cstheme="majorBidi"/>
          <w:color w:val="000000"/>
          <w:sz w:val="36"/>
          <w:szCs w:val="36"/>
        </w:rPr>
        <w:t xml:space="preserve"> A few years ago, Michael Tucker purchased a home for $100,000. Today, the home is worth $150,000. His remaining mortgage balance is $50,000. Assuming that Michael can borrow up to 80 percent of the market value, what is the maximum amount he can borrow?</w:t>
      </w:r>
    </w:p>
    <w:p w:rsidR="002C203C" w:rsidRPr="002C203C" w:rsidRDefault="002C203C" w:rsidP="002C203C">
      <w:pPr>
        <w:spacing w:after="0" w:line="240" w:lineRule="auto"/>
        <w:rPr>
          <w:rFonts w:asciiTheme="majorBidi" w:eastAsia="Times New Roman" w:hAnsiTheme="majorBidi" w:cstheme="majorBidi"/>
          <w:color w:val="000000"/>
          <w:sz w:val="36"/>
          <w:szCs w:val="36"/>
        </w:rPr>
      </w:pPr>
    </w:p>
    <w:p w:rsidR="002C203C" w:rsidRPr="002C203C" w:rsidRDefault="002C203C" w:rsidP="002C203C">
      <w:pPr>
        <w:spacing w:after="0" w:line="240" w:lineRule="auto"/>
        <w:rPr>
          <w:rFonts w:asciiTheme="majorBidi" w:eastAsia="Times New Roman" w:hAnsiTheme="majorBidi" w:cstheme="majorBidi"/>
          <w:color w:val="000000"/>
          <w:sz w:val="36"/>
          <w:szCs w:val="36"/>
        </w:rPr>
      </w:pPr>
      <w:r w:rsidRPr="002C203C">
        <w:rPr>
          <w:rFonts w:asciiTheme="majorBidi" w:eastAsia="Times New Roman" w:hAnsiTheme="majorBidi" w:cstheme="majorBidi"/>
          <w:color w:val="000000"/>
          <w:sz w:val="36"/>
          <w:szCs w:val="36"/>
        </w:rPr>
        <w:t xml:space="preserve">    Market value of Michael Tucker's home at the present is $150,000. Michael Tucker can borrow up to 89 percent of the market value which is 80% x $150,000 = $120,000. Michael Tucker still has mortgage balance remaining of $50,000. Thus, he can borrow the maximum amount of $120,000 - $50,000 = $70,000.</w:t>
      </w:r>
    </w:p>
    <w:p w:rsidR="003E43EF" w:rsidRDefault="003E43EF"/>
    <w:sectPr w:rsidR="003E43EF" w:rsidSect="003E43EF">
      <w:head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089" w:rsidRDefault="00002089" w:rsidP="002C203C">
      <w:pPr>
        <w:spacing w:after="0" w:line="240" w:lineRule="auto"/>
      </w:pPr>
      <w:r>
        <w:separator/>
      </w:r>
    </w:p>
  </w:endnote>
  <w:endnote w:type="continuationSeparator" w:id="0">
    <w:p w:rsidR="00002089" w:rsidRDefault="00002089" w:rsidP="002C20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089" w:rsidRDefault="00002089" w:rsidP="002C203C">
      <w:pPr>
        <w:spacing w:after="0" w:line="240" w:lineRule="auto"/>
      </w:pPr>
      <w:r>
        <w:separator/>
      </w:r>
    </w:p>
  </w:footnote>
  <w:footnote w:type="continuationSeparator" w:id="0">
    <w:p w:rsidR="00002089" w:rsidRDefault="00002089" w:rsidP="002C20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03C" w:rsidRDefault="002C203C" w:rsidP="002C203C">
    <w:pPr>
      <w:pStyle w:val="NormalWeb"/>
      <w:spacing w:before="0" w:beforeAutospacing="0" w:after="0" w:afterAutospacing="0"/>
      <w:ind w:left="4320"/>
      <w:rPr>
        <w:rFonts w:ascii="Calibri" w:hAnsi="Calibri" w:cs="Calibri"/>
        <w:color w:val="000000"/>
        <w:sz w:val="29"/>
        <w:szCs w:val="29"/>
      </w:rPr>
    </w:pPr>
    <w:r>
      <w:rPr>
        <w:rFonts w:ascii="Calibri" w:hAnsi="Calibri" w:cs="Calibri"/>
        <w:color w:val="000000"/>
        <w:sz w:val="24"/>
        <w:szCs w:val="24"/>
      </w:rPr>
      <w:t>Tanomkiat Thianboonsong      5604641778</w:t>
    </w:r>
  </w:p>
  <w:p w:rsidR="002C203C" w:rsidRPr="002C203C" w:rsidRDefault="002C203C" w:rsidP="002C203C">
    <w:pPr>
      <w:pStyle w:val="NormalWeb"/>
      <w:spacing w:before="0" w:beforeAutospacing="0" w:after="0" w:afterAutospacing="0"/>
      <w:rPr>
        <w:rFonts w:ascii="Calibri" w:hAnsi="Calibri" w:cs="Calibri"/>
        <w:color w:val="000000"/>
        <w:sz w:val="29"/>
        <w:szCs w:val="29"/>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characterSpacingControl w:val="doNotCompress"/>
  <w:footnotePr>
    <w:footnote w:id="-1"/>
    <w:footnote w:id="0"/>
  </w:footnotePr>
  <w:endnotePr>
    <w:endnote w:id="-1"/>
    <w:endnote w:id="0"/>
  </w:endnotePr>
  <w:compat>
    <w:applyBreakingRules/>
  </w:compat>
  <w:rsids>
    <w:rsidRoot w:val="002C203C"/>
    <w:rsid w:val="00002089"/>
    <w:rsid w:val="002C203C"/>
    <w:rsid w:val="003E43E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3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203C"/>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2C203C"/>
  </w:style>
  <w:style w:type="character" w:styleId="Strong">
    <w:name w:val="Strong"/>
    <w:basedOn w:val="DefaultParagraphFont"/>
    <w:uiPriority w:val="22"/>
    <w:qFormat/>
    <w:rsid w:val="002C203C"/>
    <w:rPr>
      <w:b/>
      <w:bCs/>
    </w:rPr>
  </w:style>
  <w:style w:type="character" w:styleId="Hyperlink">
    <w:name w:val="Hyperlink"/>
    <w:basedOn w:val="DefaultParagraphFont"/>
    <w:uiPriority w:val="99"/>
    <w:semiHidden/>
    <w:unhideWhenUsed/>
    <w:rsid w:val="002C203C"/>
    <w:rPr>
      <w:color w:val="0000FF"/>
      <w:u w:val="single"/>
    </w:rPr>
  </w:style>
  <w:style w:type="paragraph" w:styleId="BalloonText">
    <w:name w:val="Balloon Text"/>
    <w:basedOn w:val="Normal"/>
    <w:link w:val="BalloonTextChar"/>
    <w:uiPriority w:val="99"/>
    <w:semiHidden/>
    <w:unhideWhenUsed/>
    <w:rsid w:val="002C203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C203C"/>
    <w:rPr>
      <w:rFonts w:ascii="Tahoma" w:hAnsi="Tahoma" w:cs="Angsana New"/>
      <w:sz w:val="16"/>
      <w:szCs w:val="20"/>
    </w:rPr>
  </w:style>
  <w:style w:type="paragraph" w:styleId="Header">
    <w:name w:val="header"/>
    <w:basedOn w:val="Normal"/>
    <w:link w:val="HeaderChar"/>
    <w:uiPriority w:val="99"/>
    <w:semiHidden/>
    <w:unhideWhenUsed/>
    <w:rsid w:val="002C203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C203C"/>
  </w:style>
  <w:style w:type="paragraph" w:styleId="Footer">
    <w:name w:val="footer"/>
    <w:basedOn w:val="Normal"/>
    <w:link w:val="FooterChar"/>
    <w:uiPriority w:val="99"/>
    <w:semiHidden/>
    <w:unhideWhenUsed/>
    <w:rsid w:val="002C20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203C"/>
  </w:style>
</w:styles>
</file>

<file path=word/webSettings.xml><?xml version="1.0" encoding="utf-8"?>
<w:webSettings xmlns:r="http://schemas.openxmlformats.org/officeDocument/2006/relationships" xmlns:w="http://schemas.openxmlformats.org/wordprocessingml/2006/main">
  <w:divs>
    <w:div w:id="361824721">
      <w:bodyDiv w:val="1"/>
      <w:marLeft w:val="0"/>
      <w:marRight w:val="0"/>
      <w:marTop w:val="0"/>
      <w:marBottom w:val="0"/>
      <w:divBdr>
        <w:top w:val="none" w:sz="0" w:space="0" w:color="auto"/>
        <w:left w:val="none" w:sz="0" w:space="0" w:color="auto"/>
        <w:bottom w:val="none" w:sz="0" w:space="0" w:color="auto"/>
        <w:right w:val="none" w:sz="0" w:space="0" w:color="auto"/>
      </w:divBdr>
      <w:divsChild>
        <w:div w:id="1727025688">
          <w:blockQuote w:val="1"/>
          <w:marLeft w:val="729"/>
          <w:marRight w:val="0"/>
          <w:marTop w:val="0"/>
          <w:marBottom w:val="0"/>
          <w:divBdr>
            <w:top w:val="none" w:sz="0" w:space="0" w:color="auto"/>
            <w:left w:val="none" w:sz="0" w:space="0" w:color="auto"/>
            <w:bottom w:val="none" w:sz="0" w:space="0" w:color="auto"/>
            <w:right w:val="none" w:sz="0" w:space="0" w:color="auto"/>
          </w:divBdr>
          <w:divsChild>
            <w:div w:id="2130781676">
              <w:blockQuote w:val="1"/>
              <w:marLeft w:val="729"/>
              <w:marRight w:val="0"/>
              <w:marTop w:val="0"/>
              <w:marBottom w:val="0"/>
              <w:divBdr>
                <w:top w:val="none" w:sz="0" w:space="0" w:color="auto"/>
                <w:left w:val="none" w:sz="0" w:space="0" w:color="auto"/>
                <w:bottom w:val="none" w:sz="0" w:space="0" w:color="auto"/>
                <w:right w:val="none" w:sz="0" w:space="0" w:color="auto"/>
              </w:divBdr>
              <w:divsChild>
                <w:div w:id="958298587">
                  <w:blockQuote w:val="1"/>
                  <w:marLeft w:val="729"/>
                  <w:marRight w:val="0"/>
                  <w:marTop w:val="0"/>
                  <w:marBottom w:val="0"/>
                  <w:divBdr>
                    <w:top w:val="none" w:sz="0" w:space="0" w:color="auto"/>
                    <w:left w:val="none" w:sz="0" w:space="0" w:color="auto"/>
                    <w:bottom w:val="none" w:sz="0" w:space="0" w:color="auto"/>
                    <w:right w:val="none" w:sz="0" w:space="0" w:color="auto"/>
                  </w:divBdr>
                  <w:divsChild>
                    <w:div w:id="209460354">
                      <w:blockQuote w:val="1"/>
                      <w:marLeft w:val="729"/>
                      <w:marRight w:val="0"/>
                      <w:marTop w:val="0"/>
                      <w:marBottom w:val="0"/>
                      <w:divBdr>
                        <w:top w:val="none" w:sz="0" w:space="0" w:color="auto"/>
                        <w:left w:val="none" w:sz="0" w:space="0" w:color="auto"/>
                        <w:bottom w:val="none" w:sz="0" w:space="0" w:color="auto"/>
                        <w:right w:val="none" w:sz="0" w:space="0" w:color="auto"/>
                      </w:divBdr>
                      <w:divsChild>
                        <w:div w:id="992638731">
                          <w:blockQuote w:val="1"/>
                          <w:marLeft w:val="729"/>
                          <w:marRight w:val="0"/>
                          <w:marTop w:val="0"/>
                          <w:marBottom w:val="0"/>
                          <w:divBdr>
                            <w:top w:val="none" w:sz="0" w:space="0" w:color="auto"/>
                            <w:left w:val="none" w:sz="0" w:space="0" w:color="auto"/>
                            <w:bottom w:val="none" w:sz="0" w:space="0" w:color="auto"/>
                            <w:right w:val="none" w:sz="0" w:space="0" w:color="auto"/>
                          </w:divBdr>
                          <w:divsChild>
                            <w:div w:id="1486048927">
                              <w:blockQuote w:val="1"/>
                              <w:marLeft w:val="729"/>
                              <w:marRight w:val="0"/>
                              <w:marTop w:val="0"/>
                              <w:marBottom w:val="0"/>
                              <w:divBdr>
                                <w:top w:val="none" w:sz="0" w:space="0" w:color="auto"/>
                                <w:left w:val="none" w:sz="0" w:space="0" w:color="auto"/>
                                <w:bottom w:val="none" w:sz="0" w:space="0" w:color="auto"/>
                                <w:right w:val="none" w:sz="0" w:space="0" w:color="auto"/>
                              </w:divBdr>
                              <w:divsChild>
                                <w:div w:id="668337478">
                                  <w:blockQuote w:val="1"/>
                                  <w:marLeft w:val="729"/>
                                  <w:marRight w:val="0"/>
                                  <w:marTop w:val="0"/>
                                  <w:marBottom w:val="0"/>
                                  <w:divBdr>
                                    <w:top w:val="none" w:sz="0" w:space="0" w:color="auto"/>
                                    <w:left w:val="none" w:sz="0" w:space="0" w:color="auto"/>
                                    <w:bottom w:val="none" w:sz="0" w:space="0" w:color="auto"/>
                                    <w:right w:val="none" w:sz="0" w:space="0" w:color="auto"/>
                                  </w:divBdr>
                                  <w:divsChild>
                                    <w:div w:id="1995405171">
                                      <w:blockQuote w:val="1"/>
                                      <w:marLeft w:val="729"/>
                                      <w:marRight w:val="0"/>
                                      <w:marTop w:val="0"/>
                                      <w:marBottom w:val="0"/>
                                      <w:divBdr>
                                        <w:top w:val="none" w:sz="0" w:space="0" w:color="auto"/>
                                        <w:left w:val="none" w:sz="0" w:space="0" w:color="auto"/>
                                        <w:bottom w:val="none" w:sz="0" w:space="0" w:color="auto"/>
                                        <w:right w:val="none" w:sz="0" w:space="0" w:color="auto"/>
                                      </w:divBdr>
                                      <w:divsChild>
                                        <w:div w:id="2026010922">
                                          <w:blockQuote w:val="1"/>
                                          <w:marLeft w:val="729"/>
                                          <w:marRight w:val="0"/>
                                          <w:marTop w:val="0"/>
                                          <w:marBottom w:val="0"/>
                                          <w:divBdr>
                                            <w:top w:val="none" w:sz="0" w:space="0" w:color="auto"/>
                                            <w:left w:val="none" w:sz="0" w:space="0" w:color="auto"/>
                                            <w:bottom w:val="none" w:sz="0" w:space="0" w:color="auto"/>
                                            <w:right w:val="none" w:sz="0" w:space="0" w:color="auto"/>
                                          </w:divBdr>
                                          <w:divsChild>
                                            <w:div w:id="1573615074">
                                              <w:blockQuote w:val="1"/>
                                              <w:marLeft w:val="729"/>
                                              <w:marRight w:val="0"/>
                                              <w:marTop w:val="0"/>
                                              <w:marBottom w:val="0"/>
                                              <w:divBdr>
                                                <w:top w:val="none" w:sz="0" w:space="0" w:color="auto"/>
                                                <w:left w:val="none" w:sz="0" w:space="0" w:color="auto"/>
                                                <w:bottom w:val="none" w:sz="0" w:space="0" w:color="auto"/>
                                                <w:right w:val="none" w:sz="0" w:space="0" w:color="auto"/>
                                              </w:divBdr>
                                              <w:divsChild>
                                                <w:div w:id="1911382185">
                                                  <w:blockQuote w:val="1"/>
                                                  <w:marLeft w:val="729"/>
                                                  <w:marRight w:val="0"/>
                                                  <w:marTop w:val="0"/>
                                                  <w:marBottom w:val="0"/>
                                                  <w:divBdr>
                                                    <w:top w:val="none" w:sz="0" w:space="0" w:color="auto"/>
                                                    <w:left w:val="none" w:sz="0" w:space="0" w:color="auto"/>
                                                    <w:bottom w:val="none" w:sz="0" w:space="0" w:color="auto"/>
                                                    <w:right w:val="none" w:sz="0" w:space="0" w:color="auto"/>
                                                  </w:divBdr>
                                                  <w:divsChild>
                                                    <w:div w:id="1564485164">
                                                      <w:blockQuote w:val="1"/>
                                                      <w:marLeft w:val="729"/>
                                                      <w:marRight w:val="0"/>
                                                      <w:marTop w:val="0"/>
                                                      <w:marBottom w:val="0"/>
                                                      <w:divBdr>
                                                        <w:top w:val="none" w:sz="0" w:space="0" w:color="auto"/>
                                                        <w:left w:val="none" w:sz="0" w:space="0" w:color="auto"/>
                                                        <w:bottom w:val="none" w:sz="0" w:space="0" w:color="auto"/>
                                                        <w:right w:val="none" w:sz="0" w:space="0" w:color="auto"/>
                                                      </w:divBdr>
                                                      <w:divsChild>
                                                        <w:div w:id="1702127852">
                                                          <w:blockQuote w:val="1"/>
                                                          <w:marLeft w:val="729"/>
                                                          <w:marRight w:val="0"/>
                                                          <w:marTop w:val="0"/>
                                                          <w:marBottom w:val="0"/>
                                                          <w:divBdr>
                                                            <w:top w:val="none" w:sz="0" w:space="0" w:color="auto"/>
                                                            <w:left w:val="none" w:sz="0" w:space="0" w:color="auto"/>
                                                            <w:bottom w:val="none" w:sz="0" w:space="0" w:color="auto"/>
                                                            <w:right w:val="none" w:sz="0" w:space="0" w:color="auto"/>
                                                          </w:divBdr>
                                                          <w:divsChild>
                                                            <w:div w:id="1249777565">
                                                              <w:blockQuote w:val="1"/>
                                                              <w:marLeft w:val="729"/>
                                                              <w:marRight w:val="0"/>
                                                              <w:marTop w:val="0"/>
                                                              <w:marBottom w:val="0"/>
                                                              <w:divBdr>
                                                                <w:top w:val="none" w:sz="0" w:space="0" w:color="auto"/>
                                                                <w:left w:val="none" w:sz="0" w:space="0" w:color="auto"/>
                                                                <w:bottom w:val="none" w:sz="0" w:space="0" w:color="auto"/>
                                                                <w:right w:val="none" w:sz="0" w:space="0" w:color="auto"/>
                                                              </w:divBdr>
                                                              <w:divsChild>
                                                                <w:div w:id="2006325772">
                                                                  <w:blockQuote w:val="1"/>
                                                                  <w:marLeft w:val="729"/>
                                                                  <w:marRight w:val="0"/>
                                                                  <w:marTop w:val="0"/>
                                                                  <w:marBottom w:val="0"/>
                                                                  <w:divBdr>
                                                                    <w:top w:val="none" w:sz="0" w:space="0" w:color="auto"/>
                                                                    <w:left w:val="none" w:sz="0" w:space="0" w:color="auto"/>
                                                                    <w:bottom w:val="none" w:sz="0" w:space="0" w:color="auto"/>
                                                                    <w:right w:val="none" w:sz="0" w:space="0" w:color="auto"/>
                                                                  </w:divBdr>
                                                                  <w:divsChild>
                                                                    <w:div w:id="202713264">
                                                                      <w:blockQuote w:val="1"/>
                                                                      <w:marLeft w:val="729"/>
                                                                      <w:marRight w:val="0"/>
                                                                      <w:marTop w:val="0"/>
                                                                      <w:marBottom w:val="0"/>
                                                                      <w:divBdr>
                                                                        <w:top w:val="none" w:sz="0" w:space="0" w:color="auto"/>
                                                                        <w:left w:val="none" w:sz="0" w:space="0" w:color="auto"/>
                                                                        <w:bottom w:val="none" w:sz="0" w:space="0" w:color="auto"/>
                                                                        <w:right w:val="none" w:sz="0" w:space="0" w:color="auto"/>
                                                                      </w:divBdr>
                                                                      <w:divsChild>
                                                                        <w:div w:id="1234851316">
                                                                          <w:blockQuote w:val="1"/>
                                                                          <w:marLeft w:val="729"/>
                                                                          <w:marRight w:val="0"/>
                                                                          <w:marTop w:val="0"/>
                                                                          <w:marBottom w:val="0"/>
                                                                          <w:divBdr>
                                                                            <w:top w:val="none" w:sz="0" w:space="0" w:color="auto"/>
                                                                            <w:left w:val="none" w:sz="0" w:space="0" w:color="auto"/>
                                                                            <w:bottom w:val="none" w:sz="0" w:space="0" w:color="auto"/>
                                                                            <w:right w:val="none" w:sz="0" w:space="0" w:color="auto"/>
                                                                          </w:divBdr>
                                                                          <w:divsChild>
                                                                            <w:div w:id="293559514">
                                                                              <w:blockQuote w:val="1"/>
                                                                              <w:marLeft w:val="729"/>
                                                                              <w:marRight w:val="0"/>
                                                                              <w:marTop w:val="0"/>
                                                                              <w:marBottom w:val="0"/>
                                                                              <w:divBdr>
                                                                                <w:top w:val="none" w:sz="0" w:space="0" w:color="auto"/>
                                                                                <w:left w:val="none" w:sz="0" w:space="0" w:color="auto"/>
                                                                                <w:bottom w:val="none" w:sz="0" w:space="0" w:color="auto"/>
                                                                                <w:right w:val="none" w:sz="0" w:space="0" w:color="auto"/>
                                                                              </w:divBdr>
                                                                              <w:divsChild>
                                                                                <w:div w:id="1334840211">
                                                                                  <w:blockQuote w:val="1"/>
                                                                                  <w:marLeft w:val="729"/>
                                                                                  <w:marRight w:val="0"/>
                                                                                  <w:marTop w:val="0"/>
                                                                                  <w:marBottom w:val="0"/>
                                                                                  <w:divBdr>
                                                                                    <w:top w:val="none" w:sz="0" w:space="0" w:color="auto"/>
                                                                                    <w:left w:val="none" w:sz="0" w:space="0" w:color="auto"/>
                                                                                    <w:bottom w:val="none" w:sz="0" w:space="0" w:color="auto"/>
                                                                                    <w:right w:val="none" w:sz="0" w:space="0" w:color="auto"/>
                                                                                  </w:divBdr>
                                                                                  <w:divsChild>
                                                                                    <w:div w:id="142738454">
                                                                                      <w:blockQuote w:val="1"/>
                                                                                      <w:marLeft w:val="729"/>
                                                                                      <w:marRight w:val="0"/>
                                                                                      <w:marTop w:val="0"/>
                                                                                      <w:marBottom w:val="0"/>
                                                                                      <w:divBdr>
                                                                                        <w:top w:val="none" w:sz="0" w:space="0" w:color="auto"/>
                                                                                        <w:left w:val="none" w:sz="0" w:space="0" w:color="auto"/>
                                                                                        <w:bottom w:val="none" w:sz="0" w:space="0" w:color="auto"/>
                                                                                        <w:right w:val="none" w:sz="0" w:space="0" w:color="auto"/>
                                                                                      </w:divBdr>
                                                                                      <w:divsChild>
                                                                                        <w:div w:id="1297950206">
                                                                                          <w:blockQuote w:val="1"/>
                                                                                          <w:marLeft w:val="729"/>
                                                                                          <w:marRight w:val="0"/>
                                                                                          <w:marTop w:val="0"/>
                                                                                          <w:marBottom w:val="0"/>
                                                                                          <w:divBdr>
                                                                                            <w:top w:val="none" w:sz="0" w:space="0" w:color="auto"/>
                                                                                            <w:left w:val="none" w:sz="0" w:space="0" w:color="auto"/>
                                                                                            <w:bottom w:val="none" w:sz="0" w:space="0" w:color="auto"/>
                                                                                            <w:right w:val="none" w:sz="0" w:space="0" w:color="auto"/>
                                                                                          </w:divBdr>
                                                                                          <w:divsChild>
                                                                                            <w:div w:id="1536851285">
                                                                                              <w:blockQuote w:val="1"/>
                                                                                              <w:marLeft w:val="729"/>
                                                                                              <w:marRight w:val="0"/>
                                                                                              <w:marTop w:val="0"/>
                                                                                              <w:marBottom w:val="0"/>
                                                                                              <w:divBdr>
                                                                                                <w:top w:val="none" w:sz="0" w:space="0" w:color="auto"/>
                                                                                                <w:left w:val="none" w:sz="0" w:space="0" w:color="auto"/>
                                                                                                <w:bottom w:val="none" w:sz="0" w:space="0" w:color="auto"/>
                                                                                                <w:right w:val="none" w:sz="0" w:space="0" w:color="auto"/>
                                                                                              </w:divBdr>
                                                                                              <w:divsChild>
                                                                                                <w:div w:id="1069309934">
                                                                                                  <w:blockQuote w:val="1"/>
                                                                                                  <w:marLeft w:val="72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958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iafamily.com/AIAAllinOne.php" TargetMode="External"/><Relationship Id="rId13" Type="http://schemas.openxmlformats.org/officeDocument/2006/relationships/hyperlink" Target="http://www.investopedia.com/terms/l/liability.asp"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investopedia.com/terms/d/debtratio.asp"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investopedia.com/terms/e/equity.asp"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investopedia.com/terms/l/loan.asp" TargetMode="External"/><Relationship Id="rId5" Type="http://schemas.openxmlformats.org/officeDocument/2006/relationships/endnotes" Target="endnotes.xml"/><Relationship Id="rId15" Type="http://schemas.openxmlformats.org/officeDocument/2006/relationships/hyperlink" Target="http://www.investopedia.com/terms/a/asset.asp" TargetMode="External"/><Relationship Id="rId10" Type="http://schemas.openxmlformats.org/officeDocument/2006/relationships/hyperlink" Target="http://www.investopedia.com/terms/l/lender.asp"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investopedia.com/terms/f/financialinstitution.asp" TargetMode="External"/><Relationship Id="rId14" Type="http://schemas.openxmlformats.org/officeDocument/2006/relationships/hyperlink" Target="http://www.investopedia.com/terms/d/debt.asp"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933</Words>
  <Characters>5323</Characters>
  <Application>Microsoft Office Word</Application>
  <DocSecurity>0</DocSecurity>
  <Lines>44</Lines>
  <Paragraphs>12</Paragraphs>
  <ScaleCrop>false</ScaleCrop>
  <Company/>
  <LinksUpToDate>false</LinksUpToDate>
  <CharactersWithSpaces>6244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Windows7</cp:lastModifiedBy>
  <cp:revision>1</cp:revision>
  <dcterms:created xsi:type="dcterms:W3CDTF">2016-04-01T16:25:00Z</dcterms:created>
  <dcterms:modified xsi:type="dcterms:W3CDTF">2016-04-01T16:29:00Z</dcterms:modified>
</cp:coreProperties>
</file>