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6A5F" w:rsidRPr="00EB6A5F" w:rsidRDefault="00EB6A5F" w:rsidP="00EB6A5F">
      <w:pPr>
        <w:spacing w:after="0" w:line="240" w:lineRule="auto"/>
        <w:textAlignment w:val="baseline"/>
        <w:outlineLvl w:val="0"/>
        <w:rPr>
          <w:rFonts w:ascii="Calisto MT" w:eastAsia="Times New Roman" w:hAnsi="Calisto MT"/>
          <w:b/>
          <w:bCs/>
          <w:color w:val="121212"/>
          <w:kern w:val="36"/>
          <w:sz w:val="48"/>
          <w:szCs w:val="48"/>
          <w:lang w:bidi="th-TH"/>
        </w:rPr>
      </w:pPr>
      <w:bookmarkStart w:id="0" w:name="_GoBack"/>
      <w:bookmarkEnd w:id="0"/>
      <w:r w:rsidRPr="00EB6A5F">
        <w:rPr>
          <w:rFonts w:ascii="var(--ds-type-system-serif)" w:eastAsia="Times New Roman" w:hAnsi="var(--ds-type-system-serif)"/>
          <w:color w:val="121212"/>
          <w:kern w:val="36"/>
          <w:sz w:val="48"/>
          <w:szCs w:val="48"/>
          <w:bdr w:val="none" w:sz="0" w:space="0" w:color="auto" w:frame="1"/>
          <w:lang w:bidi="th-TH"/>
        </w:rPr>
        <w:t>Yield-curve control could prove a useful tool in the next recession</w:t>
      </w:r>
    </w:p>
    <w:p w:rsidR="00EB6A5F" w:rsidRDefault="00EB6A5F" w:rsidP="00EB6A5F">
      <w:pPr>
        <w:spacing w:before="100" w:beforeAutospacing="1" w:after="100" w:afterAutospacing="1" w:line="240" w:lineRule="auto"/>
        <w:textAlignment w:val="baseline"/>
        <w:rPr>
          <w:rFonts w:ascii="Calisto MT" w:eastAsia="Times New Roman" w:hAnsi="Calisto MT"/>
          <w:color w:val="121212"/>
          <w:sz w:val="24"/>
          <w:szCs w:val="24"/>
          <w:lang w:bidi="th-TH"/>
        </w:rPr>
      </w:pPr>
      <w:r w:rsidRPr="00EB6A5F">
        <w:rPr>
          <w:rFonts w:ascii="Calisto MT" w:eastAsia="Times New Roman" w:hAnsi="Calisto MT"/>
          <w:color w:val="121212"/>
          <w:sz w:val="24"/>
          <w:szCs w:val="24"/>
          <w:lang w:bidi="th-TH"/>
        </w:rPr>
        <w:t>But it may not be potent enough by itself</w:t>
      </w:r>
    </w:p>
    <w:p w:rsidR="00EB6A5F" w:rsidRPr="00EB6A5F" w:rsidRDefault="00EB6A5F" w:rsidP="00EB6A5F">
      <w:pPr>
        <w:spacing w:before="100" w:beforeAutospacing="1" w:after="100" w:afterAutospacing="1" w:line="240" w:lineRule="auto"/>
        <w:textAlignment w:val="baseline"/>
        <w:rPr>
          <w:rFonts w:ascii="Calisto MT" w:eastAsia="Times New Roman" w:hAnsi="Calisto MT"/>
          <w:color w:val="121212"/>
          <w:sz w:val="24"/>
          <w:szCs w:val="24"/>
          <w:lang w:bidi="th-TH"/>
        </w:rPr>
      </w:pPr>
      <w:r>
        <w:rPr>
          <w:rFonts w:ascii="Calisto MT" w:eastAsia="Times New Roman" w:hAnsi="Calisto MT"/>
          <w:color w:val="121212"/>
          <w:sz w:val="24"/>
          <w:szCs w:val="24"/>
          <w:lang w:bidi="th-TH"/>
        </w:rPr>
        <w:t>The Economist, Jan 30th 2020</w:t>
      </w:r>
    </w:p>
    <w:p w:rsidR="00EB6A5F" w:rsidRDefault="00EB6A5F" w:rsidP="00EB6A5F">
      <w:pPr>
        <w:pStyle w:val="articlebody-text"/>
        <w:spacing w:before="0" w:after="0"/>
        <w:textAlignment w:val="baseline"/>
        <w:rPr>
          <w:rFonts w:ascii="Calisto MT" w:hAnsi="Calisto MT"/>
          <w:color w:val="121212"/>
        </w:rPr>
      </w:pPr>
      <w:r>
        <w:rPr>
          <w:rFonts w:ascii="inherit" w:hAnsi="inherit"/>
          <w:caps/>
          <w:color w:val="121212"/>
          <w:bdr w:val="none" w:sz="0" w:space="0" w:color="auto" w:frame="1"/>
        </w:rPr>
        <w:t>M</w:t>
      </w:r>
      <w:r>
        <w:rPr>
          <w:rFonts w:ascii="Calisto MT" w:hAnsi="Calisto MT"/>
          <w:color w:val="121212"/>
          <w:sz w:val="20"/>
          <w:szCs w:val="20"/>
          <w:bdr w:val="none" w:sz="0" w:space="0" w:color="auto" w:frame="1"/>
        </w:rPr>
        <w:t>any hazards</w:t>
      </w:r>
      <w:r>
        <w:rPr>
          <w:rFonts w:ascii="Calisto MT" w:hAnsi="Calisto MT"/>
          <w:color w:val="121212"/>
        </w:rPr>
        <w:t xml:space="preserve"> complicate the job of Jerome Powell, the chairman of the Federal Reserve, from meddling presidents to pandemics. At the press conference following the Fed’s monetary-policy meeting on January 29th, he was grilled on its likely response to all of these. But </w:t>
      </w:r>
      <w:proofErr w:type="spellStart"/>
      <w:r>
        <w:rPr>
          <w:rFonts w:ascii="Calisto MT" w:hAnsi="Calisto MT"/>
          <w:color w:val="121212"/>
        </w:rPr>
        <w:t>Mr</w:t>
      </w:r>
      <w:proofErr w:type="spellEnd"/>
      <w:r>
        <w:rPr>
          <w:rFonts w:ascii="Calisto MT" w:hAnsi="Calisto MT"/>
          <w:color w:val="121212"/>
        </w:rPr>
        <w:t xml:space="preserve"> Powell’s biggest problem is a more enduring and global one: interest rates are stubbornly low. In recent months, members of the Fed’s Board of Governors have spoken about the need to prepare for future downturns. The Fed’s main policy rate will almost certainly be cut to zero, forcing it to rely once more on its “unconventional” tools. </w:t>
      </w:r>
      <w:proofErr w:type="spellStart"/>
      <w:r>
        <w:rPr>
          <w:rFonts w:ascii="Calisto MT" w:hAnsi="Calisto MT"/>
          <w:color w:val="121212"/>
        </w:rPr>
        <w:t>Mr</w:t>
      </w:r>
      <w:proofErr w:type="spellEnd"/>
      <w:r>
        <w:rPr>
          <w:rFonts w:ascii="Calisto MT" w:hAnsi="Calisto MT"/>
          <w:color w:val="121212"/>
        </w:rPr>
        <w:t xml:space="preserve"> Powell has said he is open to considering yield-curve control, a new approach borrowed from Japan. It is a promising innovation, but also a timid one, given the challenges the next recession will probably bring.</w:t>
      </w:r>
    </w:p>
    <w:p w:rsidR="00EB6A5F" w:rsidRDefault="00EB6A5F" w:rsidP="00EB6A5F">
      <w:pPr>
        <w:pStyle w:val="articlebody-text"/>
        <w:spacing w:before="0" w:after="0"/>
        <w:textAlignment w:val="baseline"/>
        <w:rPr>
          <w:rFonts w:ascii="Calisto MT" w:hAnsi="Calisto MT"/>
          <w:color w:val="121212"/>
        </w:rPr>
      </w:pPr>
      <w:r>
        <w:rPr>
          <w:rFonts w:ascii="Calisto MT" w:hAnsi="Calisto MT"/>
          <w:color w:val="121212"/>
        </w:rPr>
        <w:t xml:space="preserve">During the global financial </w:t>
      </w:r>
      <w:proofErr w:type="gramStart"/>
      <w:r>
        <w:rPr>
          <w:rFonts w:ascii="Calisto MT" w:hAnsi="Calisto MT"/>
          <w:color w:val="121212"/>
        </w:rPr>
        <w:t>crisis</w:t>
      </w:r>
      <w:proofErr w:type="gramEnd"/>
      <w:r>
        <w:rPr>
          <w:rFonts w:ascii="Calisto MT" w:hAnsi="Calisto MT"/>
          <w:color w:val="121212"/>
        </w:rPr>
        <w:t xml:space="preserve"> the hope was that when recovery arrived overnight interest rates—central banks’ preferred policy lever—would rise, restoring business as usual. In fact, despite a resilient global expansion, few rich-world countries have left zero behind. America, the most obvious exception, discovered last year that it could not sustain an overnight rate above 2%, even with low unemployment and a government-budget deficit approaching 5% of </w:t>
      </w:r>
      <w:proofErr w:type="spellStart"/>
      <w:r>
        <w:rPr>
          <w:rFonts w:ascii="Calisto MT" w:hAnsi="Calisto MT"/>
          <w:color w:val="121212"/>
          <w:sz w:val="20"/>
          <w:szCs w:val="20"/>
          <w:bdr w:val="none" w:sz="0" w:space="0" w:color="auto" w:frame="1"/>
        </w:rPr>
        <w:t>gdp</w:t>
      </w:r>
      <w:proofErr w:type="spellEnd"/>
      <w:r>
        <w:rPr>
          <w:rFonts w:ascii="Calisto MT" w:hAnsi="Calisto MT"/>
          <w:color w:val="121212"/>
        </w:rPr>
        <w:t>. Some economists reckon low rates are only a minor inconvenience. In a recent lecture Ben Bernanke, a former Fed chairman, argued that the unconventional tools used during and after the crisis worked reliably and effectively, and could do so again. Others would prefer to have more powerful, and comprehensible, monetary policy ready for the next downturn.</w:t>
      </w:r>
    </w:p>
    <w:p w:rsidR="00EB6A5F" w:rsidRDefault="00EB6A5F" w:rsidP="00EB6A5F">
      <w:pPr>
        <w:pStyle w:val="articlebody-text"/>
        <w:spacing w:before="0" w:after="0"/>
        <w:textAlignment w:val="baseline"/>
        <w:rPr>
          <w:rFonts w:ascii="Calisto MT" w:hAnsi="Calisto MT"/>
          <w:color w:val="121212"/>
        </w:rPr>
      </w:pPr>
      <w:r>
        <w:rPr>
          <w:rFonts w:ascii="Calisto MT" w:hAnsi="Calisto MT"/>
          <w:color w:val="121212"/>
        </w:rPr>
        <w:t xml:space="preserve">The natural extension of interest-rate policy would be to cut overnight rates into negative territory, as central banks in Europe and Japan have already done. But the room for </w:t>
      </w:r>
      <w:proofErr w:type="spellStart"/>
      <w:r>
        <w:rPr>
          <w:rFonts w:ascii="Calisto MT" w:hAnsi="Calisto MT"/>
          <w:color w:val="121212"/>
        </w:rPr>
        <w:t>manoeuvre</w:t>
      </w:r>
      <w:proofErr w:type="spellEnd"/>
      <w:r>
        <w:rPr>
          <w:rFonts w:ascii="Calisto MT" w:hAnsi="Calisto MT"/>
          <w:color w:val="121212"/>
        </w:rPr>
        <w:t xml:space="preserve"> is limited. Economists worry that even modestly negative rates risk </w:t>
      </w:r>
      <w:proofErr w:type="spellStart"/>
      <w:r>
        <w:rPr>
          <w:rFonts w:ascii="Calisto MT" w:hAnsi="Calisto MT"/>
          <w:color w:val="121212"/>
        </w:rPr>
        <w:t>destabilising</w:t>
      </w:r>
      <w:proofErr w:type="spellEnd"/>
      <w:r>
        <w:rPr>
          <w:rFonts w:ascii="Calisto MT" w:hAnsi="Calisto MT"/>
          <w:color w:val="121212"/>
        </w:rPr>
        <w:t xml:space="preserve"> the financial system, as banks become reluctant to pass on interest-rate cuts for fear that depositors will yank their savings out. Fewer worries attach to quantitative easing (</w:t>
      </w:r>
      <w:proofErr w:type="spellStart"/>
      <w:r>
        <w:rPr>
          <w:rFonts w:ascii="Calisto MT" w:hAnsi="Calisto MT"/>
          <w:color w:val="121212"/>
          <w:sz w:val="20"/>
          <w:szCs w:val="20"/>
          <w:bdr w:val="none" w:sz="0" w:space="0" w:color="auto" w:frame="1"/>
        </w:rPr>
        <w:t>qe</w:t>
      </w:r>
      <w:proofErr w:type="spellEnd"/>
      <w:r>
        <w:rPr>
          <w:rFonts w:ascii="Calisto MT" w:hAnsi="Calisto MT"/>
          <w:color w:val="121212"/>
        </w:rPr>
        <w:t>), the Fed’s unconventional tool of first resort, though it too has its downsides.</w:t>
      </w:r>
    </w:p>
    <w:p w:rsidR="00EB6A5F" w:rsidRDefault="00EB6A5F" w:rsidP="00EB6A5F">
      <w:pPr>
        <w:pStyle w:val="articlebody-text"/>
        <w:spacing w:before="0" w:after="0"/>
        <w:textAlignment w:val="baseline"/>
        <w:rPr>
          <w:rFonts w:ascii="Calisto MT" w:hAnsi="Calisto MT"/>
          <w:color w:val="121212"/>
        </w:rPr>
      </w:pPr>
      <w:r>
        <w:rPr>
          <w:rFonts w:ascii="Calisto MT" w:hAnsi="Calisto MT"/>
          <w:color w:val="121212"/>
        </w:rPr>
        <w:t>Before the crisis, the Fed traded bonds to keep overnight interest rates within a desired range. With </w:t>
      </w:r>
      <w:proofErr w:type="spellStart"/>
      <w:r>
        <w:rPr>
          <w:rFonts w:ascii="Calisto MT" w:hAnsi="Calisto MT"/>
          <w:color w:val="121212"/>
          <w:sz w:val="20"/>
          <w:szCs w:val="20"/>
          <w:bdr w:val="none" w:sz="0" w:space="0" w:color="auto" w:frame="1"/>
        </w:rPr>
        <w:t>qe</w:t>
      </w:r>
      <w:proofErr w:type="spellEnd"/>
      <w:r>
        <w:rPr>
          <w:rFonts w:ascii="Calisto MT" w:hAnsi="Calisto MT"/>
          <w:color w:val="121212"/>
        </w:rPr>
        <w:t>, by contrast, bond purchases are an end in themselves. Rather than announce changes to rates, central bankers inform markets of the quantity of bonds they will buy (hence “quantitative”) with newly created money. When investors sell long-term government bonds to the central bank, the thinking goes, they use the cash they receive to buy other assets, such as corporate bonds or equities. Higher stock and bond prices in turn encourage firms to invest, boosting the economy.</w:t>
      </w:r>
    </w:p>
    <w:p w:rsidR="00EB6A5F" w:rsidRDefault="00EB6A5F" w:rsidP="00EB6A5F">
      <w:pPr>
        <w:pStyle w:val="articlebody-text"/>
        <w:spacing w:before="0" w:after="0"/>
        <w:textAlignment w:val="baseline"/>
        <w:rPr>
          <w:rFonts w:ascii="Calisto MT" w:hAnsi="Calisto MT"/>
          <w:color w:val="121212"/>
        </w:rPr>
      </w:pPr>
      <w:r>
        <w:rPr>
          <w:rFonts w:ascii="Calisto MT" w:hAnsi="Calisto MT"/>
          <w:color w:val="121212"/>
        </w:rPr>
        <w:lastRenderedPageBreak/>
        <w:t>Some evidence suggests that </w:t>
      </w:r>
      <w:proofErr w:type="spellStart"/>
      <w:r>
        <w:rPr>
          <w:rFonts w:ascii="Calisto MT" w:hAnsi="Calisto MT"/>
          <w:color w:val="121212"/>
          <w:sz w:val="20"/>
          <w:szCs w:val="20"/>
          <w:bdr w:val="none" w:sz="0" w:space="0" w:color="auto" w:frame="1"/>
        </w:rPr>
        <w:t>qe</w:t>
      </w:r>
      <w:proofErr w:type="spellEnd"/>
      <w:r>
        <w:rPr>
          <w:rFonts w:ascii="Calisto MT" w:hAnsi="Calisto MT"/>
          <w:color w:val="121212"/>
        </w:rPr>
        <w:t xml:space="preserve"> is subject to diminishing returns, however, and works best when credit markets are in crisis, which is not the case in most recessions. Asset-purchase </w:t>
      </w:r>
      <w:proofErr w:type="spellStart"/>
      <w:r>
        <w:rPr>
          <w:rFonts w:ascii="Calisto MT" w:hAnsi="Calisto MT"/>
          <w:color w:val="121212"/>
        </w:rPr>
        <w:t>programmes</w:t>
      </w:r>
      <w:proofErr w:type="spellEnd"/>
      <w:r>
        <w:rPr>
          <w:rFonts w:ascii="Calisto MT" w:hAnsi="Calisto MT"/>
          <w:color w:val="121212"/>
        </w:rPr>
        <w:t xml:space="preserve"> can also be difficult for investors to interpret. In 2013, for example, when the Fed </w:t>
      </w:r>
      <w:proofErr w:type="spellStart"/>
      <w:r>
        <w:rPr>
          <w:rFonts w:ascii="Calisto MT" w:hAnsi="Calisto MT"/>
          <w:color w:val="121212"/>
        </w:rPr>
        <w:t>signalled</w:t>
      </w:r>
      <w:proofErr w:type="spellEnd"/>
      <w:r>
        <w:rPr>
          <w:rFonts w:ascii="Calisto MT" w:hAnsi="Calisto MT"/>
          <w:color w:val="121212"/>
        </w:rPr>
        <w:t xml:space="preserve"> that it might curtail purchases, markets spasmed. In November Lael Brainard, a Federal Reserve Board governor, noted that the Fed’s announcements regarding </w:t>
      </w:r>
      <w:proofErr w:type="spellStart"/>
      <w:r>
        <w:rPr>
          <w:rFonts w:ascii="Calisto MT" w:hAnsi="Calisto MT"/>
          <w:color w:val="121212"/>
          <w:sz w:val="20"/>
          <w:szCs w:val="20"/>
          <w:bdr w:val="none" w:sz="0" w:space="0" w:color="auto" w:frame="1"/>
        </w:rPr>
        <w:t>qe</w:t>
      </w:r>
      <w:proofErr w:type="spellEnd"/>
      <w:r>
        <w:rPr>
          <w:rFonts w:ascii="Calisto MT" w:hAnsi="Calisto MT"/>
          <w:color w:val="121212"/>
        </w:rPr>
        <w:t> often wrong-footed markets. This confusion may have put the Fed off using </w:t>
      </w:r>
      <w:proofErr w:type="spellStart"/>
      <w:r>
        <w:rPr>
          <w:rFonts w:ascii="Calisto MT" w:hAnsi="Calisto MT"/>
          <w:color w:val="121212"/>
          <w:sz w:val="20"/>
          <w:szCs w:val="20"/>
          <w:bdr w:val="none" w:sz="0" w:space="0" w:color="auto" w:frame="1"/>
        </w:rPr>
        <w:t>qe</w:t>
      </w:r>
      <w:proofErr w:type="spellEnd"/>
      <w:r>
        <w:rPr>
          <w:rFonts w:ascii="Calisto MT" w:hAnsi="Calisto MT"/>
          <w:color w:val="121212"/>
        </w:rPr>
        <w:t> as aggressively as the economy required.</w:t>
      </w:r>
    </w:p>
    <w:p w:rsidR="00EB6A5F" w:rsidRDefault="00EB6A5F" w:rsidP="00EB6A5F">
      <w:pPr>
        <w:pStyle w:val="articlebody-text"/>
        <w:spacing w:before="0" w:after="0"/>
        <w:textAlignment w:val="baseline"/>
        <w:rPr>
          <w:rFonts w:ascii="Calisto MT" w:hAnsi="Calisto MT"/>
          <w:color w:val="121212"/>
        </w:rPr>
      </w:pPr>
      <w:r>
        <w:rPr>
          <w:rFonts w:ascii="Calisto MT" w:hAnsi="Calisto MT"/>
          <w:color w:val="121212"/>
        </w:rPr>
        <w:t xml:space="preserve">Yield-curve control would allow a central bank that has cut its overnight rate to zero to set rates for bonds of longer maturities. Keeping rates down at any horizon should stimulate investment and consumption, helping the economy. The Bank of Japan began its </w:t>
      </w:r>
      <w:proofErr w:type="spellStart"/>
      <w:r>
        <w:rPr>
          <w:rFonts w:ascii="Calisto MT" w:hAnsi="Calisto MT"/>
          <w:color w:val="121212"/>
        </w:rPr>
        <w:t>programme</w:t>
      </w:r>
      <w:proofErr w:type="spellEnd"/>
      <w:r>
        <w:rPr>
          <w:rFonts w:ascii="Calisto MT" w:hAnsi="Calisto MT"/>
          <w:color w:val="121212"/>
        </w:rPr>
        <w:t xml:space="preserve"> by targeting a yield of 0% for ten-year Japanese government bonds; an American version might begin by capping the rate for one-year bonds, then adding in longer durations as needed. No announcements regarding the buying or selling of bonds would be necessary; the Fed would simply transact in the bond market to keep yields on target, as it does for overnight rates. And this would be easier for markets to parse than tweaks to </w:t>
      </w:r>
      <w:proofErr w:type="spellStart"/>
      <w:r>
        <w:rPr>
          <w:rFonts w:ascii="Calisto MT" w:hAnsi="Calisto MT"/>
          <w:color w:val="121212"/>
          <w:sz w:val="20"/>
          <w:szCs w:val="20"/>
          <w:bdr w:val="none" w:sz="0" w:space="0" w:color="auto" w:frame="1"/>
        </w:rPr>
        <w:t>qe</w:t>
      </w:r>
      <w:proofErr w:type="spellEnd"/>
      <w:r>
        <w:rPr>
          <w:rFonts w:ascii="Calisto MT" w:hAnsi="Calisto MT"/>
          <w:color w:val="121212"/>
        </w:rPr>
        <w:t>.</w:t>
      </w:r>
    </w:p>
    <w:p w:rsidR="00EB6A5F" w:rsidRPr="00EB6A5F" w:rsidRDefault="00EB6A5F" w:rsidP="00EB6A5F">
      <w:pPr>
        <w:spacing w:beforeAutospacing="1" w:after="0" w:afterAutospacing="1" w:line="240" w:lineRule="auto"/>
        <w:textAlignment w:val="baseline"/>
        <w:rPr>
          <w:rFonts w:ascii="Calisto MT" w:eastAsia="Times New Roman" w:hAnsi="Calisto MT"/>
          <w:color w:val="121212"/>
          <w:sz w:val="24"/>
          <w:szCs w:val="24"/>
          <w:lang w:bidi="th-TH"/>
        </w:rPr>
      </w:pPr>
      <w:r w:rsidRPr="00EB6A5F">
        <w:rPr>
          <w:rFonts w:ascii="Calisto MT" w:eastAsia="Times New Roman" w:hAnsi="Calisto MT"/>
          <w:color w:val="121212"/>
          <w:sz w:val="24"/>
          <w:szCs w:val="24"/>
          <w:lang w:bidi="th-TH"/>
        </w:rPr>
        <w:t xml:space="preserve">A commitment to defend interest-rate pegs unnerves some economists. </w:t>
      </w:r>
      <w:proofErr w:type="spellStart"/>
      <w:r w:rsidRPr="00EB6A5F">
        <w:rPr>
          <w:rFonts w:ascii="Calisto MT" w:eastAsia="Times New Roman" w:hAnsi="Calisto MT"/>
          <w:color w:val="121212"/>
          <w:sz w:val="24"/>
          <w:szCs w:val="24"/>
          <w:lang w:bidi="th-TH"/>
        </w:rPr>
        <w:t>Mr</w:t>
      </w:r>
      <w:proofErr w:type="spellEnd"/>
      <w:r w:rsidRPr="00EB6A5F">
        <w:rPr>
          <w:rFonts w:ascii="Calisto MT" w:eastAsia="Times New Roman" w:hAnsi="Calisto MT"/>
          <w:color w:val="121212"/>
          <w:sz w:val="24"/>
          <w:szCs w:val="24"/>
          <w:lang w:bidi="th-TH"/>
        </w:rPr>
        <w:t xml:space="preserve"> Bernanke warns that America’s government-bond market is so large and liquid that the Fed might have to purchase huge quantities of Treasuries to hit its target. But if markets found the yield-curve policy credible, the Fed might not need to buy many bonds at all; its commitment to intervene would deter investors from selling bonds at yields outside its target. And it might reinforce the central bank’s promises about the future path of short-term interest rates. The Bank of Japan, which conducted </w:t>
      </w:r>
      <w:proofErr w:type="spellStart"/>
      <w:r w:rsidRPr="00EB6A5F">
        <w:rPr>
          <w:rFonts w:ascii="Calisto MT" w:eastAsia="Times New Roman" w:hAnsi="Calisto MT"/>
          <w:color w:val="121212"/>
          <w:sz w:val="20"/>
          <w:szCs w:val="20"/>
          <w:bdr w:val="none" w:sz="0" w:space="0" w:color="auto" w:frame="1"/>
          <w:lang w:bidi="th-TH"/>
        </w:rPr>
        <w:t>qe</w:t>
      </w:r>
      <w:proofErr w:type="spellEnd"/>
      <w:r w:rsidRPr="00EB6A5F">
        <w:rPr>
          <w:rFonts w:ascii="Calisto MT" w:eastAsia="Times New Roman" w:hAnsi="Calisto MT"/>
          <w:color w:val="121212"/>
          <w:sz w:val="24"/>
          <w:szCs w:val="24"/>
          <w:lang w:bidi="th-TH"/>
        </w:rPr>
        <w:t> before switching to its yield-curve control policy, has kept yields at its desired level while buying fewer bonds than before.</w:t>
      </w:r>
    </w:p>
    <w:p w:rsidR="00EB6A5F" w:rsidRPr="00EB6A5F" w:rsidRDefault="00EB6A5F" w:rsidP="00EB6A5F">
      <w:pPr>
        <w:spacing w:before="100" w:beforeAutospacing="1" w:after="100" w:afterAutospacing="1" w:line="240" w:lineRule="auto"/>
        <w:textAlignment w:val="baseline"/>
        <w:rPr>
          <w:rFonts w:ascii="Calisto MT" w:eastAsia="Times New Roman" w:hAnsi="Calisto MT"/>
          <w:color w:val="121212"/>
          <w:sz w:val="24"/>
          <w:szCs w:val="24"/>
          <w:lang w:bidi="th-TH"/>
        </w:rPr>
      </w:pPr>
      <w:r w:rsidRPr="00EB6A5F">
        <w:rPr>
          <w:rFonts w:ascii="Calisto MT" w:eastAsia="Times New Roman" w:hAnsi="Calisto MT"/>
          <w:color w:val="121212"/>
          <w:sz w:val="24"/>
          <w:szCs w:val="24"/>
          <w:lang w:bidi="th-TH"/>
        </w:rPr>
        <w:t>Still, even successful yield-curve control could underwhelm. Long-term rates are already low, limiting the stimulus to be had from reductions. In Japan a pancake-flat yield curve has not pushed inflation up to the central bank’s 2% target, and low government-bond yields seem to be encouraging insurers and pension funds to load up on dangerously risky assets. Bolder change, like a shift to a higher inflation target, might offer a sustainable route away from low interest rates. But getting there might require more firepower than a central bank alone can muster.</w:t>
      </w:r>
    </w:p>
    <w:p w:rsidR="00EB6A5F" w:rsidRPr="00EB6A5F" w:rsidRDefault="00EB6A5F" w:rsidP="00EB6A5F">
      <w:pPr>
        <w:spacing w:after="0" w:line="240" w:lineRule="auto"/>
        <w:textAlignment w:val="baseline"/>
        <w:outlineLvl w:val="1"/>
        <w:rPr>
          <w:rFonts w:ascii="Calisto MT" w:eastAsia="Times New Roman" w:hAnsi="Calisto MT"/>
          <w:b/>
          <w:bCs/>
          <w:color w:val="121212"/>
          <w:sz w:val="36"/>
          <w:szCs w:val="36"/>
          <w:lang w:bidi="th-TH"/>
        </w:rPr>
      </w:pPr>
      <w:r w:rsidRPr="00EB6A5F">
        <w:rPr>
          <w:rFonts w:ascii="Calisto MT" w:eastAsia="Times New Roman" w:hAnsi="Calisto MT"/>
          <w:b/>
          <w:bCs/>
          <w:color w:val="121212"/>
          <w:sz w:val="36"/>
          <w:szCs w:val="36"/>
          <w:lang w:bidi="th-TH"/>
        </w:rPr>
        <w:t>Bonds away</w:t>
      </w:r>
    </w:p>
    <w:p w:rsidR="00EB6A5F" w:rsidRPr="00EB6A5F" w:rsidRDefault="00EB6A5F" w:rsidP="00EB6A5F">
      <w:pPr>
        <w:spacing w:before="100" w:beforeAutospacing="1" w:after="100" w:afterAutospacing="1" w:line="240" w:lineRule="auto"/>
        <w:textAlignment w:val="baseline"/>
        <w:rPr>
          <w:rFonts w:ascii="Calisto MT" w:eastAsia="Times New Roman" w:hAnsi="Calisto MT"/>
          <w:color w:val="121212"/>
          <w:sz w:val="24"/>
          <w:szCs w:val="24"/>
          <w:lang w:bidi="th-TH"/>
        </w:rPr>
      </w:pPr>
      <w:r w:rsidRPr="00EB6A5F">
        <w:rPr>
          <w:rFonts w:ascii="Calisto MT" w:eastAsia="Times New Roman" w:hAnsi="Calisto MT"/>
          <w:color w:val="121212"/>
          <w:sz w:val="24"/>
          <w:szCs w:val="24"/>
          <w:lang w:bidi="th-TH"/>
        </w:rPr>
        <w:t>Government spending packs a powerful punch, and sustained low rates of interest are sapping political opposition to large budget deficits. Even so, American-style deficits worry economists, who fear that markets will eventually lose their appetite for bonds. Under yield-curve control, however, the central bank would in effect guarantee the government’s low borrowing costs.</w:t>
      </w:r>
    </w:p>
    <w:p w:rsidR="00EB6A5F" w:rsidRPr="00EB6A5F" w:rsidRDefault="00EB6A5F" w:rsidP="00EB6A5F">
      <w:pPr>
        <w:spacing w:beforeAutospacing="1" w:after="0" w:afterAutospacing="1" w:line="240" w:lineRule="auto"/>
        <w:textAlignment w:val="baseline"/>
        <w:rPr>
          <w:rFonts w:ascii="Calisto MT" w:eastAsia="Times New Roman" w:hAnsi="Calisto MT"/>
          <w:color w:val="121212"/>
          <w:sz w:val="24"/>
          <w:szCs w:val="24"/>
          <w:lang w:bidi="th-TH"/>
        </w:rPr>
      </w:pPr>
      <w:r w:rsidRPr="00EB6A5F">
        <w:rPr>
          <w:rFonts w:ascii="Calisto MT" w:eastAsia="Times New Roman" w:hAnsi="Calisto MT"/>
          <w:color w:val="121212"/>
          <w:sz w:val="24"/>
          <w:szCs w:val="24"/>
          <w:lang w:bidi="th-TH"/>
        </w:rPr>
        <w:t>America has controlled its yield curve before—in the 1940s, when the Fed held down the government’s borrowing costs during the second world war. Few economists would endorse such a strategy outside wartime. But yield-curve control cannot fight the next recession alone. Without bigger changes to monetary policy, it will need to be paired with fiscal stimulus. Blurring the line between monetary and fiscal policy may once again become imperative. </w:t>
      </w:r>
      <w:r w:rsidRPr="00EB6A5F">
        <w:rPr>
          <w:rFonts w:ascii="inherit" w:eastAsia="Times New Roman" w:hAnsi="inherit"/>
          <w:color w:val="121212"/>
          <w:sz w:val="2"/>
          <w:szCs w:val="2"/>
          <w:bdr w:val="none" w:sz="0" w:space="0" w:color="auto" w:frame="1"/>
          <w:lang w:bidi="th-TH"/>
        </w:rPr>
        <w:t>■</w:t>
      </w:r>
    </w:p>
    <w:p w:rsidR="00EB6A5F" w:rsidRPr="00EB6A5F" w:rsidRDefault="00EB6A5F" w:rsidP="00EB6A5F">
      <w:pPr>
        <w:spacing w:before="100" w:beforeAutospacing="1" w:after="100" w:afterAutospacing="1" w:line="240" w:lineRule="auto"/>
        <w:textAlignment w:val="baseline"/>
        <w:rPr>
          <w:rFonts w:ascii="Calisto MT" w:eastAsia="Times New Roman" w:hAnsi="Calisto MT"/>
          <w:i/>
          <w:iCs/>
          <w:sz w:val="24"/>
          <w:szCs w:val="24"/>
          <w:lang w:bidi="th-TH"/>
        </w:rPr>
      </w:pPr>
      <w:r w:rsidRPr="00EB6A5F">
        <w:rPr>
          <w:rFonts w:ascii="Calisto MT" w:eastAsia="Times New Roman" w:hAnsi="Calisto MT"/>
          <w:i/>
          <w:iCs/>
          <w:sz w:val="24"/>
          <w:szCs w:val="24"/>
          <w:lang w:bidi="th-TH"/>
        </w:rPr>
        <w:t>This article appeared in the Finance and economics section of the print edition under the headline "Yield-curve control could prove a useful tool in the next recession"</w:t>
      </w:r>
    </w:p>
    <w:p w:rsidR="00815375" w:rsidRDefault="00815375"/>
    <w:sectPr w:rsidR="0081537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sto MT">
    <w:panose1 w:val="02040603050505030304"/>
    <w:charset w:val="00"/>
    <w:family w:val="roman"/>
    <w:pitch w:val="variable"/>
    <w:sig w:usb0="00000003" w:usb1="00000000" w:usb2="00000000" w:usb3="00000000" w:csb0="00000001" w:csb1="00000000"/>
  </w:font>
  <w:font w:name="var(--ds-type-system-serif)">
    <w:altName w:val="Cambria"/>
    <w:panose1 w:val="00000000000000000000"/>
    <w:charset w:val="00"/>
    <w:family w:val="roman"/>
    <w:notTrueType/>
    <w:pitch w:val="default"/>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savePreviewPicture/>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U1MjM0NDE2trSwMDJT0lEKTi0uzszPAykwqgUA0GmmUywAAAA="/>
  </w:docVars>
  <w:rsids>
    <w:rsidRoot w:val="00EB6A5F"/>
    <w:rsid w:val="0008083B"/>
    <w:rsid w:val="00081E89"/>
    <w:rsid w:val="000B34C4"/>
    <w:rsid w:val="001D1404"/>
    <w:rsid w:val="001D4A05"/>
    <w:rsid w:val="00201234"/>
    <w:rsid w:val="004B3AB2"/>
    <w:rsid w:val="004B6C59"/>
    <w:rsid w:val="004D5BAE"/>
    <w:rsid w:val="00587B4A"/>
    <w:rsid w:val="006304CD"/>
    <w:rsid w:val="00713C30"/>
    <w:rsid w:val="007E45BE"/>
    <w:rsid w:val="00815375"/>
    <w:rsid w:val="008A3FBE"/>
    <w:rsid w:val="008C3272"/>
    <w:rsid w:val="009809CA"/>
    <w:rsid w:val="009E029C"/>
    <w:rsid w:val="00A32221"/>
    <w:rsid w:val="00A34FED"/>
    <w:rsid w:val="00A53E3A"/>
    <w:rsid w:val="00A82384"/>
    <w:rsid w:val="00AF6F50"/>
    <w:rsid w:val="00B72A09"/>
    <w:rsid w:val="00D5272E"/>
    <w:rsid w:val="00E86E1E"/>
    <w:rsid w:val="00EB6A5F"/>
    <w:rsid w:val="00F81FF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81FA6D-73E3-4BDA-9BCD-FDB7AFFD4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45BE"/>
    <w:pPr>
      <w:spacing w:after="200" w:line="276" w:lineRule="auto"/>
    </w:pPr>
    <w:rPr>
      <w:sz w:val="22"/>
      <w:szCs w:val="22"/>
      <w:lang w:bidi="ar-SA"/>
    </w:rPr>
  </w:style>
  <w:style w:type="paragraph" w:styleId="Heading2">
    <w:name w:val="heading 2"/>
    <w:basedOn w:val="Normal"/>
    <w:link w:val="Heading2Char"/>
    <w:uiPriority w:val="9"/>
    <w:qFormat/>
    <w:rsid w:val="00EB6A5F"/>
    <w:pPr>
      <w:spacing w:before="100" w:beforeAutospacing="1" w:after="100" w:afterAutospacing="1" w:line="240" w:lineRule="auto"/>
      <w:outlineLvl w:val="1"/>
    </w:pPr>
    <w:rPr>
      <w:rFonts w:ascii="Times New Roman" w:eastAsia="Times New Roman" w:hAnsi="Times New Roman"/>
      <w:b/>
      <w:bCs/>
      <w:sz w:val="36"/>
      <w:szCs w:val="36"/>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7E45BE"/>
    <w:pPr>
      <w:tabs>
        <w:tab w:val="decimal" w:pos="360"/>
      </w:tabs>
    </w:pPr>
    <w:rPr>
      <w:rFonts w:eastAsia="Times New Roman"/>
    </w:rPr>
  </w:style>
  <w:style w:type="character" w:styleId="Strong">
    <w:name w:val="Strong"/>
    <w:uiPriority w:val="22"/>
    <w:qFormat/>
    <w:rsid w:val="007E45BE"/>
    <w:rPr>
      <w:b/>
      <w:bCs/>
    </w:rPr>
  </w:style>
  <w:style w:type="character" w:styleId="SubtleEmphasis">
    <w:name w:val="Subtle Emphasis"/>
    <w:uiPriority w:val="19"/>
    <w:qFormat/>
    <w:rsid w:val="007E45BE"/>
    <w:rPr>
      <w:rFonts w:eastAsia="Times New Roman" w:cs="Times New Roman"/>
      <w:bCs w:val="0"/>
      <w:i/>
      <w:iCs/>
      <w:color w:val="808080"/>
      <w:szCs w:val="22"/>
      <w:lang w:val="en-US"/>
    </w:rPr>
  </w:style>
  <w:style w:type="paragraph" w:styleId="Caption">
    <w:name w:val="caption"/>
    <w:basedOn w:val="Normal"/>
    <w:next w:val="Normal"/>
    <w:link w:val="CaptionChar"/>
    <w:autoRedefine/>
    <w:uiPriority w:val="35"/>
    <w:unhideWhenUsed/>
    <w:qFormat/>
    <w:rsid w:val="00AF6F50"/>
    <w:pPr>
      <w:spacing w:line="240" w:lineRule="auto"/>
    </w:pPr>
    <w:rPr>
      <w:rFonts w:ascii="Cordia New" w:eastAsia="Cordia New" w:hAnsi="Cordia New" w:cs="Cordia New"/>
      <w:i/>
      <w:iCs/>
      <w:color w:val="44546A" w:themeColor="text2"/>
      <w:sz w:val="24"/>
      <w:lang w:bidi="th-TH"/>
    </w:rPr>
  </w:style>
  <w:style w:type="character" w:customStyle="1" w:styleId="CaptionChar">
    <w:name w:val="Caption Char"/>
    <w:basedOn w:val="DefaultParagraphFont"/>
    <w:link w:val="Caption"/>
    <w:uiPriority w:val="35"/>
    <w:rsid w:val="00AF6F50"/>
    <w:rPr>
      <w:rFonts w:ascii="Cordia New" w:eastAsia="Cordia New" w:hAnsi="Cordia New" w:cs="Cordia New"/>
      <w:i/>
      <w:iCs/>
      <w:color w:val="44546A" w:themeColor="text2"/>
      <w:sz w:val="24"/>
      <w:szCs w:val="22"/>
    </w:rPr>
  </w:style>
  <w:style w:type="paragraph" w:customStyle="1" w:styleId="articlebody-text">
    <w:name w:val="article__body-text"/>
    <w:basedOn w:val="Normal"/>
    <w:rsid w:val="00EB6A5F"/>
    <w:pPr>
      <w:spacing w:before="100" w:beforeAutospacing="1" w:after="100" w:afterAutospacing="1" w:line="240" w:lineRule="auto"/>
    </w:pPr>
    <w:rPr>
      <w:rFonts w:ascii="Times New Roman" w:eastAsia="Times New Roman" w:hAnsi="Times New Roman"/>
      <w:sz w:val="24"/>
      <w:szCs w:val="24"/>
      <w:lang w:bidi="th-TH"/>
    </w:rPr>
  </w:style>
  <w:style w:type="character" w:customStyle="1" w:styleId="Heading2Char">
    <w:name w:val="Heading 2 Char"/>
    <w:basedOn w:val="DefaultParagraphFont"/>
    <w:link w:val="Heading2"/>
    <w:uiPriority w:val="9"/>
    <w:rsid w:val="00EB6A5F"/>
    <w:rPr>
      <w:rFonts w:ascii="Times New Roman" w:eastAsia="Times New Roman" w:hAnsi="Times New Roman"/>
      <w:b/>
      <w:bCs/>
      <w:sz w:val="36"/>
      <w:szCs w:val="36"/>
    </w:rPr>
  </w:style>
  <w:style w:type="paragraph" w:customStyle="1" w:styleId="articlefootnote">
    <w:name w:val="article__footnote"/>
    <w:basedOn w:val="Normal"/>
    <w:rsid w:val="00EB6A5F"/>
    <w:pPr>
      <w:spacing w:before="100" w:beforeAutospacing="1" w:after="100" w:afterAutospacing="1" w:line="240" w:lineRule="auto"/>
    </w:pPr>
    <w:rPr>
      <w:rFonts w:ascii="Times New Roman" w:eastAsia="Times New Roman" w:hAnsi="Times New Roman"/>
      <w:sz w:val="24"/>
      <w:szCs w:val="24"/>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818652">
      <w:bodyDiv w:val="1"/>
      <w:marLeft w:val="0"/>
      <w:marRight w:val="0"/>
      <w:marTop w:val="0"/>
      <w:marBottom w:val="0"/>
      <w:divBdr>
        <w:top w:val="none" w:sz="0" w:space="0" w:color="auto"/>
        <w:left w:val="none" w:sz="0" w:space="0" w:color="auto"/>
        <w:bottom w:val="none" w:sz="0" w:space="0" w:color="auto"/>
        <w:right w:val="none" w:sz="0" w:space="0" w:color="auto"/>
      </w:divBdr>
    </w:div>
    <w:div w:id="822232577">
      <w:bodyDiv w:val="1"/>
      <w:marLeft w:val="0"/>
      <w:marRight w:val="0"/>
      <w:marTop w:val="0"/>
      <w:marBottom w:val="0"/>
      <w:divBdr>
        <w:top w:val="none" w:sz="0" w:space="0" w:color="auto"/>
        <w:left w:val="none" w:sz="0" w:space="0" w:color="auto"/>
        <w:bottom w:val="none" w:sz="0" w:space="0" w:color="auto"/>
        <w:right w:val="none" w:sz="0" w:space="0" w:color="auto"/>
      </w:divBdr>
    </w:div>
    <w:div w:id="913205668">
      <w:bodyDiv w:val="1"/>
      <w:marLeft w:val="0"/>
      <w:marRight w:val="0"/>
      <w:marTop w:val="0"/>
      <w:marBottom w:val="0"/>
      <w:divBdr>
        <w:top w:val="none" w:sz="0" w:space="0" w:color="auto"/>
        <w:left w:val="none" w:sz="0" w:space="0" w:color="auto"/>
        <w:bottom w:val="none" w:sz="0" w:space="0" w:color="auto"/>
        <w:right w:val="none" w:sz="0" w:space="0" w:color="auto"/>
      </w:divBdr>
    </w:div>
    <w:div w:id="2061663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961</Words>
  <Characters>5480</Characters>
  <Application>Microsoft Office Word</Application>
  <DocSecurity>0</DocSecurity>
  <Lines>45</Lines>
  <Paragraphs>12</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Yield-curve control could prove a useful tool in the next recession</vt:lpstr>
      <vt:lpstr>    Bonds away</vt:lpstr>
    </vt:vector>
  </TitlesOfParts>
  <Company/>
  <LinksUpToDate>false</LinksUpToDate>
  <CharactersWithSpaces>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 nu</dc:creator>
  <cp:keywords/>
  <dc:description/>
  <cp:lastModifiedBy>pa nu</cp:lastModifiedBy>
  <cp:revision>2</cp:revision>
  <dcterms:created xsi:type="dcterms:W3CDTF">2020-02-07T05:15:00Z</dcterms:created>
  <dcterms:modified xsi:type="dcterms:W3CDTF">2020-02-07T05:21:00Z</dcterms:modified>
</cp:coreProperties>
</file>