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FDB" w:rsidRPr="00C07FDB" w:rsidRDefault="00C07FDB" w:rsidP="00C07FDB">
      <w:pPr>
        <w:spacing w:line="360" w:lineRule="auto"/>
        <w:jc w:val="center"/>
        <w:rPr>
          <w:rFonts w:ascii="Times New Roman" w:eastAsia="Times New Roman" w:hAnsi="Times New Roman" w:cs="Times New Roman"/>
          <w:sz w:val="24"/>
          <w:szCs w:val="24"/>
        </w:rPr>
      </w:pPr>
      <w:r w:rsidRPr="00C07FDB">
        <w:rPr>
          <w:rFonts w:ascii="Times New Roman" w:eastAsia="Times New Roman" w:hAnsi="Times New Roman" w:cs="Times New Roman"/>
          <w:b/>
          <w:bCs/>
          <w:color w:val="000000"/>
          <w:sz w:val="24"/>
          <w:szCs w:val="24"/>
          <w:u w:val="single"/>
        </w:rPr>
        <w:t>Group Assignment 1</w:t>
      </w:r>
    </w:p>
    <w:p w:rsidR="00C07FDB" w:rsidRPr="00C07FDB" w:rsidRDefault="00C07FDB" w:rsidP="00C07FDB">
      <w:pPr>
        <w:spacing w:line="240" w:lineRule="auto"/>
        <w:ind w:left="216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5404640210 </w:t>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Chotika</w:t>
      </w:r>
      <w:proofErr w:type="spellEnd"/>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Ngamthavornsup</w:t>
      </w:r>
      <w:proofErr w:type="spellEnd"/>
    </w:p>
    <w:p w:rsidR="00C07FDB" w:rsidRPr="00C07FDB" w:rsidRDefault="00C07FDB" w:rsidP="00C07FDB">
      <w:pPr>
        <w:spacing w:line="240" w:lineRule="auto"/>
        <w:ind w:left="144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5504640631 </w:t>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Laurinda</w:t>
      </w:r>
      <w:proofErr w:type="spellEnd"/>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Chanrasmi</w:t>
      </w:r>
      <w:proofErr w:type="spellEnd"/>
    </w:p>
    <w:p w:rsidR="00C07FDB" w:rsidRPr="00C07FDB" w:rsidRDefault="00C07FDB" w:rsidP="00C07FDB">
      <w:pPr>
        <w:spacing w:line="240" w:lineRule="auto"/>
        <w:ind w:left="144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5504640920 </w:t>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Pakaporn</w:t>
      </w:r>
      <w:proofErr w:type="spellEnd"/>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Tohwisessuk</w:t>
      </w:r>
      <w:proofErr w:type="spellEnd"/>
    </w:p>
    <w:p w:rsidR="00C07FDB" w:rsidRPr="00C07FDB" w:rsidRDefault="00C07FDB" w:rsidP="00C07FDB">
      <w:pPr>
        <w:spacing w:line="240" w:lineRule="auto"/>
        <w:ind w:left="144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5504642066 </w:t>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Warit</w:t>
      </w:r>
      <w:proofErr w:type="spellEnd"/>
      <w:r w:rsidRPr="00C07FDB">
        <w:rPr>
          <w:rFonts w:ascii="Times New Roman" w:eastAsia="Times New Roman" w:hAnsi="Times New Roman" w:cs="Times New Roman"/>
          <w:color w:val="000000"/>
          <w:sz w:val="24"/>
          <w:szCs w:val="24"/>
        </w:rPr>
        <w:tab/>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Jamkachornkiat</w:t>
      </w:r>
      <w:proofErr w:type="spellEnd"/>
    </w:p>
    <w:p w:rsidR="00C07FDB" w:rsidRPr="00C07FDB" w:rsidRDefault="00C07FDB" w:rsidP="00C07FDB">
      <w:pPr>
        <w:spacing w:line="240" w:lineRule="auto"/>
        <w:ind w:left="144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5604640028</w:t>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Amolkan</w:t>
      </w:r>
      <w:proofErr w:type="spellEnd"/>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Suvipol</w:t>
      </w:r>
      <w:proofErr w:type="spellEnd"/>
    </w:p>
    <w:p w:rsidR="00C07FDB" w:rsidRPr="00C07FDB" w:rsidRDefault="00C07FDB" w:rsidP="00C07FDB">
      <w:pPr>
        <w:spacing w:line="240" w:lineRule="auto"/>
        <w:ind w:left="144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5604640309</w:t>
      </w:r>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Chutimon</w:t>
      </w:r>
      <w:proofErr w:type="spellEnd"/>
      <w:r w:rsidRPr="00C07FDB">
        <w:rPr>
          <w:rFonts w:ascii="Times New Roman" w:eastAsia="Times New Roman" w:hAnsi="Times New Roman" w:cs="Times New Roman"/>
          <w:color w:val="000000"/>
          <w:sz w:val="24"/>
          <w:szCs w:val="24"/>
        </w:rPr>
        <w:tab/>
      </w:r>
      <w:proofErr w:type="spellStart"/>
      <w:r w:rsidRPr="00C07FDB">
        <w:rPr>
          <w:rFonts w:ascii="Times New Roman" w:eastAsia="Times New Roman" w:hAnsi="Times New Roman" w:cs="Times New Roman"/>
          <w:color w:val="000000"/>
          <w:sz w:val="24"/>
          <w:szCs w:val="24"/>
        </w:rPr>
        <w:t>Supakitvanitchkul</w:t>
      </w:r>
      <w:proofErr w:type="spellEnd"/>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numPr>
          <w:ilvl w:val="0"/>
          <w:numId w:val="1"/>
        </w:numPr>
        <w:spacing w:line="360" w:lineRule="auto"/>
        <w:textAlignment w:val="baseline"/>
        <w:rPr>
          <w:rFonts w:ascii="Times New Roman" w:eastAsia="Times New Roman" w:hAnsi="Times New Roman" w:cs="Times New Roman"/>
          <w:i/>
          <w:iCs/>
          <w:color w:val="000000"/>
          <w:sz w:val="24"/>
          <w:szCs w:val="24"/>
        </w:rPr>
      </w:pPr>
      <w:r w:rsidRPr="00C07FDB">
        <w:rPr>
          <w:rFonts w:ascii="Times New Roman" w:eastAsia="Times New Roman" w:hAnsi="Times New Roman" w:cs="Times New Roman"/>
          <w:i/>
          <w:iCs/>
          <w:color w:val="000000"/>
          <w:sz w:val="24"/>
          <w:szCs w:val="24"/>
        </w:rPr>
        <w:t>Research current economic conditions (interest rates, inflation) using The Wall Street Journal, other library resources, or the World Wide Web. Based on current economic conditions, what actions would you recommend to people who are saving and borrowing money?</w:t>
      </w:r>
    </w:p>
    <w:p w:rsidR="00C07FDB" w:rsidRPr="00C07FDB" w:rsidRDefault="00C07FDB" w:rsidP="00C07FDB">
      <w:pPr>
        <w:spacing w:line="360" w:lineRule="auto"/>
        <w:ind w:firstLine="27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u w:val="single"/>
        </w:rPr>
        <w:t>Current economic conditions:</w:t>
      </w:r>
    </w:p>
    <w:p w:rsidR="00C07FDB" w:rsidRPr="00C07FDB" w:rsidRDefault="00C07FDB" w:rsidP="00C07FDB">
      <w:pPr>
        <w:spacing w:line="360" w:lineRule="auto"/>
        <w:ind w:firstLine="27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ab/>
        <w:t xml:space="preserve">As a whole, the global economic conditions are facing the ongoing recovery. Though, there are some rising downside risks in the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which is affected by domestic political uncertainties such as Greece, Spain, and Italy and deepening international conflicts namely the case of Ukraine. Moreover, the interest rate is relatively low which almost touch zero (approximately 0.05 percent). In addition, the price levels in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are declined to 0.6 percent year-on-year in January which is the lowest figure since mid-2009 and below public expectation. On the other hand, the European central bank (ECB) has announced larger-than-expected asset purchasing program which, in turn, promise a good sign of recovery. The current interest rate is dramatically low; it is impossible for the ECB to impost monetary policy to stimulate the economy. So, the only way to further stimulate the economy is through fiscal policy. However, public debt is already over 90 percent, fiscal policy is not that effective</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Apart from the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the Japanese economy has continued its moderate recovery at a low pace as a result of a gradual recovery in private consumption and investment. Business fixed investment has been on a moderate increasing trend as corporate profits have improved. Public investment has more or less leveled off at a high level. Private consumption has remained resilient against the backdrop of steady improvement in employment and income situation, although recovery in some areas has been sluggish. Public </w:t>
      </w:r>
      <w:r w:rsidRPr="00C07FDB">
        <w:rPr>
          <w:rFonts w:ascii="Times New Roman" w:eastAsia="Times New Roman" w:hAnsi="Times New Roman" w:cs="Times New Roman"/>
          <w:color w:val="000000"/>
          <w:sz w:val="24"/>
          <w:szCs w:val="24"/>
        </w:rPr>
        <w:lastRenderedPageBreak/>
        <w:t>investment has more or less leveled off at a high level. Private consumption has remained resilient against the backdrop of steady improvement in employment and income situation, although recovery in some areas has been sluggish. Housing investment, which continued to decline following the front-loaded increase, has recently started to bottom out. Against the backdrop of these developments in demand both at home and abroad, industrial production has been picking up, due in part to the progress in inventory adjustments. Meanwhile, financial conditions are accommodative. On the price front, the year-on-year rate of increase in the consumer price index (CPI, all items less fresh food), excluding the direct effects of the consumption tax hike, is around 0.5 percent. Inflation expectations appear to be rising on the whole from a somewhat longer-term perspective. Anyway, the Japanese inflation is at 2.4 percent.</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Meanwhile, the US economic activity has been expanding at a solid pace thanks to improving economic fundamentals. Evidently, the Fed Fund Rate in United States have been sustaining at 0.25 percent since the year of 2009 until today and also with the average inflation rate in this latest year 2014 of 0.8 percent. Household spending therefore is rising moderately with the low rate of inflation and also with recent declines in energy prices have boosted household purchasing power. Business fixed investment is advancing, while the recovery in the housing sector remains slow. Inflation has declined further below the Committee’s longer-run objective, largely reflecting declines in energy prices. Market-based measures of inflation compensation have declined substantially in recent months; survey-based measures of longer-term inflation expectations have remained stable. Additionally, there is the expectation by the committee that, with appropriate policy accommodation, economic activity will expand at a moderate pace, with labor market indicators continuing to move toward levels the Committee judges consistent with its dual mandate. Inflation is anticipated to decline further in the near term, but the Committee expects inflation to rise gradually toward 2 percent over the medium term as the labor market improves further and the transitory effects of lower energy prices and other factors dissipate. The Committee continues to monitor inflation developments closely. Therefore, U.S. economy seems to have increasing trend in growth rate than before (as forecasted from the chart above) with dramatically increasing in annual GDP Growth and sustaining inflation rate.</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shd w:val="clear" w:color="auto" w:fill="FFFFFF"/>
        </w:rPr>
        <w:t xml:space="preserve">Researchers states that Thailand can expect economic uptrend despite current indicators showing unhealthy sign. Since 2014, Thailand has been facing disinflation. This is partly due to prolonged political unrest which started in 2011. The situation has been </w:t>
      </w:r>
      <w:r w:rsidRPr="00C07FDB">
        <w:rPr>
          <w:rFonts w:ascii="Times New Roman" w:eastAsia="Times New Roman" w:hAnsi="Times New Roman" w:cs="Times New Roman"/>
          <w:color w:val="000000"/>
          <w:sz w:val="24"/>
          <w:szCs w:val="24"/>
          <w:shd w:val="clear" w:color="auto" w:fill="FFFFFF"/>
        </w:rPr>
        <w:lastRenderedPageBreak/>
        <w:t>extended until recent years causing economic slowdown. In the beginning of 2014, World Bank forecasted the inflation to be at 3 percent. After the military coup, the forecasted rate was cut to 1.5 percent. At year end, however, the actual inflation still did not reach the expected rate. It highlighted on the fact that Thai economy in 2014 did not do well at all.  In addition, falling oil price around the world has exaggerated the situation. The incident caused the overall price level to drop. In the end, inflation further decreases. As of 2015, month-on-month inflation is still lower than the expected rate forecasted by World Bank. It is also lower than that of other ASEAN countries. Despite the low inflation rate, Thailand economic outlook is not as bad as it seems. The fall in oil price has its perks where as it will increase the people’s purchasing power. We can see upward trend in the business sector soon.</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In the view of borrowers and savers,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is not a good choice.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has too many risks and limitations as stated above. People should not borrow from or lend to the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Japan seems to be a better choice. The economy is in the recovery. Investor who aims to save abroad should consider Japanese stock market as the government policy is supporting it; however, other financial instruments are relatively riskier.  The United States seems to be the best choice for the investors. Most economic indicators such as unemployment rate, GDP, inflation all suggests that the economic is in the upward trend. There is a signal of the FED aiming to increase its interest rate. So it would attract savings from abroad. For Thailand, the economy is stabilizing as there is less political conflict. Experts suggest that the economy will soon to recover. Key interest rate has remained at the same rate for some </w:t>
      </w:r>
      <w:proofErr w:type="spellStart"/>
      <w:r w:rsidRPr="00C07FDB">
        <w:rPr>
          <w:rFonts w:ascii="Times New Roman" w:eastAsia="Times New Roman" w:hAnsi="Times New Roman" w:cs="Times New Roman"/>
          <w:color w:val="000000"/>
          <w:sz w:val="24"/>
          <w:szCs w:val="24"/>
        </w:rPr>
        <w:t>periods.Thailand</w:t>
      </w:r>
      <w:proofErr w:type="spellEnd"/>
      <w:r w:rsidRPr="00C07FDB">
        <w:rPr>
          <w:rFonts w:ascii="Times New Roman" w:eastAsia="Times New Roman" w:hAnsi="Times New Roman" w:cs="Times New Roman"/>
          <w:color w:val="000000"/>
          <w:sz w:val="24"/>
          <w:szCs w:val="24"/>
        </w:rPr>
        <w:t xml:space="preserve"> is a good choice of borrowing comparing to other countries as it is stable and there is no foreign exchange rate risk for Thai borrowers.  Hence, for Thai people should not invest, borrow, or save in the </w:t>
      </w:r>
      <w:proofErr w:type="spellStart"/>
      <w:r w:rsidRPr="00C07FDB">
        <w:rPr>
          <w:rFonts w:ascii="Times New Roman" w:eastAsia="Times New Roman" w:hAnsi="Times New Roman" w:cs="Times New Roman"/>
          <w:color w:val="000000"/>
          <w:sz w:val="24"/>
          <w:szCs w:val="24"/>
        </w:rPr>
        <w:t>Eurozone</w:t>
      </w:r>
      <w:proofErr w:type="spellEnd"/>
      <w:r w:rsidRPr="00C07FDB">
        <w:rPr>
          <w:rFonts w:ascii="Times New Roman" w:eastAsia="Times New Roman" w:hAnsi="Times New Roman" w:cs="Times New Roman"/>
          <w:color w:val="000000"/>
          <w:sz w:val="24"/>
          <w:szCs w:val="24"/>
        </w:rPr>
        <w:t xml:space="preserve">. However, they can rather invest in Thai mutual funds that invest in Japan. For Thai savers, they can choose either to save in Thailand or in United States depends on their risk preference. </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In conclusion, since Thai economy has been affected by many factors from abroad especially the U.S. economy which has a major influence on Thai economy so we will focus our recommendation on the U.S. Since currently FED is going to increase the interest rate so for savers; short-term saving would be a better choice than long-term saving because you will get the rate today applied to your deposit which is lower than the future interest rate. With short term saving when it matures, you can take the money out and roll-over again after the bank increase the rate but long term can’t roll-over</w:t>
      </w:r>
      <w:proofErr w:type="gramStart"/>
      <w:r w:rsidRPr="00C07FDB">
        <w:rPr>
          <w:rFonts w:ascii="Times New Roman" w:eastAsia="Times New Roman" w:hAnsi="Times New Roman" w:cs="Times New Roman"/>
          <w:color w:val="000000"/>
          <w:sz w:val="24"/>
          <w:szCs w:val="24"/>
        </w:rPr>
        <w:t>..</w:t>
      </w:r>
      <w:proofErr w:type="gramEnd"/>
      <w:r w:rsidRPr="00C07FDB">
        <w:rPr>
          <w:rFonts w:ascii="Times New Roman" w:eastAsia="Times New Roman" w:hAnsi="Times New Roman" w:cs="Times New Roman"/>
          <w:color w:val="000000"/>
          <w:sz w:val="24"/>
          <w:szCs w:val="24"/>
        </w:rPr>
        <w:t xml:space="preserve"> For borrowers, with fix borrowing rate, long-term borrowing is a better choice than short-term one since if the rate is fixed today </w:t>
      </w:r>
      <w:r w:rsidRPr="00C07FDB">
        <w:rPr>
          <w:rFonts w:ascii="Times New Roman" w:eastAsia="Times New Roman" w:hAnsi="Times New Roman" w:cs="Times New Roman"/>
          <w:color w:val="000000"/>
          <w:sz w:val="24"/>
          <w:szCs w:val="24"/>
        </w:rPr>
        <w:lastRenderedPageBreak/>
        <w:t xml:space="preserve">which is lower than the future rate that implies your cost of borrowing now is lower and the long-term borrowing seem to be a good choice as investors would have more time to earn money from their projects before repaying back to the bank than short-term ones. However, </w:t>
      </w:r>
      <w:proofErr w:type="spellStart"/>
      <w:proofErr w:type="gramStart"/>
      <w:r w:rsidRPr="00C07FDB">
        <w:rPr>
          <w:rFonts w:ascii="Times New Roman" w:eastAsia="Times New Roman" w:hAnsi="Times New Roman" w:cs="Times New Roman"/>
          <w:color w:val="000000"/>
          <w:sz w:val="24"/>
          <w:szCs w:val="24"/>
        </w:rPr>
        <w:t>nowaday</w:t>
      </w:r>
      <w:proofErr w:type="spellEnd"/>
      <w:r w:rsidRPr="00C07FDB">
        <w:rPr>
          <w:rFonts w:ascii="Times New Roman" w:eastAsia="Times New Roman" w:hAnsi="Times New Roman" w:cs="Times New Roman"/>
          <w:color w:val="000000"/>
          <w:sz w:val="24"/>
          <w:szCs w:val="24"/>
        </w:rPr>
        <w:t xml:space="preserve"> ,</w:t>
      </w:r>
      <w:proofErr w:type="gramEnd"/>
      <w:r w:rsidRPr="00C07FDB">
        <w:rPr>
          <w:rFonts w:ascii="Times New Roman" w:eastAsia="Times New Roman" w:hAnsi="Times New Roman" w:cs="Times New Roman"/>
          <w:color w:val="000000"/>
          <w:sz w:val="24"/>
          <w:szCs w:val="24"/>
        </w:rPr>
        <w:t xml:space="preserve"> the fixed rate is not longer exist so the increase in interest rate would not affect either the long term or short the loan. If you are company, issuing long term bond is more preferable than short term one.</w:t>
      </w:r>
    </w:p>
    <w:p w:rsidR="00C07FDB" w:rsidRPr="00C07FDB" w:rsidRDefault="00C07FDB" w:rsidP="00C07FDB">
      <w:pPr>
        <w:spacing w:after="280"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br/>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2. Collect advertisements and promotional information from several financial institutions, or locate the Web sites of financial institutions. Create a list of factors that a person might consider when comparing costs and benefits of various savings plans.</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On this answer we will focus only big four banks in Thailand including </w:t>
      </w:r>
      <w:proofErr w:type="spellStart"/>
      <w:r w:rsidRPr="00C07FDB">
        <w:rPr>
          <w:rFonts w:ascii="Times New Roman" w:eastAsia="Times New Roman" w:hAnsi="Times New Roman" w:cs="Times New Roman"/>
          <w:color w:val="000000"/>
          <w:sz w:val="24"/>
          <w:szCs w:val="24"/>
        </w:rPr>
        <w:t>Kasikorn</w:t>
      </w:r>
      <w:proofErr w:type="spellEnd"/>
      <w:r w:rsidRPr="00C07FDB">
        <w:rPr>
          <w:rFonts w:ascii="Times New Roman" w:eastAsia="Times New Roman" w:hAnsi="Times New Roman" w:cs="Times New Roman"/>
          <w:color w:val="000000"/>
          <w:sz w:val="24"/>
          <w:szCs w:val="24"/>
        </w:rPr>
        <w:t xml:space="preserve"> bank, Bangkok Bank, Siam Commercial Bank, and Krung Thai Bank.</w:t>
      </w: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b/>
          <w:bCs/>
          <w:color w:val="000000"/>
          <w:sz w:val="24"/>
          <w:szCs w:val="24"/>
        </w:rPr>
        <w:t>I.</w:t>
      </w:r>
      <w:r w:rsidRPr="00C07FDB">
        <w:rPr>
          <w:rFonts w:ascii="Times New Roman" w:eastAsia="Times New Roman" w:hAnsi="Times New Roman" w:cs="Times New Roman"/>
          <w:b/>
          <w:bCs/>
          <w:color w:val="000000"/>
          <w:sz w:val="24"/>
          <w:szCs w:val="24"/>
        </w:rPr>
        <w:tab/>
        <w:t>Savings deposits</w:t>
      </w:r>
      <w:r w:rsidRPr="00C07FDB">
        <w:rPr>
          <w:rFonts w:ascii="Times New Roman" w:eastAsia="Times New Roman" w:hAnsi="Times New Roman" w:cs="Times New Roman"/>
          <w:color w:val="000000"/>
          <w:sz w:val="24"/>
          <w:szCs w:val="24"/>
        </w:rPr>
        <w:tab/>
      </w:r>
    </w:p>
    <w:p w:rsidR="00C07FDB" w:rsidRPr="00C07FDB" w:rsidRDefault="00C07FDB" w:rsidP="00C07FDB">
      <w:pPr>
        <w:spacing w:line="360" w:lineRule="auto"/>
        <w:rPr>
          <w:rFonts w:ascii="Times New Roman" w:eastAsia="Times New Roman" w:hAnsi="Times New Roman" w:cs="Times New Roman"/>
          <w:sz w:val="24"/>
          <w:szCs w:val="24"/>
        </w:rPr>
      </w:pPr>
      <w:proofErr w:type="spellStart"/>
      <w:r w:rsidRPr="00C07FDB">
        <w:rPr>
          <w:rFonts w:ascii="Times New Roman" w:eastAsia="Times New Roman" w:hAnsi="Times New Roman" w:cs="Times New Roman"/>
          <w:i/>
          <w:iCs/>
          <w:color w:val="000000"/>
          <w:sz w:val="24"/>
          <w:szCs w:val="24"/>
        </w:rPr>
        <w:t>Kasikorn</w:t>
      </w:r>
      <w:proofErr w:type="spellEnd"/>
      <w:r w:rsidRPr="00C07FDB">
        <w:rPr>
          <w:rFonts w:ascii="Times New Roman" w:eastAsia="Times New Roman" w:hAnsi="Times New Roman" w:cs="Times New Roman"/>
          <w:i/>
          <w:iCs/>
          <w:color w:val="000000"/>
          <w:sz w:val="24"/>
          <w:szCs w:val="24"/>
        </w:rPr>
        <w:t xml:space="preserve"> Bank  </w:t>
      </w:r>
    </w:p>
    <w:p w:rsidR="00C07FDB" w:rsidRPr="00C07FDB" w:rsidRDefault="00C07FDB" w:rsidP="00C07FDB">
      <w:pPr>
        <w:numPr>
          <w:ilvl w:val="0"/>
          <w:numId w:val="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Saving interest rate: 0.5%</w:t>
      </w:r>
    </w:p>
    <w:p w:rsidR="00C07FDB" w:rsidRPr="00C07FDB" w:rsidRDefault="00C07FDB" w:rsidP="00C07FDB">
      <w:pPr>
        <w:numPr>
          <w:ilvl w:val="0"/>
          <w:numId w:val="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numPr>
          <w:ilvl w:val="0"/>
          <w:numId w:val="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Liquidity: </w:t>
      </w:r>
    </w:p>
    <w:p w:rsidR="00C07FDB" w:rsidRPr="00C07FDB" w:rsidRDefault="00C07FDB" w:rsidP="00C07FDB">
      <w:pPr>
        <w:numPr>
          <w:ilvl w:val="1"/>
          <w:numId w:val="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Bank Counter: Maximum daily withdrawal at </w:t>
      </w:r>
      <w:proofErr w:type="spellStart"/>
      <w:r w:rsidRPr="00C07FDB">
        <w:rPr>
          <w:rFonts w:ascii="Times New Roman" w:eastAsia="Times New Roman" w:hAnsi="Times New Roman" w:cs="Times New Roman"/>
          <w:color w:val="000000"/>
          <w:sz w:val="24"/>
          <w:szCs w:val="24"/>
        </w:rPr>
        <w:t>KBank</w:t>
      </w:r>
      <w:proofErr w:type="spellEnd"/>
      <w:r w:rsidRPr="00C07FDB">
        <w:rPr>
          <w:rFonts w:ascii="Times New Roman" w:eastAsia="Times New Roman" w:hAnsi="Times New Roman" w:cs="Times New Roman"/>
          <w:color w:val="000000"/>
          <w:sz w:val="24"/>
          <w:szCs w:val="24"/>
        </w:rPr>
        <w:t xml:space="preserve"> branches is up to 2,000,000 Baht but if the branch is the owner’s saving account branch then he or she could make any transaction amount.</w:t>
      </w:r>
    </w:p>
    <w:p w:rsidR="00C07FDB" w:rsidRPr="00C07FDB" w:rsidRDefault="00C07FDB" w:rsidP="00C07FDB">
      <w:pPr>
        <w:numPr>
          <w:ilvl w:val="1"/>
          <w:numId w:val="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ATM: Cash can be withdraw up to 50,000 Baht per day however the owner of the account can call in to increase the financial amount to 200,000 Baht. For transferring money in the same clearing district with </w:t>
      </w:r>
      <w:proofErr w:type="spellStart"/>
      <w:r w:rsidRPr="00C07FDB">
        <w:rPr>
          <w:rFonts w:ascii="Times New Roman" w:eastAsia="Times New Roman" w:hAnsi="Times New Roman" w:cs="Times New Roman"/>
          <w:color w:val="000000"/>
          <w:sz w:val="24"/>
          <w:szCs w:val="24"/>
        </w:rPr>
        <w:t>Kbank</w:t>
      </w:r>
      <w:proofErr w:type="spellEnd"/>
      <w:r w:rsidRPr="00C07FDB">
        <w:rPr>
          <w:rFonts w:ascii="Times New Roman" w:eastAsia="Times New Roman" w:hAnsi="Times New Roman" w:cs="Times New Roman"/>
          <w:color w:val="000000"/>
          <w:sz w:val="24"/>
          <w:szCs w:val="24"/>
        </w:rPr>
        <w:t xml:space="preserve"> account, there would be no fee. With different clearing district with </w:t>
      </w:r>
      <w:proofErr w:type="spellStart"/>
      <w:r w:rsidRPr="00C07FDB">
        <w:rPr>
          <w:rFonts w:ascii="Times New Roman" w:eastAsia="Times New Roman" w:hAnsi="Times New Roman" w:cs="Times New Roman"/>
          <w:color w:val="000000"/>
          <w:sz w:val="24"/>
          <w:szCs w:val="24"/>
        </w:rPr>
        <w:t>Kbank</w:t>
      </w:r>
      <w:proofErr w:type="spellEnd"/>
      <w:r w:rsidRPr="00C07FDB">
        <w:rPr>
          <w:rFonts w:ascii="Times New Roman" w:eastAsia="Times New Roman" w:hAnsi="Times New Roman" w:cs="Times New Roman"/>
          <w:color w:val="000000"/>
          <w:sz w:val="24"/>
          <w:szCs w:val="24"/>
        </w:rPr>
        <w:t xml:space="preserve"> account, there would be no fee at the first transaction of the month but the following transaction would be charged at 10 Baht per transaction. For Inter-bank funds transfer under ATM pool, not exceeding THB10</w:t>
      </w:r>
      <w:proofErr w:type="gramStart"/>
      <w:r w:rsidRPr="00C07FDB">
        <w:rPr>
          <w:rFonts w:ascii="Times New Roman" w:eastAsia="Times New Roman" w:hAnsi="Times New Roman" w:cs="Times New Roman"/>
          <w:color w:val="000000"/>
          <w:sz w:val="24"/>
          <w:szCs w:val="24"/>
        </w:rPr>
        <w:t>,000</w:t>
      </w:r>
      <w:proofErr w:type="gramEnd"/>
      <w:r w:rsidRPr="00C07FDB">
        <w:rPr>
          <w:rFonts w:ascii="Times New Roman" w:eastAsia="Times New Roman" w:hAnsi="Times New Roman" w:cs="Times New Roman"/>
          <w:color w:val="000000"/>
          <w:sz w:val="24"/>
          <w:szCs w:val="24"/>
        </w:rPr>
        <w:t xml:space="preserve">, the fees of 25 Baht will be charged per transaction whereas Inter-bank funds transfer under ATM pool, </w:t>
      </w:r>
      <w:r w:rsidRPr="00C07FDB">
        <w:rPr>
          <w:rFonts w:ascii="Times New Roman" w:eastAsia="Times New Roman" w:hAnsi="Times New Roman" w:cs="Times New Roman"/>
          <w:color w:val="000000"/>
          <w:sz w:val="24"/>
          <w:szCs w:val="24"/>
        </w:rPr>
        <w:lastRenderedPageBreak/>
        <w:t>between THB10,001-THB30,000, the fees charged will be 35 Baht per transaction.</w:t>
      </w:r>
    </w:p>
    <w:p w:rsidR="00C07FDB" w:rsidRPr="00C07FDB" w:rsidRDefault="00C07FDB" w:rsidP="00C07FDB">
      <w:pPr>
        <w:numPr>
          <w:ilvl w:val="0"/>
          <w:numId w:val="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Safety: Standard private policy</w:t>
      </w:r>
    </w:p>
    <w:p w:rsidR="00C07FDB" w:rsidRPr="00C07FDB" w:rsidRDefault="00C07FDB" w:rsidP="00C07FDB">
      <w:pPr>
        <w:numPr>
          <w:ilvl w:val="0"/>
          <w:numId w:val="3"/>
        </w:numPr>
        <w:spacing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Restrictions and Fees: Required minimum deposit of account opening is 500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Bangkok Bank</w:t>
      </w:r>
    </w:p>
    <w:p w:rsidR="00C07FDB" w:rsidRPr="00C07FDB" w:rsidRDefault="00C07FDB" w:rsidP="00C07FDB">
      <w:pPr>
        <w:numPr>
          <w:ilvl w:val="0"/>
          <w:numId w:val="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Saving interest rate: 0.5%</w:t>
      </w:r>
    </w:p>
    <w:p w:rsidR="00C07FDB" w:rsidRPr="00C07FDB" w:rsidRDefault="00C07FDB" w:rsidP="00C07FDB">
      <w:pPr>
        <w:numPr>
          <w:ilvl w:val="0"/>
          <w:numId w:val="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numPr>
          <w:ilvl w:val="0"/>
          <w:numId w:val="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Liquidity: </w:t>
      </w:r>
    </w:p>
    <w:p w:rsidR="00C07FDB" w:rsidRPr="00C07FDB" w:rsidRDefault="00C07FDB" w:rsidP="00C07FDB">
      <w:pPr>
        <w:numPr>
          <w:ilvl w:val="1"/>
          <w:numId w:val="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Bank Counter: Cash deposits and withdrawals can be made at any time for any transaction amount at any branches.</w:t>
      </w:r>
    </w:p>
    <w:p w:rsidR="00C07FDB" w:rsidRPr="00C07FDB" w:rsidRDefault="00C07FDB" w:rsidP="00C07FDB">
      <w:pPr>
        <w:numPr>
          <w:ilvl w:val="1"/>
          <w:numId w:val="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ATM: Cash can be withdraw up to 50,000 Baht per day however the owner of the account can call in to increase the financial amount to 200,000 Baht for Magnetic card or to 500,000 Baht for Chip Card. For transferring money in the same clearing district with BBL account, there would be no fee. With different clearing district with BBL account, there would be no fee at the first transaction of the month but the following transaction would be charged at 15 Baht per transaction. For Inter-bank funds transfer under ATM pool, not exceeding THB10</w:t>
      </w:r>
      <w:proofErr w:type="gramStart"/>
      <w:r w:rsidRPr="00C07FDB">
        <w:rPr>
          <w:rFonts w:ascii="Times New Roman" w:eastAsia="Times New Roman" w:hAnsi="Times New Roman" w:cs="Times New Roman"/>
          <w:color w:val="000000"/>
          <w:sz w:val="24"/>
          <w:szCs w:val="24"/>
        </w:rPr>
        <w:t>,000</w:t>
      </w:r>
      <w:proofErr w:type="gramEnd"/>
      <w:r w:rsidRPr="00C07FDB">
        <w:rPr>
          <w:rFonts w:ascii="Times New Roman" w:eastAsia="Times New Roman" w:hAnsi="Times New Roman" w:cs="Times New Roman"/>
          <w:color w:val="000000"/>
          <w:sz w:val="24"/>
          <w:szCs w:val="24"/>
        </w:rPr>
        <w:t>, the fees of 25 Baht will be charged per transaction whereas Inter-bank funds transfer under ATM pool, between THB10,001-THB30,000, the fees charged will be 35 Baht per transaction.</w:t>
      </w:r>
    </w:p>
    <w:p w:rsidR="00C07FDB" w:rsidRPr="00C07FDB" w:rsidRDefault="00C07FDB" w:rsidP="00C07FDB">
      <w:pPr>
        <w:numPr>
          <w:ilvl w:val="0"/>
          <w:numId w:val="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Safety: Standard private policy plus a safety type of ATM card which is the Chip card as a choice for the depositors.  </w:t>
      </w:r>
    </w:p>
    <w:p w:rsidR="00C07FDB" w:rsidRPr="00C07FDB" w:rsidRDefault="00C07FDB" w:rsidP="00C07FDB">
      <w:pPr>
        <w:numPr>
          <w:ilvl w:val="0"/>
          <w:numId w:val="5"/>
        </w:numPr>
        <w:spacing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Restrictions and Fees: Required minimum deposit of account opening is 500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Siam Commercial Bank</w:t>
      </w:r>
    </w:p>
    <w:p w:rsidR="00C07FDB" w:rsidRPr="00C07FDB" w:rsidRDefault="00C07FDB" w:rsidP="00C07FDB">
      <w:pPr>
        <w:numPr>
          <w:ilvl w:val="0"/>
          <w:numId w:val="6"/>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Saving interest rate: 0.5%</w:t>
      </w:r>
    </w:p>
    <w:p w:rsidR="00C07FDB" w:rsidRPr="00C07FDB" w:rsidRDefault="00C07FDB" w:rsidP="00C07FDB">
      <w:pPr>
        <w:numPr>
          <w:ilvl w:val="0"/>
          <w:numId w:val="6"/>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6"/>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numPr>
          <w:ilvl w:val="0"/>
          <w:numId w:val="6"/>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Liquidity: </w:t>
      </w:r>
    </w:p>
    <w:p w:rsidR="00C07FDB" w:rsidRPr="00C07FDB" w:rsidRDefault="00C07FDB" w:rsidP="00C07FDB">
      <w:pPr>
        <w:numPr>
          <w:ilvl w:val="1"/>
          <w:numId w:val="7"/>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Bank </w:t>
      </w:r>
      <w:proofErr w:type="gramStart"/>
      <w:r w:rsidRPr="00C07FDB">
        <w:rPr>
          <w:rFonts w:ascii="Times New Roman" w:eastAsia="Times New Roman" w:hAnsi="Times New Roman" w:cs="Times New Roman"/>
          <w:color w:val="000000"/>
          <w:sz w:val="24"/>
          <w:szCs w:val="24"/>
        </w:rPr>
        <w:t>counter :</w:t>
      </w:r>
      <w:proofErr w:type="gramEnd"/>
      <w:r w:rsidRPr="00C07FDB">
        <w:rPr>
          <w:rFonts w:ascii="Times New Roman" w:eastAsia="Times New Roman" w:hAnsi="Times New Roman" w:cs="Times New Roman"/>
          <w:color w:val="000000"/>
          <w:sz w:val="24"/>
          <w:szCs w:val="24"/>
        </w:rPr>
        <w:t xml:space="preserve"> Cash deposits and withdrawals can be made at any time for any transaction amount at any branch. If the amount is approximately 1 million baht or more, customer must call to inform the bank first so that the bank can </w:t>
      </w:r>
      <w:r w:rsidRPr="00C07FDB">
        <w:rPr>
          <w:rFonts w:ascii="Times New Roman" w:eastAsia="Times New Roman" w:hAnsi="Times New Roman" w:cs="Times New Roman"/>
          <w:color w:val="000000"/>
          <w:sz w:val="24"/>
          <w:szCs w:val="24"/>
        </w:rPr>
        <w:lastRenderedPageBreak/>
        <w:t xml:space="preserve">prepare the money for you. If not, the bank might not have enough money for you to withdraw if the amount is more than 1 million. </w:t>
      </w:r>
    </w:p>
    <w:p w:rsidR="00C07FDB" w:rsidRPr="00C07FDB" w:rsidRDefault="00C07FDB" w:rsidP="00C07FDB">
      <w:pPr>
        <w:numPr>
          <w:ilvl w:val="1"/>
          <w:numId w:val="7"/>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ATM: Cash can be withdraw up to 20,000 Baht per day however the owner of the account can call in to increase the financial amount to 200,000 Baht. For transferring money in the same clearing district with SCB account, there would be no fee. With different clearing district with SCB account, the transaction would be charged at 15 Baht per </w:t>
      </w:r>
      <w:proofErr w:type="spellStart"/>
      <w:r w:rsidRPr="00C07FDB">
        <w:rPr>
          <w:rFonts w:ascii="Times New Roman" w:eastAsia="Times New Roman" w:hAnsi="Times New Roman" w:cs="Times New Roman"/>
          <w:color w:val="000000"/>
          <w:sz w:val="24"/>
          <w:szCs w:val="24"/>
        </w:rPr>
        <w:t>transaction.For</w:t>
      </w:r>
      <w:proofErr w:type="spellEnd"/>
      <w:r w:rsidRPr="00C07FDB">
        <w:rPr>
          <w:rFonts w:ascii="Times New Roman" w:eastAsia="Times New Roman" w:hAnsi="Times New Roman" w:cs="Times New Roman"/>
          <w:color w:val="000000"/>
          <w:sz w:val="24"/>
          <w:szCs w:val="24"/>
        </w:rPr>
        <w:t xml:space="preserve"> Inter-bank funds transfer under ATM pool the fees of 20 Baht will be charged per transaction.</w:t>
      </w:r>
    </w:p>
    <w:p w:rsidR="00C07FDB" w:rsidRPr="00C07FDB" w:rsidRDefault="00C07FDB" w:rsidP="00C07FDB">
      <w:pPr>
        <w:numPr>
          <w:ilvl w:val="1"/>
          <w:numId w:val="7"/>
        </w:numPr>
        <w:spacing w:after="0" w:line="360" w:lineRule="auto"/>
        <w:ind w:left="839"/>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Safety: Standard private policy </w:t>
      </w:r>
    </w:p>
    <w:p w:rsidR="00C07FDB" w:rsidRPr="00C07FDB" w:rsidRDefault="00C07FDB" w:rsidP="00C07FDB">
      <w:pPr>
        <w:numPr>
          <w:ilvl w:val="1"/>
          <w:numId w:val="7"/>
        </w:numPr>
        <w:spacing w:line="360" w:lineRule="auto"/>
        <w:ind w:left="839"/>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Restrictions and Fees: Only the minimum deposit of 500 Baht is needed to open the account.</w:t>
      </w:r>
      <w:r w:rsidRPr="00C07FDB">
        <w:rPr>
          <w:rFonts w:ascii="Times New Roman" w:eastAsia="Times New Roman" w:hAnsi="Times New Roman" w:cs="Times New Roman"/>
          <w:color w:val="000000"/>
          <w:sz w:val="24"/>
          <w:szCs w:val="24"/>
        </w:rPr>
        <w:tab/>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 xml:space="preserve">Krung Thai Bank </w:t>
      </w:r>
    </w:p>
    <w:p w:rsidR="00C07FDB" w:rsidRPr="00C07FDB" w:rsidRDefault="00C07FDB" w:rsidP="00C07FDB">
      <w:pPr>
        <w:numPr>
          <w:ilvl w:val="0"/>
          <w:numId w:val="8"/>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Saving interest rate: 0.5%</w:t>
      </w:r>
    </w:p>
    <w:p w:rsidR="00C07FDB" w:rsidRPr="00C07FDB" w:rsidRDefault="00C07FDB" w:rsidP="00C07FDB">
      <w:pPr>
        <w:numPr>
          <w:ilvl w:val="0"/>
          <w:numId w:val="8"/>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8"/>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numPr>
          <w:ilvl w:val="0"/>
          <w:numId w:val="8"/>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Liquidity: </w:t>
      </w:r>
    </w:p>
    <w:p w:rsidR="00C07FDB" w:rsidRPr="00C07FDB" w:rsidRDefault="00C07FDB" w:rsidP="00C07FDB">
      <w:pPr>
        <w:numPr>
          <w:ilvl w:val="1"/>
          <w:numId w:val="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Cash deposits and withdrawals can be made at any time for any transaction amount at opened-account branch. If the amount is approximately 1 million baht or more, customer must call to inform the bank first so that the bank can prepare the money for you. Withdraw in other branch is limited at 1 million per day. </w:t>
      </w:r>
    </w:p>
    <w:p w:rsidR="00C07FDB" w:rsidRPr="00C07FDB" w:rsidRDefault="00C07FDB" w:rsidP="00C07FDB">
      <w:pPr>
        <w:numPr>
          <w:ilvl w:val="1"/>
          <w:numId w:val="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ATM: Cash can be withdraw up to 30,000 Baht per day however the owner of the account can call in to increase the financial amount to 150,000 Baht. For transferring money in the same clearing district with KTB account, there would be no fee for the first four </w:t>
      </w:r>
      <w:proofErr w:type="gramStart"/>
      <w:r w:rsidRPr="00C07FDB">
        <w:rPr>
          <w:rFonts w:ascii="Times New Roman" w:eastAsia="Times New Roman" w:hAnsi="Times New Roman" w:cs="Times New Roman"/>
          <w:color w:val="000000"/>
          <w:sz w:val="24"/>
          <w:szCs w:val="24"/>
        </w:rPr>
        <w:t>transactions,</w:t>
      </w:r>
      <w:proofErr w:type="gramEnd"/>
      <w:r w:rsidRPr="00C07FDB">
        <w:rPr>
          <w:rFonts w:ascii="Times New Roman" w:eastAsia="Times New Roman" w:hAnsi="Times New Roman" w:cs="Times New Roman"/>
          <w:color w:val="000000"/>
          <w:sz w:val="24"/>
          <w:szCs w:val="24"/>
        </w:rPr>
        <w:t xml:space="preserve"> it will charge 10 Baht fee per transaction thereafter. With different clearing district with KTB account, the transaction would be charged at 15 Baht per transaction. For Inter-bank funds transfer under ATM </w:t>
      </w:r>
      <w:proofErr w:type="spellStart"/>
      <w:r w:rsidRPr="00C07FDB">
        <w:rPr>
          <w:rFonts w:ascii="Times New Roman" w:eastAsia="Times New Roman" w:hAnsi="Times New Roman" w:cs="Times New Roman"/>
          <w:color w:val="000000"/>
          <w:sz w:val="24"/>
          <w:szCs w:val="24"/>
        </w:rPr>
        <w:t>pool</w:t>
      </w:r>
      <w:proofErr w:type="gramStart"/>
      <w:r w:rsidRPr="00C07FDB">
        <w:rPr>
          <w:rFonts w:ascii="Times New Roman" w:eastAsia="Times New Roman" w:hAnsi="Times New Roman" w:cs="Times New Roman"/>
          <w:color w:val="000000"/>
          <w:sz w:val="24"/>
          <w:szCs w:val="24"/>
        </w:rPr>
        <w:t>,the</w:t>
      </w:r>
      <w:proofErr w:type="spellEnd"/>
      <w:proofErr w:type="gramEnd"/>
      <w:r w:rsidRPr="00C07FDB">
        <w:rPr>
          <w:rFonts w:ascii="Times New Roman" w:eastAsia="Times New Roman" w:hAnsi="Times New Roman" w:cs="Times New Roman"/>
          <w:color w:val="000000"/>
          <w:sz w:val="24"/>
          <w:szCs w:val="24"/>
        </w:rPr>
        <w:t xml:space="preserve"> fees of 25 Baht will be charged per transaction. </w:t>
      </w:r>
    </w:p>
    <w:p w:rsidR="00C07FDB" w:rsidRPr="00C07FDB" w:rsidRDefault="00C07FDB" w:rsidP="00C07FDB">
      <w:pPr>
        <w:numPr>
          <w:ilvl w:val="0"/>
          <w:numId w:val="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Safety: Standard private policy </w:t>
      </w:r>
    </w:p>
    <w:p w:rsidR="00C07FDB" w:rsidRPr="00C07FDB" w:rsidRDefault="00C07FDB" w:rsidP="00C07FDB">
      <w:pPr>
        <w:numPr>
          <w:ilvl w:val="0"/>
          <w:numId w:val="9"/>
        </w:numPr>
        <w:spacing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Restrictions and Fees: Required minimum deposit of account opening is 500 Baht.</w:t>
      </w:r>
      <w:r w:rsidRPr="00C07FDB">
        <w:rPr>
          <w:rFonts w:ascii="Times New Roman" w:eastAsia="Times New Roman" w:hAnsi="Times New Roman" w:cs="Times New Roman"/>
          <w:color w:val="000000"/>
          <w:sz w:val="24"/>
          <w:szCs w:val="24"/>
        </w:rPr>
        <w:tab/>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ab/>
        <w:t xml:space="preserve">We can see that the Big Four Banks seem to have similar characteristics for saving accounts. However, the main difference is the liquidity part which the savers should consider </w:t>
      </w:r>
      <w:r w:rsidRPr="00C07FDB">
        <w:rPr>
          <w:rFonts w:ascii="Times New Roman" w:eastAsia="Times New Roman" w:hAnsi="Times New Roman" w:cs="Times New Roman"/>
          <w:color w:val="000000"/>
          <w:sz w:val="24"/>
          <w:szCs w:val="24"/>
        </w:rPr>
        <w:lastRenderedPageBreak/>
        <w:t>carefully before they choose to save in any of these banks depending on their own preferences. Besides, BBL dominates the rest in the safety perspective of ATM card with the safety Chip that also, in turn, provide more liquidity with higher financial amount (500,000 Baht).</w:t>
      </w:r>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b/>
          <w:bCs/>
          <w:color w:val="000000"/>
          <w:sz w:val="24"/>
          <w:szCs w:val="24"/>
        </w:rPr>
        <w:t>II.</w:t>
      </w:r>
      <w:r w:rsidRPr="00C07FDB">
        <w:rPr>
          <w:rFonts w:ascii="Times New Roman" w:eastAsia="Times New Roman" w:hAnsi="Times New Roman" w:cs="Times New Roman"/>
          <w:b/>
          <w:bCs/>
          <w:color w:val="000000"/>
          <w:sz w:val="24"/>
          <w:szCs w:val="24"/>
        </w:rPr>
        <w:tab/>
        <w:t>Fixed deposits</w:t>
      </w:r>
    </w:p>
    <w:p w:rsidR="00C07FDB" w:rsidRPr="00C07FDB" w:rsidRDefault="00C07FDB" w:rsidP="00C07FDB">
      <w:pPr>
        <w:spacing w:line="360" w:lineRule="auto"/>
        <w:rPr>
          <w:rFonts w:ascii="Times New Roman" w:eastAsia="Times New Roman" w:hAnsi="Times New Roman" w:cs="Times New Roman"/>
          <w:sz w:val="24"/>
          <w:szCs w:val="24"/>
        </w:rPr>
      </w:pPr>
      <w:proofErr w:type="spellStart"/>
      <w:r w:rsidRPr="00C07FDB">
        <w:rPr>
          <w:rFonts w:ascii="Times New Roman" w:eastAsia="Times New Roman" w:hAnsi="Times New Roman" w:cs="Times New Roman"/>
          <w:i/>
          <w:iCs/>
          <w:color w:val="000000"/>
          <w:sz w:val="24"/>
          <w:szCs w:val="24"/>
        </w:rPr>
        <w:t>Kasikornbank</w:t>
      </w:r>
      <w:proofErr w:type="spellEnd"/>
    </w:p>
    <w:p w:rsidR="00C07FDB" w:rsidRPr="00C07FDB" w:rsidRDefault="00C07FDB" w:rsidP="00C07FDB">
      <w:pPr>
        <w:numPr>
          <w:ilvl w:val="0"/>
          <w:numId w:val="10"/>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Rate of return: </w:t>
      </w:r>
    </w:p>
    <w:p w:rsidR="00C07FDB" w:rsidRPr="00C07FDB" w:rsidRDefault="00C07FDB" w:rsidP="00C07FDB">
      <w:pPr>
        <w:numPr>
          <w:ilvl w:val="1"/>
          <w:numId w:val="11"/>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 months: 1.1%-1.15%</w:t>
      </w:r>
    </w:p>
    <w:p w:rsidR="00C07FDB" w:rsidRPr="00C07FDB" w:rsidRDefault="00C07FDB" w:rsidP="00C07FDB">
      <w:pPr>
        <w:numPr>
          <w:ilvl w:val="1"/>
          <w:numId w:val="11"/>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6 months: 1.350%-1.4%</w:t>
      </w:r>
    </w:p>
    <w:p w:rsidR="00C07FDB" w:rsidRPr="00C07FDB" w:rsidRDefault="00C07FDB" w:rsidP="00C07FDB">
      <w:pPr>
        <w:numPr>
          <w:ilvl w:val="1"/>
          <w:numId w:val="11"/>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12 months: 1.7%</w:t>
      </w:r>
    </w:p>
    <w:p w:rsidR="00C07FDB" w:rsidRPr="00C07FDB" w:rsidRDefault="00C07FDB" w:rsidP="00C07FDB">
      <w:pPr>
        <w:numPr>
          <w:ilvl w:val="1"/>
          <w:numId w:val="11"/>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24 months: 1.9%</w:t>
      </w:r>
    </w:p>
    <w:p w:rsidR="00C07FDB" w:rsidRPr="00C07FDB" w:rsidRDefault="00C07FDB" w:rsidP="00C07FDB">
      <w:pPr>
        <w:numPr>
          <w:ilvl w:val="0"/>
          <w:numId w:val="1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1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Tax:15%</w:t>
      </w:r>
    </w:p>
    <w:p w:rsidR="00C07FDB" w:rsidRPr="00C07FDB" w:rsidRDefault="00C07FDB" w:rsidP="00C07FDB">
      <w:pPr>
        <w:spacing w:after="0" w:line="360" w:lineRule="auto"/>
        <w:ind w:left="72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Exceptions: </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1) Tax Exemption for the depositors who are aging 55years old or above with fixed deposits not exceed 30,000 Baht and deposit for 1 year or above.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2) Tax Exemption in the case that depositor has regularly deposit at fixed amount each month for 24 months or more.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3) Tax deduction from 15% to 10% for the five years or more deposits with the education and living objectives.</w:t>
      </w:r>
    </w:p>
    <w:p w:rsidR="00C07FDB" w:rsidRPr="00C07FDB" w:rsidRDefault="00C07FDB" w:rsidP="00C07FDB">
      <w:pPr>
        <w:numPr>
          <w:ilvl w:val="0"/>
          <w:numId w:val="1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Liquidity: Can withdraw only at the end of the agreed deposit period. If money is withdrawn from the account prior to the agreed deposit period, interest will be paid at a Bank-specified rate.</w:t>
      </w:r>
    </w:p>
    <w:p w:rsidR="00C07FDB" w:rsidRPr="00C07FDB" w:rsidRDefault="00C07FDB" w:rsidP="00C07FDB">
      <w:pPr>
        <w:numPr>
          <w:ilvl w:val="0"/>
          <w:numId w:val="1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Safety: Fixed deposit insured by DPA</w:t>
      </w:r>
    </w:p>
    <w:p w:rsidR="00C07FDB" w:rsidRPr="00C07FDB" w:rsidRDefault="00C07FDB" w:rsidP="00C07FDB">
      <w:pPr>
        <w:numPr>
          <w:ilvl w:val="0"/>
          <w:numId w:val="1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Restrictions and Fees: Required minimum deposit of account opening is 1,000 Baht. </w:t>
      </w:r>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Bangkok Bank</w:t>
      </w:r>
    </w:p>
    <w:p w:rsidR="00C07FDB" w:rsidRPr="00C07FDB" w:rsidRDefault="00C07FDB" w:rsidP="00C07FDB">
      <w:pPr>
        <w:numPr>
          <w:ilvl w:val="0"/>
          <w:numId w:val="1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Rate of Return: </w:t>
      </w:r>
    </w:p>
    <w:p w:rsidR="00C07FDB" w:rsidRPr="00C07FDB" w:rsidRDefault="00C07FDB" w:rsidP="00C07FDB">
      <w:pPr>
        <w:numPr>
          <w:ilvl w:val="1"/>
          <w:numId w:val="1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 months: 1.125%-1.25%</w:t>
      </w:r>
    </w:p>
    <w:p w:rsidR="00C07FDB" w:rsidRPr="00C07FDB" w:rsidRDefault="00C07FDB" w:rsidP="00C07FDB">
      <w:pPr>
        <w:numPr>
          <w:ilvl w:val="1"/>
          <w:numId w:val="1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6 months: 1.375%</w:t>
      </w:r>
    </w:p>
    <w:p w:rsidR="00C07FDB" w:rsidRPr="00C07FDB" w:rsidRDefault="00C07FDB" w:rsidP="00C07FDB">
      <w:pPr>
        <w:numPr>
          <w:ilvl w:val="1"/>
          <w:numId w:val="1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12 months: 1.75%</w:t>
      </w:r>
    </w:p>
    <w:p w:rsidR="00C07FDB" w:rsidRPr="00C07FDB" w:rsidRDefault="00C07FDB" w:rsidP="00C07FDB">
      <w:pPr>
        <w:numPr>
          <w:ilvl w:val="1"/>
          <w:numId w:val="1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lastRenderedPageBreak/>
        <w:t>24 months: 1.875%</w:t>
      </w:r>
    </w:p>
    <w:p w:rsidR="00C07FDB" w:rsidRPr="00C07FDB" w:rsidRDefault="00C07FDB" w:rsidP="00C07FDB">
      <w:pPr>
        <w:numPr>
          <w:ilvl w:val="1"/>
          <w:numId w:val="1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36 months: 2%</w:t>
      </w:r>
    </w:p>
    <w:p w:rsidR="00C07FDB" w:rsidRPr="00C07FDB" w:rsidRDefault="00C07FDB" w:rsidP="00C07FDB">
      <w:pPr>
        <w:numPr>
          <w:ilvl w:val="0"/>
          <w:numId w:val="16"/>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16"/>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spacing w:after="0" w:line="360" w:lineRule="auto"/>
        <w:ind w:left="72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Exceptions: </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1) Tax Exemption for the depositors who are aging 55years old or above with fixed deposits not exceed 30,000 Baht and deposit for 1 year or above.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2) Tax Exemption in the case that depositor has regularly deposit at fixed amount each month for 24 months or more.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3) Tax deduction from 15% to 10% for the five years or more deposits with the education and living objectives. </w:t>
      </w:r>
    </w:p>
    <w:p w:rsidR="00C07FDB" w:rsidRPr="00C07FDB" w:rsidRDefault="00C07FDB" w:rsidP="00C07FDB">
      <w:pPr>
        <w:numPr>
          <w:ilvl w:val="0"/>
          <w:numId w:val="17"/>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Liquidity: Can withdraw only at the end of the agreed deposit period. If depositor withdrawn within the first three months of </w:t>
      </w:r>
      <w:proofErr w:type="gramStart"/>
      <w:r w:rsidRPr="00C07FDB">
        <w:rPr>
          <w:rFonts w:ascii="Times New Roman" w:eastAsia="Times New Roman" w:hAnsi="Times New Roman" w:cs="Times New Roman"/>
          <w:color w:val="000000"/>
          <w:sz w:val="24"/>
          <w:szCs w:val="24"/>
        </w:rPr>
        <w:t>that deposits</w:t>
      </w:r>
      <w:proofErr w:type="gramEnd"/>
      <w:r w:rsidRPr="00C07FDB">
        <w:rPr>
          <w:rFonts w:ascii="Times New Roman" w:eastAsia="Times New Roman" w:hAnsi="Times New Roman" w:cs="Times New Roman"/>
          <w:color w:val="000000"/>
          <w:sz w:val="24"/>
          <w:szCs w:val="24"/>
        </w:rPr>
        <w:t>, he/she will not get any interest but if depositor withdrawn after the three months but before the agreed deposit period, he/she will get the saving deposit interest.</w:t>
      </w:r>
    </w:p>
    <w:p w:rsidR="00C07FDB" w:rsidRPr="00C07FDB" w:rsidRDefault="00C07FDB" w:rsidP="00C07FDB">
      <w:pPr>
        <w:numPr>
          <w:ilvl w:val="0"/>
          <w:numId w:val="17"/>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Safety: Fixed deposit insured by DPA</w:t>
      </w:r>
    </w:p>
    <w:p w:rsidR="00C07FDB" w:rsidRPr="00C07FDB" w:rsidRDefault="00C07FDB" w:rsidP="00C07FDB">
      <w:pPr>
        <w:numPr>
          <w:ilvl w:val="0"/>
          <w:numId w:val="17"/>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Restrictions and Fees: Required minimum deposit of account opening is 2,000 Baht. </w:t>
      </w:r>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Siam Commercial Bank</w:t>
      </w:r>
    </w:p>
    <w:p w:rsidR="00C07FDB" w:rsidRPr="00C07FDB" w:rsidRDefault="00C07FDB" w:rsidP="00C07FDB">
      <w:pPr>
        <w:numPr>
          <w:ilvl w:val="0"/>
          <w:numId w:val="18"/>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Rate of Return: </w:t>
      </w:r>
    </w:p>
    <w:p w:rsidR="00C07FDB" w:rsidRPr="00C07FDB" w:rsidRDefault="00C07FDB" w:rsidP="00C07FDB">
      <w:pPr>
        <w:numPr>
          <w:ilvl w:val="1"/>
          <w:numId w:val="1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 months: 1.1%-1.9%</w:t>
      </w:r>
    </w:p>
    <w:p w:rsidR="00C07FDB" w:rsidRPr="00C07FDB" w:rsidRDefault="00C07FDB" w:rsidP="00C07FDB">
      <w:pPr>
        <w:numPr>
          <w:ilvl w:val="1"/>
          <w:numId w:val="1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6 months: 1.35%-1.4%</w:t>
      </w:r>
    </w:p>
    <w:p w:rsidR="00C07FDB" w:rsidRPr="00C07FDB" w:rsidRDefault="00C07FDB" w:rsidP="00C07FDB">
      <w:pPr>
        <w:numPr>
          <w:ilvl w:val="1"/>
          <w:numId w:val="1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12 months: 1.7%</w:t>
      </w:r>
    </w:p>
    <w:p w:rsidR="00C07FDB" w:rsidRPr="00C07FDB" w:rsidRDefault="00C07FDB" w:rsidP="00C07FDB">
      <w:pPr>
        <w:numPr>
          <w:ilvl w:val="1"/>
          <w:numId w:val="1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24 months: 1.9%</w:t>
      </w:r>
    </w:p>
    <w:p w:rsidR="00C07FDB" w:rsidRPr="00C07FDB" w:rsidRDefault="00C07FDB" w:rsidP="00C07FDB">
      <w:pPr>
        <w:numPr>
          <w:ilvl w:val="1"/>
          <w:numId w:val="19"/>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36 months: 1.9%</w:t>
      </w:r>
    </w:p>
    <w:p w:rsidR="00C07FDB" w:rsidRPr="00C07FDB" w:rsidRDefault="00C07FDB" w:rsidP="00C07FDB">
      <w:pPr>
        <w:numPr>
          <w:ilvl w:val="0"/>
          <w:numId w:val="20"/>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20"/>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spacing w:after="0" w:line="360" w:lineRule="auto"/>
        <w:ind w:left="72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Exceptions: </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1) Tax Exemption for the depositors who are aging 55years old or above with fixed deposits not exceed 30,000 Baht and deposit for 1 year or above.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2) Tax Exemption in the case that depositor has regularly deposit at fixed amount each month for 24 months or more.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lastRenderedPageBreak/>
        <w:t xml:space="preserve">3) Tax deduction from 15% to 10% for the five years or more deposits with the education and living objectives. </w:t>
      </w:r>
    </w:p>
    <w:p w:rsidR="00C07FDB" w:rsidRPr="00C07FDB" w:rsidRDefault="00C07FDB" w:rsidP="00C07FDB">
      <w:pPr>
        <w:numPr>
          <w:ilvl w:val="0"/>
          <w:numId w:val="21"/>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Liquidity: Can withdraw only at the end of the agreed deposit period. If depositor withdrawn within the first three months of </w:t>
      </w:r>
      <w:proofErr w:type="gramStart"/>
      <w:r w:rsidRPr="00C07FDB">
        <w:rPr>
          <w:rFonts w:ascii="Times New Roman" w:eastAsia="Times New Roman" w:hAnsi="Times New Roman" w:cs="Times New Roman"/>
          <w:color w:val="000000"/>
          <w:sz w:val="24"/>
          <w:szCs w:val="24"/>
        </w:rPr>
        <w:t>that deposits</w:t>
      </w:r>
      <w:proofErr w:type="gramEnd"/>
      <w:r w:rsidRPr="00C07FDB">
        <w:rPr>
          <w:rFonts w:ascii="Times New Roman" w:eastAsia="Times New Roman" w:hAnsi="Times New Roman" w:cs="Times New Roman"/>
          <w:color w:val="000000"/>
          <w:sz w:val="24"/>
          <w:szCs w:val="24"/>
        </w:rPr>
        <w:t>, he/she will not get any interest but if depositor withdrawn after the three months but before the agreed deposit period, he/she will get the saving deposit interest.</w:t>
      </w:r>
    </w:p>
    <w:p w:rsidR="00C07FDB" w:rsidRPr="00C07FDB" w:rsidRDefault="00C07FDB" w:rsidP="00C07FDB">
      <w:pPr>
        <w:numPr>
          <w:ilvl w:val="0"/>
          <w:numId w:val="21"/>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Safety: Fixed deposit insured by DPA</w:t>
      </w:r>
    </w:p>
    <w:p w:rsidR="00C07FDB" w:rsidRPr="00C07FDB" w:rsidRDefault="00C07FDB" w:rsidP="00C07FDB">
      <w:pPr>
        <w:numPr>
          <w:ilvl w:val="0"/>
          <w:numId w:val="21"/>
        </w:numPr>
        <w:spacing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Restrictions and Fees: Required minimum deposit of account opening is 1,000 Baht - 900,000 Baht and the next deposit amount required at least 1,000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i/>
          <w:iCs/>
          <w:color w:val="000000"/>
          <w:sz w:val="24"/>
          <w:szCs w:val="24"/>
        </w:rPr>
        <w:t>Krung Thai Bank</w:t>
      </w:r>
    </w:p>
    <w:p w:rsidR="00C07FDB" w:rsidRPr="00C07FDB" w:rsidRDefault="00C07FDB" w:rsidP="00C07FDB">
      <w:pPr>
        <w:numPr>
          <w:ilvl w:val="0"/>
          <w:numId w:val="22"/>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Rate of Return</w:t>
      </w:r>
    </w:p>
    <w:p w:rsidR="00C07FDB" w:rsidRPr="00C07FDB" w:rsidRDefault="00C07FDB" w:rsidP="00C07FDB">
      <w:pPr>
        <w:numPr>
          <w:ilvl w:val="1"/>
          <w:numId w:val="2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 months: 1.1%-1.25%</w:t>
      </w:r>
    </w:p>
    <w:p w:rsidR="00C07FDB" w:rsidRPr="00C07FDB" w:rsidRDefault="00C07FDB" w:rsidP="00C07FDB">
      <w:pPr>
        <w:numPr>
          <w:ilvl w:val="1"/>
          <w:numId w:val="2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6 months: 1.55%</w:t>
      </w:r>
    </w:p>
    <w:p w:rsidR="00C07FDB" w:rsidRPr="00C07FDB" w:rsidRDefault="00C07FDB" w:rsidP="00C07FDB">
      <w:pPr>
        <w:numPr>
          <w:ilvl w:val="1"/>
          <w:numId w:val="2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12 months: 1.75%</w:t>
      </w:r>
    </w:p>
    <w:p w:rsidR="00C07FDB" w:rsidRPr="00C07FDB" w:rsidRDefault="00C07FDB" w:rsidP="00C07FDB">
      <w:pPr>
        <w:numPr>
          <w:ilvl w:val="1"/>
          <w:numId w:val="2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24 months: 1.95%</w:t>
      </w:r>
    </w:p>
    <w:p w:rsidR="00C07FDB" w:rsidRPr="00C07FDB" w:rsidRDefault="00C07FDB" w:rsidP="00C07FDB">
      <w:pPr>
        <w:numPr>
          <w:ilvl w:val="1"/>
          <w:numId w:val="23"/>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36 months: 3.2%</w:t>
      </w:r>
    </w:p>
    <w:p w:rsidR="00C07FDB" w:rsidRPr="00C07FDB" w:rsidRDefault="00C07FDB" w:rsidP="00C07FDB">
      <w:pPr>
        <w:numPr>
          <w:ilvl w:val="0"/>
          <w:numId w:val="2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Inflation rate: -0.41%</w:t>
      </w:r>
    </w:p>
    <w:p w:rsidR="00C07FDB" w:rsidRPr="00C07FDB" w:rsidRDefault="00C07FDB" w:rsidP="00C07FDB">
      <w:pPr>
        <w:numPr>
          <w:ilvl w:val="0"/>
          <w:numId w:val="24"/>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Tax: 15%</w:t>
      </w:r>
    </w:p>
    <w:p w:rsidR="00C07FDB" w:rsidRPr="00C07FDB" w:rsidRDefault="00C07FDB" w:rsidP="00C07FDB">
      <w:pPr>
        <w:spacing w:after="0" w:line="360" w:lineRule="auto"/>
        <w:ind w:left="720"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Exceptions: </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1) Tax Exemption for the depositors who are aging 55years old or above with fixed deposits not exceed 30,000 Baht and deposit for 1 year or above.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2) Tax Exemption in the case that depositor has regularly deposit at fixed amount each month for 24 months or more.</w:t>
      </w:r>
    </w:p>
    <w:p w:rsidR="00C07FDB" w:rsidRPr="00C07FDB" w:rsidRDefault="00C07FDB" w:rsidP="00C07FDB">
      <w:pPr>
        <w:spacing w:after="0" w:line="360" w:lineRule="auto"/>
        <w:ind w:left="144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3) Tax deduction from 15% to 10% for the five years or more deposits with the education and living objectives. </w:t>
      </w:r>
    </w:p>
    <w:p w:rsidR="00C07FDB" w:rsidRPr="00C07FDB" w:rsidRDefault="00C07FDB" w:rsidP="00C07FDB">
      <w:pPr>
        <w:spacing w:after="0" w:line="360" w:lineRule="auto"/>
        <w:ind w:left="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Liquidity: Can withdraw only at the end of the agreed deposit period. If depositor withdrawn within the first three months of </w:t>
      </w:r>
      <w:proofErr w:type="gramStart"/>
      <w:r w:rsidRPr="00C07FDB">
        <w:rPr>
          <w:rFonts w:ascii="Times New Roman" w:eastAsia="Times New Roman" w:hAnsi="Times New Roman" w:cs="Times New Roman"/>
          <w:color w:val="000000"/>
          <w:sz w:val="24"/>
          <w:szCs w:val="24"/>
        </w:rPr>
        <w:t>that deposits</w:t>
      </w:r>
      <w:proofErr w:type="gramEnd"/>
      <w:r w:rsidRPr="00C07FDB">
        <w:rPr>
          <w:rFonts w:ascii="Times New Roman" w:eastAsia="Times New Roman" w:hAnsi="Times New Roman" w:cs="Times New Roman"/>
          <w:color w:val="000000"/>
          <w:sz w:val="24"/>
          <w:szCs w:val="24"/>
        </w:rPr>
        <w:t>, he/she will not get any interest but if depositor withdrawn after the three months but before the agreed deposit period, he/she will get the saving deposit interest.</w:t>
      </w:r>
    </w:p>
    <w:p w:rsidR="00C07FDB" w:rsidRPr="00C07FDB" w:rsidRDefault="00C07FDB" w:rsidP="00C07FDB">
      <w:pPr>
        <w:spacing w:after="0"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ab/>
        <w:t>- Safety: Fixed deposit insured by DPA</w:t>
      </w:r>
    </w:p>
    <w:p w:rsidR="00C07FDB" w:rsidRPr="00C07FDB" w:rsidRDefault="00C07FDB" w:rsidP="00C07FDB">
      <w:pPr>
        <w:spacing w:after="0"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ab/>
        <w:t xml:space="preserve">- Restrictions and Fees: Required minimum deposit of account opening is 1,000 Baht for </w:t>
      </w:r>
    </w:p>
    <w:p w:rsidR="00C07FDB" w:rsidRPr="00C07FDB" w:rsidRDefault="00C07FDB" w:rsidP="00C07FDB">
      <w:pPr>
        <w:spacing w:after="0"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lastRenderedPageBreak/>
        <w:tab/>
        <w:t xml:space="preserve"> 3, 6, and 12 months and required minimum deposit of account opening is 10,000 Baht </w:t>
      </w:r>
    </w:p>
    <w:p w:rsidR="00C07FDB" w:rsidRPr="00C07FDB" w:rsidRDefault="00C07FDB" w:rsidP="00C07FDB">
      <w:pPr>
        <w:spacing w:after="0"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ab/>
      </w:r>
      <w:proofErr w:type="gramStart"/>
      <w:r w:rsidRPr="00C07FDB">
        <w:rPr>
          <w:rFonts w:ascii="Times New Roman" w:eastAsia="Times New Roman" w:hAnsi="Times New Roman" w:cs="Times New Roman"/>
          <w:color w:val="000000"/>
          <w:sz w:val="24"/>
          <w:szCs w:val="24"/>
        </w:rPr>
        <w:t>for</w:t>
      </w:r>
      <w:proofErr w:type="gramEnd"/>
      <w:r w:rsidRPr="00C07FDB">
        <w:rPr>
          <w:rFonts w:ascii="Times New Roman" w:eastAsia="Times New Roman" w:hAnsi="Times New Roman" w:cs="Times New Roman"/>
          <w:color w:val="000000"/>
          <w:sz w:val="24"/>
          <w:szCs w:val="24"/>
        </w:rPr>
        <w:t xml:space="preserve"> 24, and 36 months.</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ab/>
        <w:t xml:space="preserve">We can see that each commercial </w:t>
      </w:r>
      <w:proofErr w:type="gramStart"/>
      <w:r w:rsidRPr="00C07FDB">
        <w:rPr>
          <w:rFonts w:ascii="Times New Roman" w:eastAsia="Times New Roman" w:hAnsi="Times New Roman" w:cs="Times New Roman"/>
          <w:color w:val="000000"/>
          <w:sz w:val="24"/>
          <w:szCs w:val="24"/>
        </w:rPr>
        <w:t>banks</w:t>
      </w:r>
      <w:proofErr w:type="gramEnd"/>
      <w:r w:rsidRPr="00C07FDB">
        <w:rPr>
          <w:rFonts w:ascii="Times New Roman" w:eastAsia="Times New Roman" w:hAnsi="Times New Roman" w:cs="Times New Roman"/>
          <w:color w:val="000000"/>
          <w:sz w:val="24"/>
          <w:szCs w:val="24"/>
        </w:rPr>
        <w:t xml:space="preserve"> provided slightly differently rate of return in different period of times. To compare whether which commercial banks would provide the best return to the depositors, it depends on individual’s preferences whether that he/she wants to invest in short-term or long-term. For three-month deposit, we recommend for BBL as it gives the highest minimum return at 1.125% relative to other banks. For 6 months and 12 months, we recommend KTB as it gives the highest at 1.55%-1.75%. We also recommend the depositor to deposit their fixed deposits in KTB for the long-term period with the highest rate of return. However, by looking at the liquidity condition of each commercial banks, it indifferences for the depositor to use this condition to be the criteria in deciding which banks they want to deposit their fixed deposit in.</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b/>
          <w:bCs/>
          <w:color w:val="000000"/>
          <w:sz w:val="24"/>
          <w:szCs w:val="24"/>
        </w:rPr>
        <w:t>III.</w:t>
      </w:r>
      <w:r w:rsidRPr="00C07FDB">
        <w:rPr>
          <w:rFonts w:ascii="Times New Roman" w:eastAsia="Times New Roman" w:hAnsi="Times New Roman" w:cs="Times New Roman"/>
          <w:b/>
          <w:bCs/>
          <w:color w:val="000000"/>
          <w:sz w:val="24"/>
          <w:szCs w:val="24"/>
        </w:rPr>
        <w:tab/>
        <w:t xml:space="preserve">Insurance </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proofErr w:type="spellStart"/>
      <w:r w:rsidRPr="00C07FDB">
        <w:rPr>
          <w:rFonts w:ascii="Times New Roman" w:eastAsia="Times New Roman" w:hAnsi="Times New Roman" w:cs="Times New Roman"/>
          <w:i/>
          <w:iCs/>
          <w:color w:val="000000"/>
          <w:sz w:val="24"/>
          <w:szCs w:val="24"/>
        </w:rPr>
        <w:t>Kasikornbank</w:t>
      </w:r>
      <w:proofErr w:type="spellEnd"/>
      <w:r w:rsidRPr="00C07FDB">
        <w:rPr>
          <w:rFonts w:ascii="Times New Roman" w:eastAsia="Times New Roman" w:hAnsi="Times New Roman" w:cs="Times New Roman"/>
          <w:color w:val="000000"/>
          <w:sz w:val="24"/>
          <w:szCs w:val="24"/>
        </w:rPr>
        <w:t xml:space="preserve">: For a woman aged 25, an annual premium payment of 15 years is 32,544 Baht. Coverage period is 25 years with the initial insured of 450,000 Baht. The end of policy year 1 - 12, 13, 14, and 15 - </w:t>
      </w:r>
      <w:proofErr w:type="gramStart"/>
      <w:r w:rsidRPr="00C07FDB">
        <w:rPr>
          <w:rFonts w:ascii="Times New Roman" w:eastAsia="Times New Roman" w:hAnsi="Times New Roman" w:cs="Times New Roman"/>
          <w:color w:val="000000"/>
          <w:sz w:val="24"/>
          <w:szCs w:val="24"/>
        </w:rPr>
        <w:t>25 ,</w:t>
      </w:r>
      <w:proofErr w:type="gramEnd"/>
      <w:r w:rsidRPr="00C07FDB">
        <w:rPr>
          <w:rFonts w:ascii="Times New Roman" w:eastAsia="Times New Roman" w:hAnsi="Times New Roman" w:cs="Times New Roman"/>
          <w:color w:val="000000"/>
          <w:sz w:val="24"/>
          <w:szCs w:val="24"/>
        </w:rPr>
        <w:t xml:space="preserve"> the sum insured shall receive 100%, 105%, 115%, and 125% of initial sum insured, respectively. Customer will receive 4,500 Baht (1% of initial sum insured) annually until 24</w:t>
      </w:r>
      <w:r w:rsidRPr="00C07FDB">
        <w:rPr>
          <w:rFonts w:ascii="Times New Roman" w:eastAsia="Times New Roman" w:hAnsi="Times New Roman" w:cs="Times New Roman"/>
          <w:color w:val="000000"/>
          <w:sz w:val="24"/>
          <w:szCs w:val="24"/>
          <w:vertAlign w:val="superscript"/>
        </w:rPr>
        <w:t>th</w:t>
      </w:r>
      <w:r w:rsidRPr="00C07FDB">
        <w:rPr>
          <w:rFonts w:ascii="Times New Roman" w:eastAsia="Times New Roman" w:hAnsi="Times New Roman" w:cs="Times New Roman"/>
          <w:color w:val="000000"/>
          <w:sz w:val="24"/>
          <w:szCs w:val="24"/>
        </w:rPr>
        <w:t xml:space="preserve"> year. In the last year customer will get 126% of initial sum insured. Total benefit throughout the contract term is 150% of initial sum insured. At the end of contract term, customer will receive net 186,840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Rate of return: 1.8%</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Inflation: -0.41%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Tax: 10% but not exceeding 100,000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Liquidity:  Poor because you cannot take the money out before the maturity date.</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Safety: Office of Insurance Commission is legally responsible for the insurance company to behave in the same direction under the laws and regulations of life insurance, Life Insurance Act No.2 B.E. 2553 (Amended B.E. 2551).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Restrictions and fees: customers need to pay the premium by the same amount every </w:t>
      </w:r>
      <w:proofErr w:type="gramStart"/>
      <w:r w:rsidRPr="00C07FDB">
        <w:rPr>
          <w:rFonts w:ascii="Times New Roman" w:eastAsia="Times New Roman" w:hAnsi="Times New Roman" w:cs="Times New Roman"/>
          <w:color w:val="000000"/>
          <w:sz w:val="24"/>
          <w:szCs w:val="24"/>
        </w:rPr>
        <w:t>years</w:t>
      </w:r>
      <w:proofErr w:type="gramEnd"/>
      <w:r w:rsidRPr="00C07FDB">
        <w:rPr>
          <w:rFonts w:ascii="Times New Roman" w:eastAsia="Times New Roman" w:hAnsi="Times New Roman" w:cs="Times New Roman"/>
          <w:color w:val="000000"/>
          <w:sz w:val="24"/>
          <w:szCs w:val="24"/>
        </w:rPr>
        <w:t xml:space="preserve">. There will be </w:t>
      </w:r>
      <w:proofErr w:type="gramStart"/>
      <w:r w:rsidRPr="00C07FDB">
        <w:rPr>
          <w:rFonts w:ascii="Times New Roman" w:eastAsia="Times New Roman" w:hAnsi="Times New Roman" w:cs="Times New Roman"/>
          <w:color w:val="000000"/>
          <w:sz w:val="24"/>
          <w:szCs w:val="24"/>
        </w:rPr>
        <w:t>penalties(</w:t>
      </w:r>
      <w:proofErr w:type="gramEnd"/>
      <w:r w:rsidRPr="00C07FDB">
        <w:rPr>
          <w:rFonts w:ascii="Times New Roman" w:eastAsia="Times New Roman" w:hAnsi="Times New Roman" w:cs="Times New Roman"/>
          <w:color w:val="000000"/>
          <w:sz w:val="24"/>
          <w:szCs w:val="24"/>
        </w:rPr>
        <w:t>interests) for those late payers.</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lastRenderedPageBreak/>
        <w:t xml:space="preserve">- </w:t>
      </w:r>
      <w:r w:rsidRPr="00C07FDB">
        <w:rPr>
          <w:rFonts w:ascii="Times New Roman" w:eastAsia="Times New Roman" w:hAnsi="Times New Roman" w:cs="Times New Roman"/>
          <w:i/>
          <w:iCs/>
          <w:color w:val="000000"/>
          <w:sz w:val="24"/>
          <w:szCs w:val="24"/>
        </w:rPr>
        <w:t>Bangkok Bank</w:t>
      </w:r>
      <w:r w:rsidRPr="00C07FDB">
        <w:rPr>
          <w:rFonts w:ascii="Times New Roman" w:eastAsia="Times New Roman" w:hAnsi="Times New Roman" w:cs="Times New Roman"/>
          <w:color w:val="000000"/>
          <w:sz w:val="24"/>
          <w:szCs w:val="24"/>
        </w:rPr>
        <w:t xml:space="preserve">: For a woman aged 25, an annual premium payment of 10 years is 40,000 Baht. Coverage period is 15 years with the initial insured of 200,000 Baht. The end of policy year 1 - 3, 4, 5 - 6, and 7 - </w:t>
      </w:r>
      <w:proofErr w:type="gramStart"/>
      <w:r w:rsidRPr="00C07FDB">
        <w:rPr>
          <w:rFonts w:ascii="Times New Roman" w:eastAsia="Times New Roman" w:hAnsi="Times New Roman" w:cs="Times New Roman"/>
          <w:color w:val="000000"/>
          <w:sz w:val="24"/>
          <w:szCs w:val="24"/>
        </w:rPr>
        <w:t>15 ,</w:t>
      </w:r>
      <w:proofErr w:type="gramEnd"/>
      <w:r w:rsidRPr="00C07FDB">
        <w:rPr>
          <w:rFonts w:ascii="Times New Roman" w:eastAsia="Times New Roman" w:hAnsi="Times New Roman" w:cs="Times New Roman"/>
          <w:color w:val="000000"/>
          <w:sz w:val="24"/>
          <w:szCs w:val="24"/>
        </w:rPr>
        <w:t xml:space="preserve"> the sum insured shall receive 100%, 140%, 180%, and 200% of initial sum insured, respectively. Customer will receive annually 6,000 Baht in the first five years (3% of initial sum insured), 8,000 Baht in the next five years (4% of initial sum insured), </w:t>
      </w:r>
      <w:proofErr w:type="gramStart"/>
      <w:r w:rsidRPr="00C07FDB">
        <w:rPr>
          <w:rFonts w:ascii="Times New Roman" w:eastAsia="Times New Roman" w:hAnsi="Times New Roman" w:cs="Times New Roman"/>
          <w:color w:val="000000"/>
          <w:sz w:val="24"/>
          <w:szCs w:val="24"/>
        </w:rPr>
        <w:t>10,000</w:t>
      </w:r>
      <w:proofErr w:type="gramEnd"/>
      <w:r w:rsidRPr="00C07FDB">
        <w:rPr>
          <w:rFonts w:ascii="Times New Roman" w:eastAsia="Times New Roman" w:hAnsi="Times New Roman" w:cs="Times New Roman"/>
          <w:color w:val="000000"/>
          <w:sz w:val="24"/>
          <w:szCs w:val="24"/>
        </w:rPr>
        <w:t xml:space="preserve"> Baht in the last five years (5% of initial sum insured). In the 15</w:t>
      </w:r>
      <w:r w:rsidRPr="00C07FDB">
        <w:rPr>
          <w:rFonts w:ascii="Times New Roman" w:eastAsia="Times New Roman" w:hAnsi="Times New Roman" w:cs="Times New Roman"/>
          <w:color w:val="000000"/>
          <w:sz w:val="24"/>
          <w:szCs w:val="24"/>
          <w:vertAlign w:val="superscript"/>
        </w:rPr>
        <w:t>th</w:t>
      </w:r>
      <w:r w:rsidRPr="00C07FDB">
        <w:rPr>
          <w:rFonts w:ascii="Times New Roman" w:eastAsia="Times New Roman" w:hAnsi="Times New Roman" w:cs="Times New Roman"/>
          <w:color w:val="000000"/>
          <w:sz w:val="24"/>
          <w:szCs w:val="24"/>
        </w:rPr>
        <w:t xml:space="preserve"> year customer will get 185% of initial sum insured. Total benefit throughout the contract term is 245% of initial sum insured. At the end of contract term, customer will receive net 90,000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Rate of return: 1.937%</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Inflation: -0.41%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Tax: 10% but not exceeding 100,000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Liquidity: Poor because you cannot take the money out before the maturity date.</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Safety: Office of Insurance Commission is legally responsible for the insurance company to behave in the same direction under the laws and regulations of life insurance, Life Insurance Act No.2 B.E. 2553 (Amended B.E. 2551).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Restrictions and fees: customers need to pay the premium by the same amount every </w:t>
      </w:r>
      <w:proofErr w:type="gramStart"/>
      <w:r w:rsidRPr="00C07FDB">
        <w:rPr>
          <w:rFonts w:ascii="Times New Roman" w:eastAsia="Times New Roman" w:hAnsi="Times New Roman" w:cs="Times New Roman"/>
          <w:color w:val="000000"/>
          <w:sz w:val="24"/>
          <w:szCs w:val="24"/>
        </w:rPr>
        <w:t>years</w:t>
      </w:r>
      <w:proofErr w:type="gramEnd"/>
      <w:r w:rsidRPr="00C07FDB">
        <w:rPr>
          <w:rFonts w:ascii="Times New Roman" w:eastAsia="Times New Roman" w:hAnsi="Times New Roman" w:cs="Times New Roman"/>
          <w:color w:val="000000"/>
          <w:sz w:val="24"/>
          <w:szCs w:val="24"/>
        </w:rPr>
        <w:t xml:space="preserve">. There will be </w:t>
      </w:r>
      <w:proofErr w:type="gramStart"/>
      <w:r w:rsidRPr="00C07FDB">
        <w:rPr>
          <w:rFonts w:ascii="Times New Roman" w:eastAsia="Times New Roman" w:hAnsi="Times New Roman" w:cs="Times New Roman"/>
          <w:color w:val="000000"/>
          <w:sz w:val="24"/>
          <w:szCs w:val="24"/>
        </w:rPr>
        <w:t>penalties(</w:t>
      </w:r>
      <w:proofErr w:type="gramEnd"/>
      <w:r w:rsidRPr="00C07FDB">
        <w:rPr>
          <w:rFonts w:ascii="Times New Roman" w:eastAsia="Times New Roman" w:hAnsi="Times New Roman" w:cs="Times New Roman"/>
          <w:color w:val="000000"/>
          <w:sz w:val="24"/>
          <w:szCs w:val="24"/>
        </w:rPr>
        <w:t>interests) for those late payers.</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r w:rsidRPr="00C07FDB">
        <w:rPr>
          <w:rFonts w:ascii="Times New Roman" w:eastAsia="Times New Roman" w:hAnsi="Times New Roman" w:cs="Times New Roman"/>
          <w:i/>
          <w:iCs/>
          <w:color w:val="000000"/>
          <w:sz w:val="24"/>
          <w:szCs w:val="24"/>
        </w:rPr>
        <w:t>Siam Commercial Bank</w:t>
      </w:r>
      <w:r w:rsidRPr="00C07FDB">
        <w:rPr>
          <w:rFonts w:ascii="Times New Roman" w:eastAsia="Times New Roman" w:hAnsi="Times New Roman" w:cs="Times New Roman"/>
          <w:color w:val="000000"/>
          <w:sz w:val="24"/>
          <w:szCs w:val="24"/>
        </w:rPr>
        <w:t>: For a woman aged 25, an annual premium payment of 15 years is 30,012 Baht. Coverage period is 25 years with the initial insured of 450,000 Baht. Customer will receive 15,000 Baht (3.33% of initial sum insured) every three years until 24</w:t>
      </w:r>
      <w:r w:rsidRPr="00C07FDB">
        <w:rPr>
          <w:rFonts w:ascii="Times New Roman" w:eastAsia="Times New Roman" w:hAnsi="Times New Roman" w:cs="Times New Roman"/>
          <w:color w:val="000000"/>
          <w:sz w:val="24"/>
          <w:szCs w:val="24"/>
          <w:vertAlign w:val="superscript"/>
        </w:rPr>
        <w:t>th</w:t>
      </w:r>
      <w:r w:rsidRPr="00C07FDB">
        <w:rPr>
          <w:rFonts w:ascii="Times New Roman" w:eastAsia="Times New Roman" w:hAnsi="Times New Roman" w:cs="Times New Roman"/>
          <w:color w:val="000000"/>
          <w:sz w:val="24"/>
          <w:szCs w:val="24"/>
        </w:rPr>
        <w:t xml:space="preserve"> year. In the last year customer will get 100% of initial sum insured. Total benefit throughout the contract term is 126.67% of initial sum insured. At the end of contract term, customer will receive net 119,820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Rate of return: 1.3107%</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Inflation: -0.41%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Tax: 10% but not exceeding 100,000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Liquidity: Poor because you cannot take the money out before the maturity date.</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lastRenderedPageBreak/>
        <w:t>Safety: Office of Insurance Commission is legally responsible for the insurance company to behave in the same direction under the laws and regulations of life insurance, Life Insurance Act No.2 B.E. 2553 (Amended B.E. 2551).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Restrictions and fees: customers need to pay the premium by the same amount every </w:t>
      </w:r>
      <w:proofErr w:type="gramStart"/>
      <w:r w:rsidRPr="00C07FDB">
        <w:rPr>
          <w:rFonts w:ascii="Times New Roman" w:eastAsia="Times New Roman" w:hAnsi="Times New Roman" w:cs="Times New Roman"/>
          <w:color w:val="000000"/>
          <w:sz w:val="24"/>
          <w:szCs w:val="24"/>
        </w:rPr>
        <w:t>years</w:t>
      </w:r>
      <w:proofErr w:type="gramEnd"/>
      <w:r w:rsidRPr="00C07FDB">
        <w:rPr>
          <w:rFonts w:ascii="Times New Roman" w:eastAsia="Times New Roman" w:hAnsi="Times New Roman" w:cs="Times New Roman"/>
          <w:color w:val="000000"/>
          <w:sz w:val="24"/>
          <w:szCs w:val="24"/>
        </w:rPr>
        <w:t xml:space="preserve">. There will be </w:t>
      </w:r>
      <w:proofErr w:type="gramStart"/>
      <w:r w:rsidRPr="00C07FDB">
        <w:rPr>
          <w:rFonts w:ascii="Times New Roman" w:eastAsia="Times New Roman" w:hAnsi="Times New Roman" w:cs="Times New Roman"/>
          <w:color w:val="000000"/>
          <w:sz w:val="24"/>
          <w:szCs w:val="24"/>
        </w:rPr>
        <w:t>penalties(</w:t>
      </w:r>
      <w:proofErr w:type="gramEnd"/>
      <w:r w:rsidRPr="00C07FDB">
        <w:rPr>
          <w:rFonts w:ascii="Times New Roman" w:eastAsia="Times New Roman" w:hAnsi="Times New Roman" w:cs="Times New Roman"/>
          <w:color w:val="000000"/>
          <w:sz w:val="24"/>
          <w:szCs w:val="24"/>
        </w:rPr>
        <w:t>interests) for those late payers.</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r w:rsidRPr="00C07FDB">
        <w:rPr>
          <w:rFonts w:ascii="Times New Roman" w:eastAsia="Times New Roman" w:hAnsi="Times New Roman" w:cs="Times New Roman"/>
          <w:i/>
          <w:iCs/>
          <w:color w:val="000000"/>
          <w:sz w:val="24"/>
          <w:szCs w:val="24"/>
        </w:rPr>
        <w:t>Krung Thai Bank</w:t>
      </w:r>
      <w:r w:rsidRPr="00C07FDB">
        <w:rPr>
          <w:rFonts w:ascii="Times New Roman" w:eastAsia="Times New Roman" w:hAnsi="Times New Roman" w:cs="Times New Roman"/>
          <w:color w:val="000000"/>
          <w:sz w:val="24"/>
          <w:szCs w:val="24"/>
        </w:rPr>
        <w:t xml:space="preserve">: For a woman aged 25, an annual premium payment of 6 years is 30,834 Baht. Coverage period is 10 years with the initial insured of 100,000 Baht. The end of policy year 1 - 12, 13, 14, and 15 - </w:t>
      </w:r>
      <w:proofErr w:type="gramStart"/>
      <w:r w:rsidRPr="00C07FDB">
        <w:rPr>
          <w:rFonts w:ascii="Times New Roman" w:eastAsia="Times New Roman" w:hAnsi="Times New Roman" w:cs="Times New Roman"/>
          <w:color w:val="000000"/>
          <w:sz w:val="24"/>
          <w:szCs w:val="24"/>
        </w:rPr>
        <w:t>25 ,</w:t>
      </w:r>
      <w:proofErr w:type="gramEnd"/>
      <w:r w:rsidRPr="00C07FDB">
        <w:rPr>
          <w:rFonts w:ascii="Times New Roman" w:eastAsia="Times New Roman" w:hAnsi="Times New Roman" w:cs="Times New Roman"/>
          <w:color w:val="000000"/>
          <w:sz w:val="24"/>
          <w:szCs w:val="24"/>
        </w:rPr>
        <w:t xml:space="preserve"> the sum insured shall receive 100%, 105%, 115%, and 125% of initial sum insured, respectively. Customer will receive 2,000 Baht (2% of initial sum insured) annually until 9</w:t>
      </w:r>
      <w:r w:rsidRPr="00C07FDB">
        <w:rPr>
          <w:rFonts w:ascii="Times New Roman" w:eastAsia="Times New Roman" w:hAnsi="Times New Roman" w:cs="Times New Roman"/>
          <w:color w:val="000000"/>
          <w:sz w:val="24"/>
          <w:szCs w:val="24"/>
          <w:vertAlign w:val="superscript"/>
        </w:rPr>
        <w:t>th</w:t>
      </w:r>
      <w:r w:rsidRPr="00C07FDB">
        <w:rPr>
          <w:rFonts w:ascii="Times New Roman" w:eastAsia="Times New Roman" w:hAnsi="Times New Roman" w:cs="Times New Roman"/>
          <w:color w:val="000000"/>
          <w:sz w:val="24"/>
          <w:szCs w:val="24"/>
        </w:rPr>
        <w:t xml:space="preserve"> year. In the last year customer will get 182% of initial sum insured. Total benefit throughout the contract term is 228.46% of initial sum insured. At the end of contract term, customer will receive net 43,454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Rate of return: 2.837%</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Inflation: -0.41%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Tax: 10% but not exceeding 100,000 Baht</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Liquidity: Poor because you cannot take the money out before the maturity date. </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Safety: Office of Insurance Commission is legally responsible for the insurance company to behave in the same direction under the laws and regulations of life insurance, Life Insurance Act No.2 B.E. 2553 (Amended B.E. 2551).</w:t>
      </w:r>
    </w:p>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Restrictions and fees: customers need to pay the premium by the same amount every </w:t>
      </w:r>
      <w:proofErr w:type="gramStart"/>
      <w:r w:rsidRPr="00C07FDB">
        <w:rPr>
          <w:rFonts w:ascii="Times New Roman" w:eastAsia="Times New Roman" w:hAnsi="Times New Roman" w:cs="Times New Roman"/>
          <w:color w:val="000000"/>
          <w:sz w:val="24"/>
          <w:szCs w:val="24"/>
        </w:rPr>
        <w:t>years</w:t>
      </w:r>
      <w:proofErr w:type="gramEnd"/>
      <w:r w:rsidRPr="00C07FDB">
        <w:rPr>
          <w:rFonts w:ascii="Times New Roman" w:eastAsia="Times New Roman" w:hAnsi="Times New Roman" w:cs="Times New Roman"/>
          <w:color w:val="000000"/>
          <w:sz w:val="24"/>
          <w:szCs w:val="24"/>
        </w:rPr>
        <w:t xml:space="preserve">. There will be </w:t>
      </w:r>
      <w:proofErr w:type="gramStart"/>
      <w:r w:rsidRPr="00C07FDB">
        <w:rPr>
          <w:rFonts w:ascii="Times New Roman" w:eastAsia="Times New Roman" w:hAnsi="Times New Roman" w:cs="Times New Roman"/>
          <w:color w:val="000000"/>
          <w:sz w:val="24"/>
          <w:szCs w:val="24"/>
        </w:rPr>
        <w:t>penalties(</w:t>
      </w:r>
      <w:proofErr w:type="gramEnd"/>
      <w:r w:rsidRPr="00C07FDB">
        <w:rPr>
          <w:rFonts w:ascii="Times New Roman" w:eastAsia="Times New Roman" w:hAnsi="Times New Roman" w:cs="Times New Roman"/>
          <w:color w:val="000000"/>
          <w:sz w:val="24"/>
          <w:szCs w:val="24"/>
        </w:rPr>
        <w:t>interests) for those late payers.</w:t>
      </w:r>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When comparing costs and benefits of various life insurance plans, customers firstly need to identify their budgets to be saved, which is going to be the premiums paid each year. In this case, </w:t>
      </w:r>
      <w:proofErr w:type="gramStart"/>
      <w:r w:rsidRPr="00C07FDB">
        <w:rPr>
          <w:rFonts w:ascii="Times New Roman" w:eastAsia="Times New Roman" w:hAnsi="Times New Roman" w:cs="Times New Roman"/>
          <w:color w:val="000000"/>
          <w:sz w:val="24"/>
          <w:szCs w:val="24"/>
        </w:rPr>
        <w:t>ranges of the premium is</w:t>
      </w:r>
      <w:proofErr w:type="gramEnd"/>
      <w:r w:rsidRPr="00C07FDB">
        <w:rPr>
          <w:rFonts w:ascii="Times New Roman" w:eastAsia="Times New Roman" w:hAnsi="Times New Roman" w:cs="Times New Roman"/>
          <w:color w:val="000000"/>
          <w:sz w:val="24"/>
          <w:szCs w:val="24"/>
        </w:rPr>
        <w:t xml:space="preserve"> 30,000 - 40,000 Baht. Customers can distinguish the rates of returns and the initial sum insured of each company. Also, consumers need to consider how long they have to pay the premiums and will eventually receive the returns through the contract terms. If customers prefer a short period contract, we would recommend Krung Thai AXA of Krung Thai Bank due to its high rate of return with the 10 years </w:t>
      </w:r>
      <w:r w:rsidRPr="00C07FDB">
        <w:rPr>
          <w:rFonts w:ascii="Times New Roman" w:eastAsia="Times New Roman" w:hAnsi="Times New Roman" w:cs="Times New Roman"/>
          <w:color w:val="000000"/>
          <w:sz w:val="24"/>
          <w:szCs w:val="24"/>
        </w:rPr>
        <w:lastRenderedPageBreak/>
        <w:t xml:space="preserve">coverage period so that customers will get the relatively huge amount of money back within a relatively short period comparing to others insurance plans. If customers prefer long term savings, we would recommend </w:t>
      </w:r>
      <w:proofErr w:type="spellStart"/>
      <w:r w:rsidRPr="00C07FDB">
        <w:rPr>
          <w:rFonts w:ascii="Times New Roman" w:eastAsia="Times New Roman" w:hAnsi="Times New Roman" w:cs="Times New Roman"/>
          <w:color w:val="000000"/>
          <w:sz w:val="24"/>
          <w:szCs w:val="24"/>
        </w:rPr>
        <w:t>Meungthai</w:t>
      </w:r>
      <w:proofErr w:type="spellEnd"/>
      <w:r w:rsidRPr="00C07FDB">
        <w:rPr>
          <w:rFonts w:ascii="Times New Roman" w:eastAsia="Times New Roman" w:hAnsi="Times New Roman" w:cs="Times New Roman"/>
          <w:color w:val="000000"/>
          <w:sz w:val="24"/>
          <w:szCs w:val="24"/>
        </w:rPr>
        <w:t xml:space="preserve"> Life Insurance of </w:t>
      </w:r>
      <w:proofErr w:type="spellStart"/>
      <w:r w:rsidRPr="00C07FDB">
        <w:rPr>
          <w:rFonts w:ascii="Times New Roman" w:eastAsia="Times New Roman" w:hAnsi="Times New Roman" w:cs="Times New Roman"/>
          <w:color w:val="000000"/>
          <w:sz w:val="24"/>
          <w:szCs w:val="24"/>
        </w:rPr>
        <w:t>Kasikornbank</w:t>
      </w:r>
      <w:proofErr w:type="spellEnd"/>
      <w:r w:rsidRPr="00C07FDB">
        <w:rPr>
          <w:rFonts w:ascii="Times New Roman" w:eastAsia="Times New Roman" w:hAnsi="Times New Roman" w:cs="Times New Roman"/>
          <w:color w:val="000000"/>
          <w:sz w:val="24"/>
          <w:szCs w:val="24"/>
        </w:rPr>
        <w:t xml:space="preserve"> since it gives higher returns at the end of contract term. Nevertheless, other factors are most likely to be the same in various plans mentioned above.</w:t>
      </w:r>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spacing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b/>
          <w:bCs/>
          <w:color w:val="000000"/>
          <w:sz w:val="24"/>
          <w:szCs w:val="24"/>
        </w:rPr>
        <w:t>IV.</w:t>
      </w:r>
      <w:r w:rsidRPr="00C07FDB">
        <w:rPr>
          <w:rFonts w:ascii="Times New Roman" w:eastAsia="Times New Roman" w:hAnsi="Times New Roman" w:cs="Times New Roman"/>
          <w:b/>
          <w:bCs/>
          <w:color w:val="000000"/>
          <w:sz w:val="24"/>
          <w:szCs w:val="24"/>
        </w:rPr>
        <w:tab/>
        <w:t xml:space="preserve"> Long-Term Equity Funds</w:t>
      </w: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In this asset class, we have collected LTFs from four the big banks. Different banks have multiple funds to choose from. Common characteristics of all chosen funds are listed below. Our criterion is to choose funds that share similar investment policies of investing about 70% of total asset in common stocks. So the fund is suitable for investors who have high risk lover level. Note that all the funds chosen yield higher return than Thailand’s inflation rate so it is beneficial to the holders. LTF has tax benefits. Investors can invest 15% of their income in LTF and receive tax shield. Basic liquidity, safety, restrictions and fees information can be found in the fund fact sheet of each fund.</w:t>
      </w:r>
    </w:p>
    <w:p w:rsidR="00C07FDB" w:rsidRPr="00C07FDB" w:rsidRDefault="00C07FDB" w:rsidP="00C07FDB">
      <w:pPr>
        <w:spacing w:after="0" w:line="360" w:lineRule="auto"/>
        <w:rPr>
          <w:rFonts w:ascii="Times New Roman" w:eastAsia="Times New Roman" w:hAnsi="Times New Roman" w:cs="Times New Roman"/>
          <w:sz w:val="24"/>
          <w:szCs w:val="24"/>
        </w:rPr>
      </w:pP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proofErr w:type="spellStart"/>
      <w:r w:rsidRPr="00C07FDB">
        <w:rPr>
          <w:rFonts w:ascii="Times New Roman" w:eastAsia="Times New Roman" w:hAnsi="Times New Roman" w:cs="Times New Roman"/>
          <w:i/>
          <w:iCs/>
          <w:color w:val="000000"/>
          <w:sz w:val="24"/>
          <w:szCs w:val="24"/>
        </w:rPr>
        <w:t>Kasikornbank</w:t>
      </w:r>
      <w:proofErr w:type="spellEnd"/>
      <w:r w:rsidRPr="00C07FDB">
        <w:rPr>
          <w:rFonts w:ascii="Times New Roman" w:eastAsia="Times New Roman" w:hAnsi="Times New Roman" w:cs="Times New Roman"/>
          <w:color w:val="000000"/>
          <w:sz w:val="24"/>
          <w:szCs w:val="24"/>
        </w:rPr>
        <w:t>: c, the Fund shall invest a yearly average of at least 65% and not exceeding 70% of NAV in listed common stocks. The Fund will primarily invest in good fundamental assets yielding suitable return in compare with investment risks. There will be no exposure in futures contract except for hedging purpose and the Fund will not invest in structured notes.</w:t>
      </w:r>
      <w:r>
        <w:rPr>
          <w:rFonts w:ascii="Times New Roman" w:eastAsia="Times New Roman" w:hAnsi="Times New Roman" w:cs="Times New Roman"/>
          <w:color w:val="000000"/>
          <w:sz w:val="24"/>
          <w:szCs w:val="24"/>
        </w:rPr>
        <w:t xml:space="preserve"> </w:t>
      </w:r>
      <w:r w:rsidRPr="00C07FDB">
        <w:rPr>
          <w:rFonts w:ascii="Times New Roman" w:eastAsia="Times New Roman" w:hAnsi="Times New Roman" w:cs="Times New Roman"/>
          <w:color w:val="000000"/>
          <w:sz w:val="24"/>
          <w:szCs w:val="24"/>
        </w:rPr>
        <w:t>Management fee is 2.475 percent yearly. 2 percent back end load is applied. Dividend is paid maximum twice a year. According to the historical returns, the fund is performing relatively poor comparing to benchmark return.  In the past five years, year-on-year return is around 3-4 percent below the benchmark.</w:t>
      </w: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r w:rsidRPr="00C07FDB">
        <w:rPr>
          <w:rFonts w:ascii="Times New Roman" w:eastAsia="Times New Roman" w:hAnsi="Times New Roman" w:cs="Times New Roman"/>
          <w:i/>
          <w:iCs/>
          <w:color w:val="000000"/>
          <w:sz w:val="24"/>
          <w:szCs w:val="24"/>
        </w:rPr>
        <w:t>Bangkok Bank</w:t>
      </w:r>
      <w:r w:rsidRPr="00C07FDB">
        <w:rPr>
          <w:rFonts w:ascii="Times New Roman" w:eastAsia="Times New Roman" w:hAnsi="Times New Roman" w:cs="Times New Roman"/>
          <w:color w:val="000000"/>
          <w:sz w:val="24"/>
          <w:szCs w:val="24"/>
        </w:rPr>
        <w:t>: B-</w:t>
      </w:r>
      <w:proofErr w:type="gramStart"/>
      <w:r w:rsidRPr="00C07FDB">
        <w:rPr>
          <w:rFonts w:ascii="Times New Roman" w:eastAsia="Times New Roman" w:hAnsi="Times New Roman" w:cs="Times New Roman"/>
          <w:color w:val="000000"/>
          <w:sz w:val="24"/>
          <w:szCs w:val="24"/>
        </w:rPr>
        <w:t>LTF75,</w:t>
      </w:r>
      <w:proofErr w:type="gramEnd"/>
      <w:r w:rsidRPr="00C07FDB">
        <w:rPr>
          <w:rFonts w:ascii="Times New Roman" w:eastAsia="Times New Roman" w:hAnsi="Times New Roman" w:cs="Times New Roman"/>
          <w:color w:val="000000"/>
          <w:sz w:val="24"/>
          <w:szCs w:val="24"/>
        </w:rPr>
        <w:t xml:space="preserve"> makes long-term investments in companies listed on the Stock Exchange of Thailand. BLTF75's policy is to invest between 65% to 75% of the fund's net asset value in listed companies that demonstrate strong business fundamentals and a high potential for return. The remainder will be invested in debt instruments and deposits. B-LTF75 investors are eligible for tax benefits based on using the annual investment amount as a deduction from taxable income. This fund requires 1 percent back end load and a yearly management fee of 1.5 percent of total value held. This fund has no dividend policy.</w:t>
      </w: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r w:rsidRPr="00C07FDB">
        <w:rPr>
          <w:rFonts w:ascii="Times New Roman" w:eastAsia="Times New Roman" w:hAnsi="Times New Roman" w:cs="Times New Roman"/>
          <w:i/>
          <w:iCs/>
          <w:color w:val="000000"/>
          <w:sz w:val="24"/>
          <w:szCs w:val="24"/>
        </w:rPr>
        <w:t>Siam Commercial Bank</w:t>
      </w:r>
      <w:r w:rsidRPr="00C07FDB">
        <w:rPr>
          <w:rFonts w:ascii="Times New Roman" w:eastAsia="Times New Roman" w:hAnsi="Times New Roman" w:cs="Times New Roman"/>
          <w:color w:val="000000"/>
          <w:sz w:val="24"/>
          <w:szCs w:val="24"/>
        </w:rPr>
        <w:t xml:space="preserve">: SCBLT1, this fund invests up to 70% of its registered assets in quality listed stocks paying dividends. The remainder is invested in debentures, </w:t>
      </w:r>
      <w:r w:rsidRPr="00C07FDB">
        <w:rPr>
          <w:rFonts w:ascii="Times New Roman" w:eastAsia="Times New Roman" w:hAnsi="Times New Roman" w:cs="Times New Roman"/>
          <w:color w:val="000000"/>
          <w:sz w:val="24"/>
          <w:szCs w:val="24"/>
        </w:rPr>
        <w:lastRenderedPageBreak/>
        <w:t>financial instruments and / or other securities.SCBLT1 requires 1.86 percent annual management fee. 0.25 back end load is applied. Dividend yield is paid maximum twice a year.</w:t>
      </w: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 </w:t>
      </w:r>
      <w:r w:rsidRPr="00C07FDB">
        <w:rPr>
          <w:rFonts w:ascii="Times New Roman" w:eastAsia="Times New Roman" w:hAnsi="Times New Roman" w:cs="Times New Roman"/>
          <w:i/>
          <w:iCs/>
          <w:color w:val="000000"/>
          <w:sz w:val="24"/>
          <w:szCs w:val="24"/>
        </w:rPr>
        <w:t>Krung Thai Bank:</w:t>
      </w:r>
      <w:r w:rsidRPr="00C07FDB">
        <w:rPr>
          <w:rFonts w:ascii="Times New Roman" w:eastAsia="Times New Roman" w:hAnsi="Times New Roman" w:cs="Times New Roman"/>
          <w:color w:val="000000"/>
          <w:sz w:val="24"/>
          <w:szCs w:val="24"/>
        </w:rPr>
        <w:t xml:space="preserve"> KTLF70/30, Focuses upon the investment in the common stock listed in the Stock Exchange having good fundamentals, stability and good yield, not less than 65% in average per one accounting year and not exceeding 70% of the Fund’s NAV including the investment in equity instrument, hybrid instrument as well as other securities and other assets or gaining benefits by either or many ways. This fund does not have any back end or front end load. However, the management fee is 1.685 percent. There is no dividend policy.</w:t>
      </w: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We can see that the fee structure differs among different fund. The most liquid appears to be Krung Thai Banks’ KTLF70/30 where back end load does not apply.  When the fees structure is similar, investment decision depends on historical returns. The returns of all funds are in the table below:</w:t>
      </w:r>
    </w:p>
    <w:p w:rsidR="00C07FDB" w:rsidRPr="00C07FDB" w:rsidRDefault="00C07FDB" w:rsidP="00C07FDB">
      <w:pPr>
        <w:spacing w:after="0" w:line="360" w:lineRule="auto"/>
        <w:rPr>
          <w:rFonts w:ascii="Times New Roman" w:eastAsia="Times New Roman" w:hAnsi="Times New Roman" w:cs="Times New Roman"/>
          <w:sz w:val="24"/>
          <w:szCs w:val="24"/>
        </w:rPr>
      </w:pPr>
    </w:p>
    <w:tbl>
      <w:tblPr>
        <w:tblStyle w:val="MediumList1-Accent2"/>
        <w:tblW w:w="0" w:type="auto"/>
        <w:tblLook w:val="04A0"/>
      </w:tblPr>
      <w:tblGrid>
        <w:gridCol w:w="1540"/>
        <w:gridCol w:w="1540"/>
        <w:gridCol w:w="1725"/>
        <w:gridCol w:w="1957"/>
        <w:gridCol w:w="1958"/>
      </w:tblGrid>
      <w:tr w:rsidR="00C07FDB" w:rsidRPr="00C07FDB" w:rsidTr="00C07FDB">
        <w:trPr>
          <w:cnfStyle w:val="100000000000"/>
        </w:trPr>
        <w:tc>
          <w:tcPr>
            <w:cnfStyle w:val="001000000000"/>
            <w:tcW w:w="1540" w:type="dxa"/>
          </w:tcPr>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Fund</w:t>
            </w:r>
          </w:p>
        </w:tc>
        <w:tc>
          <w:tcPr>
            <w:tcW w:w="1540" w:type="dxa"/>
          </w:tcPr>
          <w:p w:rsidR="00C07FDB" w:rsidRPr="00C07FDB" w:rsidRDefault="00C07FDB" w:rsidP="00C07FDB">
            <w:pPr>
              <w:spacing w:line="360" w:lineRule="auto"/>
              <w:cnfStyle w:val="100000000000"/>
              <w:rPr>
                <w:rFonts w:ascii="Times New Roman" w:eastAsia="Times New Roman" w:hAnsi="Times New Roman" w:cs="Times New Roman"/>
                <w:b/>
                <w:bCs/>
                <w:sz w:val="24"/>
                <w:szCs w:val="24"/>
              </w:rPr>
            </w:pPr>
            <w:r w:rsidRPr="00C07FDB">
              <w:rPr>
                <w:rFonts w:ascii="Times New Roman" w:eastAsia="Times New Roman" w:hAnsi="Times New Roman" w:cs="Times New Roman"/>
                <w:b/>
                <w:bCs/>
                <w:sz w:val="24"/>
                <w:szCs w:val="24"/>
              </w:rPr>
              <w:t>3 months</w:t>
            </w:r>
          </w:p>
        </w:tc>
        <w:tc>
          <w:tcPr>
            <w:tcW w:w="1725" w:type="dxa"/>
          </w:tcPr>
          <w:p w:rsidR="00C07FDB" w:rsidRPr="00C07FDB" w:rsidRDefault="00C07FDB" w:rsidP="00C07FDB">
            <w:pPr>
              <w:spacing w:line="360" w:lineRule="auto"/>
              <w:cnfStyle w:val="100000000000"/>
              <w:rPr>
                <w:rFonts w:ascii="Times New Roman" w:eastAsia="Times New Roman" w:hAnsi="Times New Roman" w:cs="Times New Roman"/>
                <w:b/>
                <w:bCs/>
                <w:sz w:val="24"/>
                <w:szCs w:val="24"/>
              </w:rPr>
            </w:pPr>
            <w:r w:rsidRPr="00C07FDB">
              <w:rPr>
                <w:rFonts w:ascii="Times New Roman" w:eastAsia="Times New Roman" w:hAnsi="Times New Roman" w:cs="Times New Roman"/>
                <w:b/>
                <w:bCs/>
                <w:sz w:val="24"/>
                <w:szCs w:val="24"/>
              </w:rPr>
              <w:t>6 months</w:t>
            </w:r>
          </w:p>
        </w:tc>
        <w:tc>
          <w:tcPr>
            <w:tcW w:w="1957" w:type="dxa"/>
          </w:tcPr>
          <w:p w:rsidR="00C07FDB" w:rsidRPr="00C07FDB" w:rsidRDefault="00C07FDB" w:rsidP="00C07FDB">
            <w:pPr>
              <w:spacing w:line="360" w:lineRule="auto"/>
              <w:cnfStyle w:val="100000000000"/>
              <w:rPr>
                <w:rFonts w:ascii="Times New Roman" w:eastAsia="Times New Roman" w:hAnsi="Times New Roman" w:cs="Times New Roman"/>
                <w:b/>
                <w:bCs/>
                <w:sz w:val="24"/>
                <w:szCs w:val="24"/>
              </w:rPr>
            </w:pPr>
            <w:r w:rsidRPr="00C07FDB">
              <w:rPr>
                <w:rFonts w:ascii="Times New Roman" w:eastAsia="Times New Roman" w:hAnsi="Times New Roman" w:cs="Times New Roman"/>
                <w:b/>
                <w:bCs/>
                <w:sz w:val="24"/>
                <w:szCs w:val="24"/>
              </w:rPr>
              <w:t>1 year</w:t>
            </w:r>
          </w:p>
        </w:tc>
        <w:tc>
          <w:tcPr>
            <w:tcW w:w="1958" w:type="dxa"/>
          </w:tcPr>
          <w:p w:rsidR="00C07FDB" w:rsidRPr="00C07FDB" w:rsidRDefault="00C07FDB" w:rsidP="00C07FDB">
            <w:pPr>
              <w:spacing w:line="360" w:lineRule="auto"/>
              <w:cnfStyle w:val="100000000000"/>
              <w:rPr>
                <w:rFonts w:ascii="Times New Roman" w:eastAsia="Times New Roman" w:hAnsi="Times New Roman" w:cs="Times New Roman"/>
                <w:b/>
                <w:bCs/>
                <w:sz w:val="24"/>
                <w:szCs w:val="24"/>
              </w:rPr>
            </w:pPr>
            <w:r w:rsidRPr="00C07FDB">
              <w:rPr>
                <w:rFonts w:ascii="Times New Roman" w:eastAsia="Times New Roman" w:hAnsi="Times New Roman" w:cs="Times New Roman"/>
                <w:b/>
                <w:bCs/>
                <w:sz w:val="24"/>
                <w:szCs w:val="24"/>
              </w:rPr>
              <w:t>3 years</w:t>
            </w:r>
          </w:p>
        </w:tc>
      </w:tr>
      <w:tr w:rsidR="00C07FDB" w:rsidRPr="00C07FDB" w:rsidTr="00C07FDB">
        <w:trPr>
          <w:cnfStyle w:val="000000100000"/>
        </w:trPr>
        <w:tc>
          <w:tcPr>
            <w:cnfStyle w:val="001000000000"/>
            <w:tcW w:w="1540" w:type="dxa"/>
          </w:tcPr>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Benchmark</w:t>
            </w:r>
          </w:p>
        </w:tc>
        <w:tc>
          <w:tcPr>
            <w:tcW w:w="1540"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-0.28%</w:t>
            </w:r>
          </w:p>
        </w:tc>
        <w:tc>
          <w:tcPr>
            <w:tcW w:w="1725"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5.25%</w:t>
            </w:r>
          </w:p>
        </w:tc>
        <w:tc>
          <w:tcPr>
            <w:tcW w:w="1957"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24.09%</w:t>
            </w:r>
          </w:p>
        </w:tc>
        <w:tc>
          <w:tcPr>
            <w:tcW w:w="1958"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45.88%</w:t>
            </w:r>
          </w:p>
        </w:tc>
      </w:tr>
      <w:tr w:rsidR="00C07FDB" w:rsidRPr="00C07FDB" w:rsidTr="00C07FDB">
        <w:tc>
          <w:tcPr>
            <w:cnfStyle w:val="001000000000"/>
            <w:tcW w:w="1540" w:type="dxa"/>
          </w:tcPr>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K70LTF</w:t>
            </w:r>
          </w:p>
        </w:tc>
        <w:tc>
          <w:tcPr>
            <w:tcW w:w="1540"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-1.65%</w:t>
            </w:r>
          </w:p>
        </w:tc>
        <w:tc>
          <w:tcPr>
            <w:tcW w:w="1725"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2.24%</w:t>
            </w:r>
          </w:p>
        </w:tc>
        <w:tc>
          <w:tcPr>
            <w:tcW w:w="1957"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15.73%</w:t>
            </w:r>
          </w:p>
        </w:tc>
        <w:tc>
          <w:tcPr>
            <w:tcW w:w="1958"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31.95%</w:t>
            </w:r>
          </w:p>
        </w:tc>
      </w:tr>
      <w:tr w:rsidR="00C07FDB" w:rsidRPr="00C07FDB" w:rsidTr="00C07FDB">
        <w:trPr>
          <w:cnfStyle w:val="000000100000"/>
        </w:trPr>
        <w:tc>
          <w:tcPr>
            <w:cnfStyle w:val="001000000000"/>
            <w:tcW w:w="1540" w:type="dxa"/>
          </w:tcPr>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B-LTF75</w:t>
            </w:r>
          </w:p>
        </w:tc>
        <w:tc>
          <w:tcPr>
            <w:tcW w:w="1540"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n/a</w:t>
            </w:r>
          </w:p>
        </w:tc>
        <w:tc>
          <w:tcPr>
            <w:tcW w:w="1725"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n/a</w:t>
            </w:r>
          </w:p>
        </w:tc>
        <w:tc>
          <w:tcPr>
            <w:tcW w:w="1957"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n/a</w:t>
            </w:r>
          </w:p>
        </w:tc>
        <w:tc>
          <w:tcPr>
            <w:tcW w:w="1958"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n/a</w:t>
            </w:r>
          </w:p>
        </w:tc>
      </w:tr>
      <w:tr w:rsidR="00C07FDB" w:rsidRPr="00C07FDB" w:rsidTr="00C07FDB">
        <w:tc>
          <w:tcPr>
            <w:cnfStyle w:val="001000000000"/>
            <w:tcW w:w="1540" w:type="dxa"/>
          </w:tcPr>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SCBLT1</w:t>
            </w:r>
          </w:p>
        </w:tc>
        <w:tc>
          <w:tcPr>
            <w:tcW w:w="1540"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-0.89%</w:t>
            </w:r>
          </w:p>
        </w:tc>
        <w:tc>
          <w:tcPr>
            <w:tcW w:w="1725"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3.16%</w:t>
            </w:r>
          </w:p>
        </w:tc>
        <w:tc>
          <w:tcPr>
            <w:tcW w:w="1957"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14.94%</w:t>
            </w:r>
          </w:p>
        </w:tc>
        <w:tc>
          <w:tcPr>
            <w:tcW w:w="1958" w:type="dxa"/>
          </w:tcPr>
          <w:p w:rsidR="00C07FDB" w:rsidRPr="00C07FDB" w:rsidRDefault="00C07FDB" w:rsidP="00C07FDB">
            <w:pPr>
              <w:spacing w:line="360" w:lineRule="auto"/>
              <w:cnfStyle w:val="0000000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30.91%</w:t>
            </w:r>
          </w:p>
        </w:tc>
      </w:tr>
      <w:tr w:rsidR="00C07FDB" w:rsidRPr="00C07FDB" w:rsidTr="00C07FDB">
        <w:trPr>
          <w:cnfStyle w:val="000000100000"/>
        </w:trPr>
        <w:tc>
          <w:tcPr>
            <w:cnfStyle w:val="001000000000"/>
            <w:tcW w:w="1540" w:type="dxa"/>
          </w:tcPr>
          <w:p w:rsidR="00C07FDB" w:rsidRPr="00C07FDB" w:rsidRDefault="00C07FDB" w:rsidP="00C07FDB">
            <w:pPr>
              <w:spacing w:line="360" w:lineRule="auto"/>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KTLF70/30</w:t>
            </w:r>
          </w:p>
        </w:tc>
        <w:tc>
          <w:tcPr>
            <w:tcW w:w="1540"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-0.35%</w:t>
            </w:r>
          </w:p>
        </w:tc>
        <w:tc>
          <w:tcPr>
            <w:tcW w:w="1725"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-3.97%</w:t>
            </w:r>
          </w:p>
        </w:tc>
        <w:tc>
          <w:tcPr>
            <w:tcW w:w="1957"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10.34%</w:t>
            </w:r>
          </w:p>
        </w:tc>
        <w:tc>
          <w:tcPr>
            <w:tcW w:w="1958" w:type="dxa"/>
          </w:tcPr>
          <w:p w:rsidR="00C07FDB" w:rsidRPr="00C07FDB" w:rsidRDefault="00C07FDB" w:rsidP="00C07FDB">
            <w:pPr>
              <w:spacing w:line="360" w:lineRule="auto"/>
              <w:cnfStyle w:val="000000100000"/>
              <w:rPr>
                <w:rFonts w:ascii="Times New Roman" w:eastAsia="Times New Roman" w:hAnsi="Times New Roman" w:cs="Times New Roman"/>
                <w:sz w:val="24"/>
                <w:szCs w:val="24"/>
              </w:rPr>
            </w:pPr>
            <w:r w:rsidRPr="00C07FDB">
              <w:rPr>
                <w:rFonts w:ascii="Times New Roman" w:eastAsia="Times New Roman" w:hAnsi="Times New Roman" w:cs="Times New Roman"/>
                <w:sz w:val="24"/>
                <w:szCs w:val="24"/>
              </w:rPr>
              <w:t>34.55%</w:t>
            </w:r>
          </w:p>
        </w:tc>
      </w:tr>
    </w:tbl>
    <w:p w:rsidR="00C07FDB" w:rsidRPr="00C07FDB" w:rsidRDefault="00C07FDB" w:rsidP="00C07FDB">
      <w:pPr>
        <w:spacing w:after="0" w:line="360" w:lineRule="auto"/>
        <w:ind w:firstLine="720"/>
        <w:rPr>
          <w:rFonts w:ascii="Times New Roman" w:eastAsia="Times New Roman" w:hAnsi="Times New Roman" w:cs="Times New Roman"/>
          <w:color w:val="000000"/>
          <w:sz w:val="24"/>
          <w:szCs w:val="24"/>
        </w:rPr>
      </w:pPr>
    </w:p>
    <w:p w:rsidR="00C07FDB" w:rsidRPr="00C07FDB" w:rsidRDefault="00C07FDB" w:rsidP="00C07FDB">
      <w:pPr>
        <w:spacing w:after="0" w:line="360" w:lineRule="auto"/>
        <w:ind w:firstLine="720"/>
        <w:rPr>
          <w:rFonts w:ascii="Times New Roman" w:eastAsia="Times New Roman" w:hAnsi="Times New Roman" w:cs="Times New Roman"/>
          <w:color w:val="000000"/>
          <w:sz w:val="24"/>
          <w:szCs w:val="24"/>
        </w:rPr>
      </w:pP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It seems like all the funds perform quite poor comparing to the SET benchmark. However, in order to choose the best fund to invest, we need to take into account time horizon of the investment. LTF tax shield policy states that to receive tax shield benefit, investor must hold the fund for at least five years. So we take into account 3-year return. In this case, the best fund to choose is Krung Thai Bank’s KTLF70/30. In addition to the highest return, it is the only fund which does not have back end load. </w:t>
      </w:r>
    </w:p>
    <w:p w:rsidR="00C07FDB" w:rsidRPr="00C07FDB" w:rsidRDefault="00C07FDB" w:rsidP="00C07FDB">
      <w:pPr>
        <w:spacing w:after="0" w:line="360" w:lineRule="auto"/>
        <w:ind w:firstLine="720"/>
        <w:rPr>
          <w:rFonts w:ascii="Times New Roman" w:eastAsia="Times New Roman" w:hAnsi="Times New Roman" w:cs="Times New Roman"/>
          <w:sz w:val="24"/>
          <w:szCs w:val="24"/>
        </w:rPr>
      </w:pPr>
      <w:r w:rsidRPr="00C07FDB">
        <w:rPr>
          <w:rFonts w:ascii="Times New Roman" w:eastAsia="Times New Roman" w:hAnsi="Times New Roman" w:cs="Times New Roman"/>
          <w:color w:val="000000"/>
          <w:sz w:val="24"/>
          <w:szCs w:val="24"/>
        </w:rPr>
        <w:t xml:space="preserve">To sum up, saving deposit give less return compared to other methods of saving and the return will deduct by tax too. However, it give customers more liquidity and less risk or safer for your money. The second one is fixed deposit. This one yields higher rate of return compared to saving deposit but the liquidity is less because the money </w:t>
      </w:r>
      <w:proofErr w:type="gramStart"/>
      <w:r w:rsidRPr="00C07FDB">
        <w:rPr>
          <w:rFonts w:ascii="Times New Roman" w:eastAsia="Times New Roman" w:hAnsi="Times New Roman" w:cs="Times New Roman"/>
          <w:color w:val="000000"/>
          <w:sz w:val="24"/>
          <w:szCs w:val="24"/>
        </w:rPr>
        <w:t>have</w:t>
      </w:r>
      <w:proofErr w:type="gramEnd"/>
      <w:r w:rsidRPr="00C07FDB">
        <w:rPr>
          <w:rFonts w:ascii="Times New Roman" w:eastAsia="Times New Roman" w:hAnsi="Times New Roman" w:cs="Times New Roman"/>
          <w:color w:val="000000"/>
          <w:sz w:val="24"/>
          <w:szCs w:val="24"/>
        </w:rPr>
        <w:t xml:space="preserve"> to stay with the </w:t>
      </w:r>
      <w:r w:rsidRPr="00C07FDB">
        <w:rPr>
          <w:rFonts w:ascii="Times New Roman" w:eastAsia="Times New Roman" w:hAnsi="Times New Roman" w:cs="Times New Roman"/>
          <w:color w:val="000000"/>
          <w:sz w:val="24"/>
          <w:szCs w:val="24"/>
        </w:rPr>
        <w:lastRenderedPageBreak/>
        <w:t xml:space="preserve">bank until the maturity. Life insurance is quite different from the first two. The return is not that higher compared to the fixed deposit but it </w:t>
      </w:r>
      <w:proofErr w:type="gramStart"/>
      <w:r w:rsidRPr="00C07FDB">
        <w:rPr>
          <w:rFonts w:ascii="Times New Roman" w:eastAsia="Times New Roman" w:hAnsi="Times New Roman" w:cs="Times New Roman"/>
          <w:color w:val="000000"/>
          <w:sz w:val="24"/>
          <w:szCs w:val="24"/>
        </w:rPr>
        <w:t>give</w:t>
      </w:r>
      <w:proofErr w:type="gramEnd"/>
      <w:r w:rsidRPr="00C07FDB">
        <w:rPr>
          <w:rFonts w:ascii="Times New Roman" w:eastAsia="Times New Roman" w:hAnsi="Times New Roman" w:cs="Times New Roman"/>
          <w:color w:val="000000"/>
          <w:sz w:val="24"/>
          <w:szCs w:val="24"/>
        </w:rPr>
        <w:t xml:space="preserve"> the tax shield which means the return is not taxed by the government. Life insurance is considered a long term investment since you have to put money into the bank for many years unlike the other </w:t>
      </w:r>
      <w:proofErr w:type="spellStart"/>
      <w:r w:rsidRPr="00C07FDB">
        <w:rPr>
          <w:rFonts w:ascii="Times New Roman" w:eastAsia="Times New Roman" w:hAnsi="Times New Roman" w:cs="Times New Roman"/>
          <w:color w:val="000000"/>
          <w:sz w:val="24"/>
          <w:szCs w:val="24"/>
        </w:rPr>
        <w:t>methods.Lastly</w:t>
      </w:r>
      <w:proofErr w:type="spellEnd"/>
      <w:r w:rsidRPr="00C07FDB">
        <w:rPr>
          <w:rFonts w:ascii="Times New Roman" w:eastAsia="Times New Roman" w:hAnsi="Times New Roman" w:cs="Times New Roman"/>
          <w:color w:val="000000"/>
          <w:sz w:val="24"/>
          <w:szCs w:val="24"/>
        </w:rPr>
        <w:t>, the LTF give the highest return also with the tax shield. Nevertheless, it is the riskiest method because other methods have some guarantee by the government or DPA. These choices have different characteristics so consumers can make choice due to their preference to save their money.</w:t>
      </w:r>
    </w:p>
    <w:p w:rsidR="00C07FDB" w:rsidRPr="00C07FDB" w:rsidRDefault="00C07FDB" w:rsidP="00C07FDB">
      <w:pPr>
        <w:spacing w:after="280" w:line="360" w:lineRule="auto"/>
        <w:rPr>
          <w:rFonts w:ascii="Times New Roman" w:eastAsia="Times New Roman" w:hAnsi="Times New Roman" w:cs="Times New Roman"/>
          <w:i/>
          <w:iCs/>
          <w:sz w:val="24"/>
          <w:szCs w:val="24"/>
        </w:rPr>
      </w:pPr>
      <w:r w:rsidRPr="00C07FDB">
        <w:rPr>
          <w:rFonts w:ascii="Times New Roman" w:eastAsia="Times New Roman" w:hAnsi="Times New Roman" w:cs="Times New Roman"/>
          <w:sz w:val="24"/>
          <w:szCs w:val="24"/>
        </w:rPr>
        <w:br/>
      </w:r>
      <w:r w:rsidRPr="00C07FDB">
        <w:rPr>
          <w:rFonts w:ascii="Times New Roman" w:eastAsia="Times New Roman" w:hAnsi="Times New Roman" w:cs="Times New Roman"/>
          <w:i/>
          <w:iCs/>
          <w:color w:val="000000"/>
          <w:sz w:val="24"/>
          <w:szCs w:val="24"/>
        </w:rPr>
        <w:t>Factors that a person might consider when comparing costs and benefits of various savings plans:</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Interest rates</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Liquidity</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Safety</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Convenience</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Fees, charges, and penalties</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 xml:space="preserve">Balance requirement </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Reliability of particular insurance company</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Premium</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Sum insured</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Coverage</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Deferred payment</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Payment period</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Degree of risk</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Rate and stability of return</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Historical return</w:t>
      </w:r>
    </w:p>
    <w:p w:rsidR="00C07FDB" w:rsidRPr="00C07FDB" w:rsidRDefault="00C07FDB" w:rsidP="00C07FDB">
      <w:pPr>
        <w:numPr>
          <w:ilvl w:val="0"/>
          <w:numId w:val="25"/>
        </w:numPr>
        <w:spacing w:after="0" w:line="360" w:lineRule="auto"/>
        <w:textAlignment w:val="baseline"/>
        <w:rPr>
          <w:rFonts w:ascii="Times New Roman" w:eastAsia="Times New Roman" w:hAnsi="Times New Roman" w:cs="Times New Roman"/>
          <w:color w:val="000000"/>
          <w:sz w:val="24"/>
          <w:szCs w:val="24"/>
        </w:rPr>
      </w:pPr>
      <w:r w:rsidRPr="00C07FDB">
        <w:rPr>
          <w:rFonts w:ascii="Times New Roman" w:eastAsia="Times New Roman" w:hAnsi="Times New Roman" w:cs="Times New Roman"/>
          <w:color w:val="000000"/>
          <w:sz w:val="24"/>
          <w:szCs w:val="24"/>
        </w:rPr>
        <w:t>Investment objectives that suit one’s acceptable risks</w:t>
      </w:r>
    </w:p>
    <w:p w:rsidR="00BF7D84" w:rsidRPr="00C07FDB" w:rsidRDefault="00BF7D84" w:rsidP="00C07FDB">
      <w:pPr>
        <w:spacing w:line="360" w:lineRule="auto"/>
        <w:rPr>
          <w:rFonts w:ascii="Times New Roman" w:hAnsi="Times New Roman" w:cs="Times New Roman"/>
          <w:sz w:val="24"/>
          <w:szCs w:val="24"/>
        </w:rPr>
      </w:pPr>
    </w:p>
    <w:sectPr w:rsidR="00BF7D84" w:rsidRPr="00C07FDB" w:rsidSect="00BF7D8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3565"/>
    <w:multiLevelType w:val="multilevel"/>
    <w:tmpl w:val="466C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C1B57"/>
    <w:multiLevelType w:val="multilevel"/>
    <w:tmpl w:val="2BB0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B410C5"/>
    <w:multiLevelType w:val="multilevel"/>
    <w:tmpl w:val="140C5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040B5B"/>
    <w:multiLevelType w:val="multilevel"/>
    <w:tmpl w:val="AB4A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DE149F"/>
    <w:multiLevelType w:val="multilevel"/>
    <w:tmpl w:val="93D4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7F440A"/>
    <w:multiLevelType w:val="multilevel"/>
    <w:tmpl w:val="C682F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407C04"/>
    <w:multiLevelType w:val="multilevel"/>
    <w:tmpl w:val="EE96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EC4A63"/>
    <w:multiLevelType w:val="multilevel"/>
    <w:tmpl w:val="DAB60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3E44F2"/>
    <w:multiLevelType w:val="multilevel"/>
    <w:tmpl w:val="709A5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8D5B17"/>
    <w:multiLevelType w:val="multilevel"/>
    <w:tmpl w:val="A4A27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EB6314"/>
    <w:multiLevelType w:val="multilevel"/>
    <w:tmpl w:val="5E36C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3278BF"/>
    <w:multiLevelType w:val="multilevel"/>
    <w:tmpl w:val="1B88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5782857"/>
    <w:multiLevelType w:val="multilevel"/>
    <w:tmpl w:val="7ABC1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397596"/>
    <w:multiLevelType w:val="multilevel"/>
    <w:tmpl w:val="AA7E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EC3851"/>
    <w:multiLevelType w:val="multilevel"/>
    <w:tmpl w:val="531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E0582B"/>
    <w:multiLevelType w:val="multilevel"/>
    <w:tmpl w:val="7FDC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E7712"/>
    <w:multiLevelType w:val="multilevel"/>
    <w:tmpl w:val="8B3E4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B8072A"/>
    <w:multiLevelType w:val="multilevel"/>
    <w:tmpl w:val="316C6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0A53E89"/>
    <w:multiLevelType w:val="multilevel"/>
    <w:tmpl w:val="A8FE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211989"/>
    <w:multiLevelType w:val="multilevel"/>
    <w:tmpl w:val="A52E62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C59471B"/>
    <w:multiLevelType w:val="multilevel"/>
    <w:tmpl w:val="2700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5"/>
    <w:lvlOverride w:ilvl="1">
      <w:lvl w:ilvl="1">
        <w:numFmt w:val="bullet"/>
        <w:lvlText w:val=""/>
        <w:lvlJc w:val="left"/>
        <w:pPr>
          <w:tabs>
            <w:tab w:val="num" w:pos="1440"/>
          </w:tabs>
          <w:ind w:left="1440" w:hanging="360"/>
        </w:pPr>
        <w:rPr>
          <w:rFonts w:ascii="Symbol" w:hAnsi="Symbol" w:hint="default"/>
          <w:sz w:val="20"/>
        </w:rPr>
      </w:lvl>
    </w:lvlOverride>
  </w:num>
  <w:num w:numId="4">
    <w:abstractNumId w:val="19"/>
  </w:num>
  <w:num w:numId="5">
    <w:abstractNumId w:val="19"/>
    <w:lvlOverride w:ilvl="1">
      <w:lvl w:ilvl="1">
        <w:numFmt w:val="bullet"/>
        <w:lvlText w:val=""/>
        <w:lvlJc w:val="left"/>
        <w:pPr>
          <w:tabs>
            <w:tab w:val="num" w:pos="1440"/>
          </w:tabs>
          <w:ind w:left="1440" w:hanging="360"/>
        </w:pPr>
        <w:rPr>
          <w:rFonts w:ascii="Symbol" w:hAnsi="Symbol" w:hint="default"/>
          <w:sz w:val="20"/>
        </w:rPr>
      </w:lvl>
    </w:lvlOverride>
  </w:num>
  <w:num w:numId="6">
    <w:abstractNumId w:val="16"/>
  </w:num>
  <w:num w:numId="7">
    <w:abstractNumId w:val="16"/>
    <w:lvlOverride w:ilvl="1">
      <w:lvl w:ilvl="1">
        <w:numFmt w:val="bullet"/>
        <w:lvlText w:val=""/>
        <w:lvlJc w:val="left"/>
        <w:pPr>
          <w:tabs>
            <w:tab w:val="num" w:pos="1440"/>
          </w:tabs>
          <w:ind w:left="1440" w:hanging="360"/>
        </w:pPr>
        <w:rPr>
          <w:rFonts w:ascii="Symbol" w:hAnsi="Symbol" w:hint="default"/>
          <w:sz w:val="20"/>
        </w:rPr>
      </w:lvl>
    </w:lvlOverride>
  </w:num>
  <w:num w:numId="8">
    <w:abstractNumId w:val="12"/>
  </w:num>
  <w:num w:numId="9">
    <w:abstractNumId w:val="12"/>
    <w:lvlOverride w:ilvl="1">
      <w:lvl w:ilvl="1">
        <w:numFmt w:val="bullet"/>
        <w:lvlText w:val=""/>
        <w:lvlJc w:val="left"/>
        <w:pPr>
          <w:tabs>
            <w:tab w:val="num" w:pos="1440"/>
          </w:tabs>
          <w:ind w:left="1440" w:hanging="360"/>
        </w:pPr>
        <w:rPr>
          <w:rFonts w:ascii="Symbol" w:hAnsi="Symbol" w:hint="default"/>
          <w:sz w:val="20"/>
        </w:rPr>
      </w:lvl>
    </w:lvlOverride>
  </w:num>
  <w:num w:numId="10">
    <w:abstractNumId w:val="0"/>
  </w:num>
  <w:num w:numId="11">
    <w:abstractNumId w:val="8"/>
  </w:num>
  <w:num w:numId="12">
    <w:abstractNumId w:val="3"/>
  </w:num>
  <w:num w:numId="13">
    <w:abstractNumId w:val="20"/>
  </w:num>
  <w:num w:numId="14">
    <w:abstractNumId w:val="15"/>
  </w:num>
  <w:num w:numId="15">
    <w:abstractNumId w:val="10"/>
  </w:num>
  <w:num w:numId="16">
    <w:abstractNumId w:val="9"/>
  </w:num>
  <w:num w:numId="17">
    <w:abstractNumId w:val="4"/>
  </w:num>
  <w:num w:numId="18">
    <w:abstractNumId w:val="13"/>
  </w:num>
  <w:num w:numId="19">
    <w:abstractNumId w:val="2"/>
  </w:num>
  <w:num w:numId="20">
    <w:abstractNumId w:val="6"/>
  </w:num>
  <w:num w:numId="21">
    <w:abstractNumId w:val="14"/>
  </w:num>
  <w:num w:numId="22">
    <w:abstractNumId w:val="1"/>
  </w:num>
  <w:num w:numId="23">
    <w:abstractNumId w:val="7"/>
  </w:num>
  <w:num w:numId="24">
    <w:abstractNumId w:val="18"/>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applyBreakingRules/>
  </w:compat>
  <w:rsids>
    <w:rsidRoot w:val="00C07FDB"/>
    <w:rsid w:val="005E59DC"/>
    <w:rsid w:val="00BF7D84"/>
    <w:rsid w:val="00C07FD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D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7FDB"/>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DefaultParagraphFont"/>
    <w:rsid w:val="00C07FDB"/>
  </w:style>
  <w:style w:type="table" w:styleId="MediumShading1-Accent2">
    <w:name w:val="Medium Shading 1 Accent 2"/>
    <w:basedOn w:val="TableNormal"/>
    <w:uiPriority w:val="63"/>
    <w:rsid w:val="00C07FDB"/>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List1-Accent2">
    <w:name w:val="Medium List 1 Accent 2"/>
    <w:basedOn w:val="TableNormal"/>
    <w:uiPriority w:val="65"/>
    <w:rsid w:val="00C07FDB"/>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s>
</file>

<file path=word/webSettings.xml><?xml version="1.0" encoding="utf-8"?>
<w:webSettings xmlns:r="http://schemas.openxmlformats.org/officeDocument/2006/relationships" xmlns:w="http://schemas.openxmlformats.org/wordprocessingml/2006/main">
  <w:divs>
    <w:div w:id="371806152">
      <w:bodyDiv w:val="1"/>
      <w:marLeft w:val="0"/>
      <w:marRight w:val="0"/>
      <w:marTop w:val="0"/>
      <w:marBottom w:val="0"/>
      <w:divBdr>
        <w:top w:val="none" w:sz="0" w:space="0" w:color="auto"/>
        <w:left w:val="none" w:sz="0" w:space="0" w:color="auto"/>
        <w:bottom w:val="none" w:sz="0" w:space="0" w:color="auto"/>
        <w:right w:val="none" w:sz="0" w:space="0" w:color="auto"/>
      </w:divBdr>
      <w:divsChild>
        <w:div w:id="1564370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4371</Words>
  <Characters>24916</Characters>
  <Application>Microsoft Office Word</Application>
  <DocSecurity>0</DocSecurity>
  <Lines>207</Lines>
  <Paragraphs>58</Paragraphs>
  <ScaleCrop>false</ScaleCrop>
  <Company/>
  <LinksUpToDate>false</LinksUpToDate>
  <CharactersWithSpaces>29229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2015-02-21T17:54:00Z</dcterms:created>
  <dcterms:modified xsi:type="dcterms:W3CDTF">2015-02-21T17:54:00Z</dcterms:modified>
</cp:coreProperties>
</file>