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AD928" w14:textId="77777777" w:rsidR="0042207A" w:rsidRDefault="0042207A">
      <w:r>
        <w:t xml:space="preserve">Madelyn Brown </w:t>
      </w:r>
    </w:p>
    <w:p w14:paraId="4239A6DA" w14:textId="77777777" w:rsidR="0042207A" w:rsidRDefault="0042207A" w:rsidP="0042207A">
      <w:pPr>
        <w:jc w:val="center"/>
      </w:pPr>
      <w:r>
        <w:t>Development Microeconomics</w:t>
      </w:r>
    </w:p>
    <w:p w14:paraId="38C2D270" w14:textId="77777777" w:rsidR="00F45FEB" w:rsidRDefault="00C10698">
      <w:r>
        <w:rPr>
          <w:noProof/>
        </w:rPr>
        <w:drawing>
          <wp:inline distT="0" distB="0" distL="0" distR="0" wp14:anchorId="3B1A9E07" wp14:editId="072D5693">
            <wp:extent cx="4597400" cy="2806700"/>
            <wp:effectExtent l="0" t="0" r="12700" b="12700"/>
            <wp:docPr id="1" name="Chart 1">
              <a:extLst xmlns:a="http://schemas.openxmlformats.org/drawingml/2006/main">
                <a:ext uri="{FF2B5EF4-FFF2-40B4-BE49-F238E27FC236}">
                  <a16:creationId xmlns:a16="http://schemas.microsoft.com/office/drawing/2014/main" id="{CCD47CB1-FD15-9540-B8BC-DD1AB27370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250FD2FA" w14:textId="77777777" w:rsidR="00C10698" w:rsidRDefault="00C10698"/>
    <w:p w14:paraId="6B1D94D0" w14:textId="54D4743F" w:rsidR="00C10698" w:rsidRDefault="00C10698">
      <w:r>
        <w:t xml:space="preserve">I was surprised to see that </w:t>
      </w:r>
      <w:r w:rsidR="00DC5110">
        <w:t xml:space="preserve">there is not a gradual increase in the percent of population that has access to electricity as GNI increase, but rather there is a drastic incline in the initial growth. It seems that the vast majority of countries have 100% access when GNI per capita is about 20,000. Only the countries with very low employee compensation and investments have low </w:t>
      </w:r>
      <w:commentRangeStart w:id="0"/>
      <w:r w:rsidR="00DC5110">
        <w:t>percentiles</w:t>
      </w:r>
      <w:commentRangeEnd w:id="0"/>
      <w:r w:rsidR="00BD6A49">
        <w:rPr>
          <w:rStyle w:val="CommentReference"/>
        </w:rPr>
        <w:commentReference w:id="0"/>
      </w:r>
      <w:r w:rsidR="00DC5110">
        <w:t xml:space="preserve">, but the increase in electricity across countries plateaus almost immediately after crossing the threshold. The indicator is not necessarily the </w:t>
      </w:r>
      <w:r w:rsidR="0042207A">
        <w:t>best</w:t>
      </w:r>
      <w:r w:rsidR="00DC5110">
        <w:t xml:space="preserve"> because there isn’t a continuous positive sloping relationship meaning that as the GNI</w:t>
      </w:r>
      <w:r w:rsidR="000E17E5">
        <w:t xml:space="preserve"> </w:t>
      </w:r>
      <w:r w:rsidR="000E17E5">
        <w:rPr>
          <w:color w:val="FF0000"/>
        </w:rPr>
        <w:t>per capita</w:t>
      </w:r>
      <w:bookmarkStart w:id="1" w:name="_GoBack"/>
      <w:bookmarkEnd w:id="1"/>
      <w:r w:rsidR="00DC5110">
        <w:t xml:space="preserve"> gets higher tha</w:t>
      </w:r>
      <w:r w:rsidR="00BD6A49" w:rsidRPr="00BD6A49">
        <w:rPr>
          <w:color w:val="FF0000"/>
        </w:rPr>
        <w:t>n</w:t>
      </w:r>
      <w:r w:rsidR="00DC5110">
        <w:t xml:space="preserve"> the certain point, the % does not as well.  </w:t>
      </w:r>
    </w:p>
    <w:p w14:paraId="68E2E127" w14:textId="77777777" w:rsidR="00C10698" w:rsidRDefault="00C10698"/>
    <w:p w14:paraId="62E47D17" w14:textId="77777777" w:rsidR="00C10698" w:rsidRDefault="00C10698">
      <w:r>
        <w:rPr>
          <w:noProof/>
        </w:rPr>
        <w:drawing>
          <wp:inline distT="0" distB="0" distL="0" distR="0" wp14:anchorId="715F0BAF" wp14:editId="665020F3">
            <wp:extent cx="5257800" cy="2949575"/>
            <wp:effectExtent l="0" t="0" r="12700" b="9525"/>
            <wp:docPr id="2" name="Chart 2">
              <a:extLst xmlns:a="http://schemas.openxmlformats.org/drawingml/2006/main">
                <a:ext uri="{FF2B5EF4-FFF2-40B4-BE49-F238E27FC236}">
                  <a16:creationId xmlns:a16="http://schemas.microsoft.com/office/drawing/2014/main" id="{4101D278-4F3D-434D-AF37-C6C6C24A03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9FD915" w14:textId="77777777" w:rsidR="00DC5110" w:rsidRDefault="00DC5110"/>
    <w:p w14:paraId="7957F2E3" w14:textId="77777777" w:rsidR="00DC5110" w:rsidRDefault="00DC5110">
      <w:r>
        <w:lastRenderedPageBreak/>
        <w:t xml:space="preserve">*I was unable to change </w:t>
      </w:r>
      <w:commentRangeStart w:id="2"/>
      <w:r>
        <w:t>the labels for the legend</w:t>
      </w:r>
      <w:commentRangeEnd w:id="2"/>
      <w:r w:rsidR="00842098">
        <w:rPr>
          <w:rStyle w:val="CommentReference"/>
        </w:rPr>
        <w:commentReference w:id="2"/>
      </w:r>
      <w:r>
        <w:t xml:space="preserve">, but series one is indicative of data collected from The United States, series two reflects Thailand, and Series 3 reflects China. </w:t>
      </w:r>
    </w:p>
    <w:p w14:paraId="3E0DDCD6" w14:textId="77777777" w:rsidR="00DC5110" w:rsidRDefault="00DC5110">
      <w:r>
        <w:t xml:space="preserve">In the past 25 years the percent of revenue taxed has fluctuated greatly for all three countries, but there is not a general trend that is followed. However, the United States has remained the country of the three with the highest taxes, followed by Thailand, and then China, and this has not waivered. Within the countries themselves, </w:t>
      </w:r>
      <w:r w:rsidR="0042207A">
        <w:t>there has been a deviation of around 10 percent throughout time, but the outcomes have regulated, staying near the initial percentages.</w:t>
      </w:r>
    </w:p>
    <w:p w14:paraId="34DDC6A6" w14:textId="4FC21518" w:rsidR="00DC5110" w:rsidRDefault="001838DE">
      <w:pPr>
        <w:rPr>
          <w:color w:val="FF0000"/>
        </w:rPr>
      </w:pPr>
      <w:r>
        <w:rPr>
          <w:color w:val="FF0000"/>
        </w:rPr>
        <w:t>&gt;&gt; I guess this variable is to show proportion of (government) revenue from taxes on income, profits and capital gains. Normally, government</w:t>
      </w:r>
      <w:r w:rsidR="00982A1E">
        <w:rPr>
          <w:color w:val="FF0000"/>
        </w:rPr>
        <w:t xml:space="preserve"> has many sources of revenue. Implication of this sources of revenue is also linked to income distribution and redistribution policy. (Higher proportion of taxes from people’s income could reduce income inequality.)</w:t>
      </w:r>
    </w:p>
    <w:p w14:paraId="63B0191A" w14:textId="4137E173" w:rsidR="00982A1E" w:rsidRPr="001838DE" w:rsidRDefault="00982A1E">
      <w:pPr>
        <w:rPr>
          <w:color w:val="FF0000"/>
          <w:cs/>
          <w:lang w:bidi="th-TH"/>
        </w:rPr>
      </w:pPr>
      <w:r>
        <w:rPr>
          <w:color w:val="FF0000"/>
          <w:lang w:bidi="th-TH"/>
        </w:rPr>
        <w:t>(Well, the second graph represents the trend (across time – better use the x-axis as the actual year), it’s better to plot the data using line graph.)</w:t>
      </w:r>
    </w:p>
    <w:sectPr w:rsidR="00982A1E" w:rsidRPr="001838DE" w:rsidSect="00AD4DB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yanee" w:date="2019-02-06T12:18:00Z" w:initials="CC">
    <w:p w14:paraId="71382AD6" w14:textId="27EB66FE" w:rsidR="00BD6A49" w:rsidRDefault="00BD6A49">
      <w:pPr>
        <w:pStyle w:val="CommentText"/>
      </w:pPr>
      <w:r>
        <w:rPr>
          <w:rStyle w:val="CommentReference"/>
        </w:rPr>
        <w:annotationRef/>
      </w:r>
      <w:r>
        <w:t>“Percentiles” is not the same as “percentage”</w:t>
      </w:r>
    </w:p>
    <w:p w14:paraId="0CDAE229" w14:textId="6B0E54BA" w:rsidR="00BD6A49" w:rsidRDefault="00BD6A49">
      <w:pPr>
        <w:pStyle w:val="CommentText"/>
      </w:pPr>
      <w:r>
        <w:t>[Percentiles need to link with ‘distribution’]</w:t>
      </w:r>
    </w:p>
    <w:p w14:paraId="3D15B38A" w14:textId="5EF9958F" w:rsidR="00BD6A49" w:rsidRDefault="00BD6A49">
      <w:pPr>
        <w:pStyle w:val="CommentText"/>
      </w:pPr>
      <w:r>
        <w:t>Do you want to say that the countries with low income and investment have low percentage of population access to electricity?</w:t>
      </w:r>
    </w:p>
  </w:comment>
  <w:comment w:id="2" w:author="Chayanee" w:date="2019-02-06T12:21:00Z" w:initials="CC">
    <w:p w14:paraId="7E3E481B" w14:textId="77777777" w:rsidR="00842098" w:rsidRDefault="00842098">
      <w:pPr>
        <w:pStyle w:val="CommentText"/>
      </w:pPr>
      <w:r>
        <w:rPr>
          <w:rStyle w:val="CommentReference"/>
        </w:rPr>
        <w:annotationRef/>
      </w:r>
      <w:r>
        <w:t>Did you do in Excel?</w:t>
      </w:r>
    </w:p>
    <w:p w14:paraId="0FAD7ECE" w14:textId="6BE23190" w:rsidR="00842098" w:rsidRDefault="00842098">
      <w:pPr>
        <w:pStyle w:val="CommentText"/>
      </w:pPr>
      <w:r>
        <w:t>Then you can just put the variable name in your data series as the country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15B38A" w15:done="0"/>
  <w15:commentEx w15:paraId="0FAD7EC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15B38A" w16cid:durableId="20054F13"/>
  <w16cid:commentId w16cid:paraId="0FAD7ECE" w16cid:durableId="20054FD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yanee">
    <w15:presenceInfo w15:providerId="None" w15:userId="Chayan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698"/>
    <w:rsid w:val="000E17E5"/>
    <w:rsid w:val="001838DE"/>
    <w:rsid w:val="0042207A"/>
    <w:rsid w:val="00842098"/>
    <w:rsid w:val="008E739C"/>
    <w:rsid w:val="00982A1E"/>
    <w:rsid w:val="00AD4DB9"/>
    <w:rsid w:val="00BB72A6"/>
    <w:rsid w:val="00BD6A49"/>
    <w:rsid w:val="00C10698"/>
    <w:rsid w:val="00DC511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6C32F994"/>
  <w15:chartTrackingRefBased/>
  <w15:docId w15:val="{D1DC94F4-7608-484F-8A11-6CD804BD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D6A49"/>
    <w:rPr>
      <w:sz w:val="16"/>
      <w:szCs w:val="16"/>
    </w:rPr>
  </w:style>
  <w:style w:type="paragraph" w:styleId="CommentText">
    <w:name w:val="annotation text"/>
    <w:basedOn w:val="Normal"/>
    <w:link w:val="CommentTextChar"/>
    <w:uiPriority w:val="99"/>
    <w:semiHidden/>
    <w:unhideWhenUsed/>
    <w:rsid w:val="00BD6A49"/>
    <w:rPr>
      <w:sz w:val="20"/>
      <w:szCs w:val="20"/>
    </w:rPr>
  </w:style>
  <w:style w:type="character" w:customStyle="1" w:styleId="CommentTextChar">
    <w:name w:val="Comment Text Char"/>
    <w:basedOn w:val="DefaultParagraphFont"/>
    <w:link w:val="CommentText"/>
    <w:uiPriority w:val="99"/>
    <w:semiHidden/>
    <w:rsid w:val="00BD6A49"/>
    <w:rPr>
      <w:sz w:val="20"/>
      <w:szCs w:val="20"/>
    </w:rPr>
  </w:style>
  <w:style w:type="paragraph" w:styleId="CommentSubject">
    <w:name w:val="annotation subject"/>
    <w:basedOn w:val="CommentText"/>
    <w:next w:val="CommentText"/>
    <w:link w:val="CommentSubjectChar"/>
    <w:uiPriority w:val="99"/>
    <w:semiHidden/>
    <w:unhideWhenUsed/>
    <w:rsid w:val="00BD6A49"/>
    <w:rPr>
      <w:b/>
      <w:bCs/>
    </w:rPr>
  </w:style>
  <w:style w:type="character" w:customStyle="1" w:styleId="CommentSubjectChar">
    <w:name w:val="Comment Subject Char"/>
    <w:basedOn w:val="CommentTextChar"/>
    <w:link w:val="CommentSubject"/>
    <w:uiPriority w:val="99"/>
    <w:semiHidden/>
    <w:rsid w:val="00BD6A49"/>
    <w:rPr>
      <w:b/>
      <w:bCs/>
      <w:sz w:val="20"/>
      <w:szCs w:val="20"/>
    </w:rPr>
  </w:style>
  <w:style w:type="paragraph" w:styleId="BalloonText">
    <w:name w:val="Balloon Text"/>
    <w:basedOn w:val="Normal"/>
    <w:link w:val="BalloonTextChar"/>
    <w:uiPriority w:val="99"/>
    <w:semiHidden/>
    <w:unhideWhenUsed/>
    <w:rsid w:val="00BD6A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D6A4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webSettings" Target="webSettings.xml"/><Relationship Id="rId7"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chart" Target="charts/chart1.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maddybrown/Downloads/Data_Extract_From_World_Development_Indicators%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ddybrown/Downloads/Data_Extract_From_World_Development_Indicators%20(6).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70" baseline="0">
                <a:solidFill>
                  <a:schemeClr val="dk1">
                    <a:lumMod val="50000"/>
                    <a:lumOff val="50000"/>
                  </a:schemeClr>
                </a:solidFill>
                <a:latin typeface="+mn-lt"/>
                <a:ea typeface="+mn-ea"/>
                <a:cs typeface="+mn-cs"/>
              </a:defRPr>
            </a:pPr>
            <a:r>
              <a:rPr lang="en-US" sz="1400"/>
              <a:t>Population with Access to Electricity Per </a:t>
            </a:r>
            <a:r>
              <a:rPr lang="en-US" sz="1400" baseline="0"/>
              <a:t> Capita Income</a:t>
            </a:r>
            <a:endParaRPr lang="en-US" sz="1400"/>
          </a:p>
        </c:rich>
      </c:tx>
      <c:overlay val="0"/>
      <c:spPr>
        <a:noFill/>
        <a:ln>
          <a:noFill/>
        </a:ln>
        <a:effectLst/>
      </c:spPr>
      <c:txPr>
        <a:bodyPr rot="0" spcFirstLastPara="1" vertOverflow="ellipsis" vert="horz" wrap="square" anchor="ctr" anchorCtr="1"/>
        <a:lstStyle/>
        <a:p>
          <a:pPr>
            <a:defRPr sz="1400" b="0" i="0" u="none" strike="noStrike" kern="1200" spc="7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2015 [YR2015]</c:v>
                </c:pt>
              </c:strCache>
            </c:strRef>
          </c:tx>
          <c:spPr>
            <a:ln w="25400">
              <a:noFill/>
            </a:ln>
            <a:effectLst/>
          </c:spPr>
          <c:marker>
            <c:symbol val="circle"/>
            <c:size val="4"/>
            <c:spPr>
              <a:solidFill>
                <a:schemeClr val="accent1"/>
              </a:solidFill>
              <a:ln w="9525" cap="flat" cmpd="sng" algn="ctr">
                <a:solidFill>
                  <a:schemeClr val="accent1"/>
                </a:solidFill>
                <a:round/>
              </a:ln>
              <a:effectLst/>
            </c:spPr>
          </c:marker>
          <c:xVal>
            <c:numRef>
              <c:f>Sheet1!$A$2:$A$534</c:f>
              <c:numCache>
                <c:formatCode>General</c:formatCode>
                <c:ptCount val="236"/>
                <c:pt idx="0">
                  <c:v>1940</c:v>
                </c:pt>
                <c:pt idx="1">
                  <c:v>11800</c:v>
                </c:pt>
                <c:pt idx="2">
                  <c:v>14220</c:v>
                </c:pt>
                <c:pt idx="3">
                  <c:v>6720</c:v>
                </c:pt>
                <c:pt idx="4">
                  <c:v>20220</c:v>
                </c:pt>
                <c:pt idx="5">
                  <c:v>19980</c:v>
                </c:pt>
                <c:pt idx="6">
                  <c:v>9090</c:v>
                </c:pt>
                <c:pt idx="7">
                  <c:v>36370</c:v>
                </c:pt>
                <c:pt idx="8">
                  <c:v>45270</c:v>
                </c:pt>
                <c:pt idx="9">
                  <c:v>49520</c:v>
                </c:pt>
                <c:pt idx="10">
                  <c:v>17100</c:v>
                </c:pt>
                <c:pt idx="11">
                  <c:v>29650</c:v>
                </c:pt>
                <c:pt idx="12">
                  <c:v>44170</c:v>
                </c:pt>
                <c:pt idx="13">
                  <c:v>3550</c:v>
                </c:pt>
                <c:pt idx="14">
                  <c:v>16710</c:v>
                </c:pt>
                <c:pt idx="15">
                  <c:v>17540</c:v>
                </c:pt>
                <c:pt idx="16">
                  <c:v>45330</c:v>
                </c:pt>
                <c:pt idx="17">
                  <c:v>8070</c:v>
                </c:pt>
                <c:pt idx="18">
                  <c:v>2100</c:v>
                </c:pt>
                <c:pt idx="19">
                  <c:v>7680</c:v>
                </c:pt>
                <c:pt idx="20">
                  <c:v>6720</c:v>
                </c:pt>
                <c:pt idx="21">
                  <c:v>11720</c:v>
                </c:pt>
                <c:pt idx="22">
                  <c:v>15770</c:v>
                </c:pt>
                <c:pt idx="23">
                  <c:v>15320</c:v>
                </c:pt>
                <c:pt idx="24">
                  <c:v>83440</c:v>
                </c:pt>
                <c:pt idx="25">
                  <c:v>17820</c:v>
                </c:pt>
                <c:pt idx="26">
                  <c:v>1640</c:v>
                </c:pt>
                <c:pt idx="27">
                  <c:v>760</c:v>
                </c:pt>
                <c:pt idx="28">
                  <c:v>6070</c:v>
                </c:pt>
                <c:pt idx="29">
                  <c:v>3290</c:v>
                </c:pt>
                <c:pt idx="30">
                  <c:v>3450</c:v>
                </c:pt>
                <c:pt idx="31">
                  <c:v>43960</c:v>
                </c:pt>
                <c:pt idx="32">
                  <c:v>31550</c:v>
                </c:pt>
                <c:pt idx="33">
                  <c:v>660</c:v>
                </c:pt>
                <c:pt idx="34">
                  <c:v>2130</c:v>
                </c:pt>
                <c:pt idx="35">
                  <c:v>22120</c:v>
                </c:pt>
                <c:pt idx="36">
                  <c:v>14400</c:v>
                </c:pt>
                <c:pt idx="37">
                  <c:v>13490</c:v>
                </c:pt>
                <c:pt idx="38">
                  <c:v>2670</c:v>
                </c:pt>
                <c:pt idx="39">
                  <c:v>800</c:v>
                </c:pt>
                <c:pt idx="40">
                  <c:v>5840</c:v>
                </c:pt>
                <c:pt idx="41">
                  <c:v>15000</c:v>
                </c:pt>
                <c:pt idx="42">
                  <c:v>3350</c:v>
                </c:pt>
                <c:pt idx="43">
                  <c:v>22860</c:v>
                </c:pt>
                <c:pt idx="44">
                  <c:v>31730</c:v>
                </c:pt>
                <c:pt idx="45">
                  <c:v>31210</c:v>
                </c:pt>
                <c:pt idx="46">
                  <c:v>50190</c:v>
                </c:pt>
                <c:pt idx="47">
                  <c:v>10160</c:v>
                </c:pt>
                <c:pt idx="48">
                  <c:v>13660</c:v>
                </c:pt>
                <c:pt idx="49">
                  <c:v>11250</c:v>
                </c:pt>
                <c:pt idx="50">
                  <c:v>10570</c:v>
                </c:pt>
                <c:pt idx="51">
                  <c:v>7120</c:v>
                </c:pt>
                <c:pt idx="52">
                  <c:v>22130</c:v>
                </c:pt>
                <c:pt idx="53">
                  <c:v>28090</c:v>
                </c:pt>
                <c:pt idx="54">
                  <c:v>8340</c:v>
                </c:pt>
                <c:pt idx="55">
                  <c:v>1630</c:v>
                </c:pt>
                <c:pt idx="56">
                  <c:v>8660</c:v>
                </c:pt>
                <c:pt idx="57">
                  <c:v>42450</c:v>
                </c:pt>
                <c:pt idx="58">
                  <c:v>41100</c:v>
                </c:pt>
                <c:pt idx="59">
                  <c:v>16440</c:v>
                </c:pt>
                <c:pt idx="60">
                  <c:v>1620</c:v>
                </c:pt>
                <c:pt idx="61">
                  <c:v>9350</c:v>
                </c:pt>
                <c:pt idx="62">
                  <c:v>48690</c:v>
                </c:pt>
                <c:pt idx="63">
                  <c:v>3980</c:v>
                </c:pt>
                <c:pt idx="64">
                  <c:v>26820</c:v>
                </c:pt>
                <c:pt idx="65">
                  <c:v>12070</c:v>
                </c:pt>
                <c:pt idx="66">
                  <c:v>7600</c:v>
                </c:pt>
                <c:pt idx="67">
                  <c:v>1820</c:v>
                </c:pt>
                <c:pt idx="68">
                  <c:v>1580</c:v>
                </c:pt>
                <c:pt idx="69">
                  <c:v>7480</c:v>
                </c:pt>
                <c:pt idx="70">
                  <c:v>1770</c:v>
                </c:pt>
                <c:pt idx="71">
                  <c:v>4280</c:v>
                </c:pt>
                <c:pt idx="72">
                  <c:v>58120</c:v>
                </c:pt>
                <c:pt idx="73">
                  <c:v>24680</c:v>
                </c:pt>
                <c:pt idx="74">
                  <c:v>46380</c:v>
                </c:pt>
                <c:pt idx="75">
                  <c:v>6060</c:v>
                </c:pt>
                <c:pt idx="76">
                  <c:v>10670</c:v>
                </c:pt>
                <c:pt idx="77">
                  <c:v>17620</c:v>
                </c:pt>
                <c:pt idx="78">
                  <c:v>15490</c:v>
                </c:pt>
                <c:pt idx="79">
                  <c:v>54230</c:v>
                </c:pt>
                <c:pt idx="80">
                  <c:v>35580</c:v>
                </c:pt>
                <c:pt idx="81">
                  <c:v>36440</c:v>
                </c:pt>
                <c:pt idx="82">
                  <c:v>8310</c:v>
                </c:pt>
                <c:pt idx="83">
                  <c:v>42270</c:v>
                </c:pt>
                <c:pt idx="84">
                  <c:v>8940</c:v>
                </c:pt>
                <c:pt idx="85">
                  <c:v>23550</c:v>
                </c:pt>
                <c:pt idx="86">
                  <c:v>2990</c:v>
                </c:pt>
                <c:pt idx="87">
                  <c:v>4260</c:v>
                </c:pt>
                <c:pt idx="88">
                  <c:v>35300</c:v>
                </c:pt>
                <c:pt idx="89">
                  <c:v>9910</c:v>
                </c:pt>
                <c:pt idx="90">
                  <c:v>81000</c:v>
                </c:pt>
                <c:pt idx="91">
                  <c:v>3310</c:v>
                </c:pt>
                <c:pt idx="92">
                  <c:v>5860</c:v>
                </c:pt>
                <c:pt idx="93">
                  <c:v>24620</c:v>
                </c:pt>
                <c:pt idx="94">
                  <c:v>13990</c:v>
                </c:pt>
                <c:pt idx="95">
                  <c:v>3210</c:v>
                </c:pt>
                <c:pt idx="96">
                  <c:v>1180</c:v>
                </c:pt>
                <c:pt idx="97">
                  <c:v>16480</c:v>
                </c:pt>
                <c:pt idx="98">
                  <c:v>27730</c:v>
                </c:pt>
                <c:pt idx="99">
                  <c:v>67970</c:v>
                </c:pt>
                <c:pt idx="100">
                  <c:v>98320</c:v>
                </c:pt>
                <c:pt idx="101">
                  <c:v>13400</c:v>
                </c:pt>
                <c:pt idx="102">
                  <c:v>1410</c:v>
                </c:pt>
                <c:pt idx="103">
                  <c:v>1120</c:v>
                </c:pt>
                <c:pt idx="104">
                  <c:v>25900</c:v>
                </c:pt>
                <c:pt idx="105">
                  <c:v>13500</c:v>
                </c:pt>
                <c:pt idx="106">
                  <c:v>2000</c:v>
                </c:pt>
                <c:pt idx="107">
                  <c:v>34260</c:v>
                </c:pt>
                <c:pt idx="108">
                  <c:v>5400</c:v>
                </c:pt>
                <c:pt idx="109">
                  <c:v>3690</c:v>
                </c:pt>
                <c:pt idx="110">
                  <c:v>19960</c:v>
                </c:pt>
                <c:pt idx="111">
                  <c:v>16830</c:v>
                </c:pt>
                <c:pt idx="112">
                  <c:v>4140</c:v>
                </c:pt>
                <c:pt idx="113">
                  <c:v>5410</c:v>
                </c:pt>
                <c:pt idx="114">
                  <c:v>11160</c:v>
                </c:pt>
                <c:pt idx="115">
                  <c:v>16690</c:v>
                </c:pt>
                <c:pt idx="116">
                  <c:v>7670</c:v>
                </c:pt>
                <c:pt idx="117">
                  <c:v>1170</c:v>
                </c:pt>
                <c:pt idx="118">
                  <c:v>5220</c:v>
                </c:pt>
                <c:pt idx="119">
                  <c:v>10570</c:v>
                </c:pt>
                <c:pt idx="120">
                  <c:v>16190</c:v>
                </c:pt>
                <c:pt idx="121">
                  <c:v>2500</c:v>
                </c:pt>
                <c:pt idx="122">
                  <c:v>49250</c:v>
                </c:pt>
                <c:pt idx="123">
                  <c:v>36090</c:v>
                </c:pt>
                <c:pt idx="124">
                  <c:v>5130</c:v>
                </c:pt>
                <c:pt idx="125">
                  <c:v>950</c:v>
                </c:pt>
                <c:pt idx="126">
                  <c:v>5890</c:v>
                </c:pt>
                <c:pt idx="127">
                  <c:v>64280</c:v>
                </c:pt>
                <c:pt idx="128">
                  <c:v>41600</c:v>
                </c:pt>
                <c:pt idx="129">
                  <c:v>5310</c:v>
                </c:pt>
                <c:pt idx="130">
                  <c:v>14180</c:v>
                </c:pt>
                <c:pt idx="131">
                  <c:v>19980</c:v>
                </c:pt>
                <c:pt idx="132">
                  <c:v>3890</c:v>
                </c:pt>
                <c:pt idx="133">
                  <c:v>11430</c:v>
                </c:pt>
                <c:pt idx="134">
                  <c:v>12100</c:v>
                </c:pt>
                <c:pt idx="135">
                  <c:v>8850</c:v>
                </c:pt>
                <c:pt idx="136">
                  <c:v>25670</c:v>
                </c:pt>
                <c:pt idx="137">
                  <c:v>28720</c:v>
                </c:pt>
                <c:pt idx="138">
                  <c:v>25320</c:v>
                </c:pt>
                <c:pt idx="139">
                  <c:v>124830</c:v>
                </c:pt>
                <c:pt idx="140">
                  <c:v>21130</c:v>
                </c:pt>
                <c:pt idx="141">
                  <c:v>24060</c:v>
                </c:pt>
                <c:pt idx="142">
                  <c:v>1800</c:v>
                </c:pt>
                <c:pt idx="143">
                  <c:v>5800</c:v>
                </c:pt>
                <c:pt idx="144">
                  <c:v>3130</c:v>
                </c:pt>
                <c:pt idx="145">
                  <c:v>55580</c:v>
                </c:pt>
                <c:pt idx="146">
                  <c:v>3040</c:v>
                </c:pt>
                <c:pt idx="147">
                  <c:v>13300</c:v>
                </c:pt>
                <c:pt idx="148">
                  <c:v>24870</c:v>
                </c:pt>
                <c:pt idx="149">
                  <c:v>1380</c:v>
                </c:pt>
                <c:pt idx="150">
                  <c:v>83760</c:v>
                </c:pt>
                <c:pt idx="151">
                  <c:v>33280</c:v>
                </c:pt>
                <c:pt idx="152">
                  <c:v>28990</c:v>
                </c:pt>
                <c:pt idx="153">
                  <c:v>30520</c:v>
                </c:pt>
                <c:pt idx="154">
                  <c:v>2220</c:v>
                </c:pt>
                <c:pt idx="155">
                  <c:v>12850</c:v>
                </c:pt>
                <c:pt idx="156">
                  <c:v>1830</c:v>
                </c:pt>
                <c:pt idx="157">
                  <c:v>34740</c:v>
                </c:pt>
                <c:pt idx="158">
                  <c:v>11500</c:v>
                </c:pt>
                <c:pt idx="159">
                  <c:v>24990</c:v>
                </c:pt>
                <c:pt idx="160">
                  <c:v>11760</c:v>
                </c:pt>
                <c:pt idx="161">
                  <c:v>12210</c:v>
                </c:pt>
                <c:pt idx="162">
                  <c:v>4150</c:v>
                </c:pt>
                <c:pt idx="163">
                  <c:v>15550</c:v>
                </c:pt>
                <c:pt idx="164">
                  <c:v>48510</c:v>
                </c:pt>
                <c:pt idx="165">
                  <c:v>65210</c:v>
                </c:pt>
                <c:pt idx="166">
                  <c:v>3360</c:v>
                </c:pt>
                <c:pt idx="167">
                  <c:v>2610</c:v>
                </c:pt>
                <c:pt idx="168">
                  <c:v>15400</c:v>
                </c:pt>
                <c:pt idx="169">
                  <c:v>7120</c:v>
                </c:pt>
                <c:pt idx="170">
                  <c:v>1590</c:v>
                </c:pt>
                <c:pt idx="171">
                  <c:v>5580</c:v>
                </c:pt>
                <c:pt idx="172">
                  <c:v>33240</c:v>
                </c:pt>
                <c:pt idx="173">
                  <c:v>11110</c:v>
                </c:pt>
                <c:pt idx="174">
                  <c:v>24570</c:v>
                </c:pt>
                <c:pt idx="175">
                  <c:v>15030</c:v>
                </c:pt>
                <c:pt idx="176">
                  <c:v>5710</c:v>
                </c:pt>
                <c:pt idx="177">
                  <c:v>1740</c:v>
                </c:pt>
                <c:pt idx="178">
                  <c:v>7850</c:v>
                </c:pt>
                <c:pt idx="179">
                  <c:v>71230</c:v>
                </c:pt>
                <c:pt idx="180">
                  <c:v>40660</c:v>
                </c:pt>
                <c:pt idx="181">
                  <c:v>57880</c:v>
                </c:pt>
                <c:pt idx="182">
                  <c:v>20530</c:v>
                </c:pt>
                <c:pt idx="183">
                  <c:v>6200</c:v>
                </c:pt>
                <c:pt idx="184">
                  <c:v>2920</c:v>
                </c:pt>
                <c:pt idx="185">
                  <c:v>5610</c:v>
                </c:pt>
                <c:pt idx="186">
                  <c:v>5700</c:v>
                </c:pt>
                <c:pt idx="187">
                  <c:v>3160</c:v>
                </c:pt>
                <c:pt idx="188">
                  <c:v>3800</c:v>
                </c:pt>
                <c:pt idx="189">
                  <c:v>2110</c:v>
                </c:pt>
                <c:pt idx="190">
                  <c:v>16381.722697644365</c:v>
                </c:pt>
                <c:pt idx="191">
                  <c:v>15458.439736145592</c:v>
                </c:pt>
                <c:pt idx="192">
                  <c:v>24948.839953457908</c:v>
                </c:pt>
                <c:pt idx="193">
                  <c:v>8743.0347465501272</c:v>
                </c:pt>
                <c:pt idx="194">
                  <c:v>16137.160169510742</c:v>
                </c:pt>
                <c:pt idx="195">
                  <c:v>12889.359535376418</c:v>
                </c:pt>
                <c:pt idx="196">
                  <c:v>13026.32069671096</c:v>
                </c:pt>
                <c:pt idx="197">
                  <c:v>40813.028504817783</c:v>
                </c:pt>
                <c:pt idx="198">
                  <c:v>30340.792274139443</c:v>
                </c:pt>
                <c:pt idx="199">
                  <c:v>18757.201254742951</c:v>
                </c:pt>
                <c:pt idx="200">
                  <c:v>19374.830277221005</c:v>
                </c:pt>
                <c:pt idx="201">
                  <c:v>38170.090014031819</c:v>
                </c:pt>
                <c:pt idx="202">
                  <c:v>4078.9609131335137</c:v>
                </c:pt>
                <c:pt idx="203">
                  <c:v>2158.2066246950126</c:v>
                </c:pt>
                <c:pt idx="204">
                  <c:v>45128.67711415729</c:v>
                </c:pt>
                <c:pt idx="205">
                  <c:v>12193.341231165039</c:v>
                </c:pt>
                <c:pt idx="206">
                  <c:v>10038.01685734083</c:v>
                </c:pt>
                <c:pt idx="207">
                  <c:v>5202.0446178665734</c:v>
                </c:pt>
                <c:pt idx="208">
                  <c:v>2735.717642782975</c:v>
                </c:pt>
                <c:pt idx="209">
                  <c:v>3565.3093746528521</c:v>
                </c:pt>
                <c:pt idx="210">
                  <c:v>15693.832369097749</c:v>
                </c:pt>
                <c:pt idx="211">
                  <c:v>14907.065477386373</c:v>
                </c:pt>
                <c:pt idx="212">
                  <c:v>14042.950067343105</c:v>
                </c:pt>
                <c:pt idx="213">
                  <c:v>14881.292798214325</c:v>
                </c:pt>
                <c:pt idx="214">
                  <c:v>2562.8152193379697</c:v>
                </c:pt>
                <c:pt idx="215">
                  <c:v>9786.4952368049126</c:v>
                </c:pt>
                <c:pt idx="216">
                  <c:v>2000.0386698386565</c:v>
                </c:pt>
                <c:pt idx="217">
                  <c:v>6420.5593196255741</c:v>
                </c:pt>
                <c:pt idx="218">
                  <c:v>18754.486950033777</c:v>
                </c:pt>
                <c:pt idx="219">
                  <c:v>12205.534606402105</c:v>
                </c:pt>
                <c:pt idx="220">
                  <c:v>12285.438670995463</c:v>
                </c:pt>
                <c:pt idx="221">
                  <c:v>10792.759765505645</c:v>
                </c:pt>
                <c:pt idx="222">
                  <c:v>56483.510843023381</c:v>
                </c:pt>
                <c:pt idx="223">
                  <c:v>41237.363051479784</c:v>
                </c:pt>
                <c:pt idx="224">
                  <c:v>24246.519186381884</c:v>
                </c:pt>
                <c:pt idx="225">
                  <c:v>5633.2372847400629</c:v>
                </c:pt>
                <c:pt idx="226">
                  <c:v>44233.792167046864</c:v>
                </c:pt>
                <c:pt idx="227">
                  <c:v>3645.9325840843662</c:v>
                </c:pt>
                <c:pt idx="228">
                  <c:v>21488.392711543063</c:v>
                </c:pt>
                <c:pt idx="229">
                  <c:v>5675.2377837932527</c:v>
                </c:pt>
                <c:pt idx="230">
                  <c:v>5675.2377837932527</c:v>
                </c:pt>
                <c:pt idx="231">
                  <c:v>3639.0210244223422</c:v>
                </c:pt>
                <c:pt idx="232">
                  <c:v>3637.0496669422118</c:v>
                </c:pt>
                <c:pt idx="233">
                  <c:v>3639.0210244223417</c:v>
                </c:pt>
                <c:pt idx="234">
                  <c:v>15760.277094467472</c:v>
                </c:pt>
                <c:pt idx="235">
                  <c:v>15695.504381972109</c:v>
                </c:pt>
              </c:numCache>
            </c:numRef>
          </c:xVal>
          <c:yVal>
            <c:numRef>
              <c:f>Sheet1!$B$2:$B$534</c:f>
              <c:numCache>
                <c:formatCode>General</c:formatCode>
                <c:ptCount val="236"/>
                <c:pt idx="0">
                  <c:v>71.5</c:v>
                </c:pt>
                <c:pt idx="1">
                  <c:v>100</c:v>
                </c:pt>
                <c:pt idx="2">
                  <c:v>99.336708068847699</c:v>
                </c:pt>
                <c:pt idx="3">
                  <c:v>42</c:v>
                </c:pt>
                <c:pt idx="4">
                  <c:v>96.8262939453125</c:v>
                </c:pt>
                <c:pt idx="5">
                  <c:v>99.995208740234403</c:v>
                </c:pt>
                <c:pt idx="6">
                  <c:v>100</c:v>
                </c:pt>
                <c:pt idx="7">
                  <c:v>95.238182067871094</c:v>
                </c:pt>
                <c:pt idx="8">
                  <c:v>100</c:v>
                </c:pt>
                <c:pt idx="9">
                  <c:v>100</c:v>
                </c:pt>
                <c:pt idx="10">
                  <c:v>100</c:v>
                </c:pt>
                <c:pt idx="11">
                  <c:v>100</c:v>
                </c:pt>
                <c:pt idx="12">
                  <c:v>100</c:v>
                </c:pt>
                <c:pt idx="13">
                  <c:v>68.204681396484403</c:v>
                </c:pt>
                <c:pt idx="14">
                  <c:v>100</c:v>
                </c:pt>
                <c:pt idx="15">
                  <c:v>100</c:v>
                </c:pt>
                <c:pt idx="16">
                  <c:v>100</c:v>
                </c:pt>
                <c:pt idx="17">
                  <c:v>91.8</c:v>
                </c:pt>
                <c:pt idx="18">
                  <c:v>40.033477783203097</c:v>
                </c:pt>
                <c:pt idx="19">
                  <c:v>98.423522949218807</c:v>
                </c:pt>
                <c:pt idx="20">
                  <c:v>91.522822000000005</c:v>
                </c:pt>
                <c:pt idx="21">
                  <c:v>100</c:v>
                </c:pt>
                <c:pt idx="22">
                  <c:v>58.528751373291001</c:v>
                </c:pt>
                <c:pt idx="23">
                  <c:v>99.710902000000004</c:v>
                </c:pt>
                <c:pt idx="24">
                  <c:v>100</c:v>
                </c:pt>
                <c:pt idx="25">
                  <c:v>100</c:v>
                </c:pt>
                <c:pt idx="26">
                  <c:v>18.4700813293457</c:v>
                </c:pt>
                <c:pt idx="27">
                  <c:v>7.2520895004272496</c:v>
                </c:pt>
                <c:pt idx="28">
                  <c:v>90.243904113769503</c:v>
                </c:pt>
                <c:pt idx="29">
                  <c:v>47.565738677978501</c:v>
                </c:pt>
                <c:pt idx="30">
                  <c:v>58.865100860595703</c:v>
                </c:pt>
                <c:pt idx="31">
                  <c:v>100</c:v>
                </c:pt>
                <c:pt idx="32">
                  <c:v>100</c:v>
                </c:pt>
                <c:pt idx="33">
                  <c:v>13.384423255920399</c:v>
                </c:pt>
                <c:pt idx="34">
                  <c:v>7.7</c:v>
                </c:pt>
                <c:pt idx="35">
                  <c:v>99.714843999999999</c:v>
                </c:pt>
                <c:pt idx="36">
                  <c:v>100</c:v>
                </c:pt>
                <c:pt idx="37">
                  <c:v>98.186897999999999</c:v>
                </c:pt>
                <c:pt idx="38">
                  <c:v>75.380714416503906</c:v>
                </c:pt>
                <c:pt idx="39">
                  <c:v>16.419164657592798</c:v>
                </c:pt>
                <c:pt idx="40">
                  <c:v>60.4</c:v>
                </c:pt>
                <c:pt idx="41">
                  <c:v>99.409803999999994</c:v>
                </c:pt>
                <c:pt idx="42">
                  <c:v>64.086196899414105</c:v>
                </c:pt>
                <c:pt idx="43">
                  <c:v>100</c:v>
                </c:pt>
                <c:pt idx="44">
                  <c:v>100</c:v>
                </c:pt>
                <c:pt idx="45">
                  <c:v>100</c:v>
                </c:pt>
                <c:pt idx="46">
                  <c:v>100</c:v>
                </c:pt>
                <c:pt idx="47">
                  <c:v>99.902969360351605</c:v>
                </c:pt>
                <c:pt idx="48">
                  <c:v>98.560364000000007</c:v>
                </c:pt>
                <c:pt idx="49">
                  <c:v>98.825883000000005</c:v>
                </c:pt>
                <c:pt idx="50">
                  <c:v>100</c:v>
                </c:pt>
                <c:pt idx="51">
                  <c:v>95.4</c:v>
                </c:pt>
                <c:pt idx="52">
                  <c:v>67.473747253417997</c:v>
                </c:pt>
                <c:pt idx="53">
                  <c:v>100</c:v>
                </c:pt>
                <c:pt idx="54">
                  <c:v>62.994544982910199</c:v>
                </c:pt>
                <c:pt idx="55">
                  <c:v>33.418590545654297</c:v>
                </c:pt>
                <c:pt idx="56">
                  <c:v>97.119491577148395</c:v>
                </c:pt>
                <c:pt idx="57">
                  <c:v>100</c:v>
                </c:pt>
                <c:pt idx="58">
                  <c:v>100</c:v>
                </c:pt>
                <c:pt idx="59">
                  <c:v>90.307472229003906</c:v>
                </c:pt>
                <c:pt idx="60">
                  <c:v>46.486663818359403</c:v>
                </c:pt>
                <c:pt idx="61">
                  <c:v>99.993499755859403</c:v>
                </c:pt>
                <c:pt idx="62">
                  <c:v>100</c:v>
                </c:pt>
                <c:pt idx="63">
                  <c:v>75.715278625488295</c:v>
                </c:pt>
                <c:pt idx="64">
                  <c:v>100</c:v>
                </c:pt>
                <c:pt idx="65">
                  <c:v>91.871688842773395</c:v>
                </c:pt>
                <c:pt idx="66">
                  <c:v>90.506294250488295</c:v>
                </c:pt>
                <c:pt idx="67">
                  <c:v>30.963151931762699</c:v>
                </c:pt>
                <c:pt idx="68">
                  <c:v>14.004670143127401</c:v>
                </c:pt>
                <c:pt idx="69">
                  <c:v>83.568351745605497</c:v>
                </c:pt>
                <c:pt idx="70">
                  <c:v>38.221126556396499</c:v>
                </c:pt>
                <c:pt idx="71">
                  <c:v>89.981710000000007</c:v>
                </c:pt>
                <c:pt idx="72">
                  <c:v>100</c:v>
                </c:pt>
                <c:pt idx="73">
                  <c:v>100</c:v>
                </c:pt>
                <c:pt idx="74">
                  <c:v>100</c:v>
                </c:pt>
                <c:pt idx="75">
                  <c:v>88</c:v>
                </c:pt>
                <c:pt idx="76">
                  <c:v>97.537367436982194</c:v>
                </c:pt>
                <c:pt idx="77">
                  <c:v>99.975051879882798</c:v>
                </c:pt>
                <c:pt idx="78">
                  <c:v>99.8621826171875</c:v>
                </c:pt>
                <c:pt idx="79">
                  <c:v>100</c:v>
                </c:pt>
                <c:pt idx="80">
                  <c:v>100</c:v>
                </c:pt>
                <c:pt idx="81">
                  <c:v>100</c:v>
                </c:pt>
                <c:pt idx="82">
                  <c:v>97.278884887695298</c:v>
                </c:pt>
                <c:pt idx="83">
                  <c:v>100</c:v>
                </c:pt>
                <c:pt idx="84">
                  <c:v>99.998321533203097</c:v>
                </c:pt>
                <c:pt idx="85">
                  <c:v>100</c:v>
                </c:pt>
                <c:pt idx="86">
                  <c:v>41.6</c:v>
                </c:pt>
                <c:pt idx="87">
                  <c:v>90.558181408957907</c:v>
                </c:pt>
                <c:pt idx="88">
                  <c:v>100</c:v>
                </c:pt>
                <c:pt idx="89">
                  <c:v>100</c:v>
                </c:pt>
                <c:pt idx="90">
                  <c:v>100</c:v>
                </c:pt>
                <c:pt idx="91">
                  <c:v>99.906555175781307</c:v>
                </c:pt>
                <c:pt idx="92">
                  <c:v>89.7</c:v>
                </c:pt>
                <c:pt idx="93">
                  <c:v>100</c:v>
                </c:pt>
                <c:pt idx="94">
                  <c:v>100</c:v>
                </c:pt>
                <c:pt idx="95">
                  <c:v>27.9232387542725</c:v>
                </c:pt>
                <c:pt idx="96">
                  <c:v>13.840091705322299</c:v>
                </c:pt>
                <c:pt idx="97">
                  <c:v>98.528762817382798</c:v>
                </c:pt>
                <c:pt idx="98">
                  <c:v>100</c:v>
                </c:pt>
                <c:pt idx="99">
                  <c:v>100</c:v>
                </c:pt>
                <c:pt idx="100">
                  <c:v>100</c:v>
                </c:pt>
                <c:pt idx="101">
                  <c:v>100</c:v>
                </c:pt>
                <c:pt idx="102">
                  <c:v>19.035060882568398</c:v>
                </c:pt>
                <c:pt idx="103">
                  <c:v>10.8</c:v>
                </c:pt>
                <c:pt idx="104">
                  <c:v>99.998588562011705</c:v>
                </c:pt>
                <c:pt idx="105">
                  <c:v>99.994010925292997</c:v>
                </c:pt>
                <c:pt idx="106">
                  <c:v>37.6</c:v>
                </c:pt>
                <c:pt idx="107">
                  <c:v>100</c:v>
                </c:pt>
                <c:pt idx="108">
                  <c:v>91.514877319335895</c:v>
                </c:pt>
                <c:pt idx="109">
                  <c:v>39.5</c:v>
                </c:pt>
                <c:pt idx="110">
                  <c:v>98.741256713867202</c:v>
                </c:pt>
                <c:pt idx="111">
                  <c:v>99</c:v>
                </c:pt>
                <c:pt idx="112">
                  <c:v>73.554229736328097</c:v>
                </c:pt>
                <c:pt idx="113">
                  <c:v>100</c:v>
                </c:pt>
                <c:pt idx="114">
                  <c:v>81.191627502441406</c:v>
                </c:pt>
                <c:pt idx="115">
                  <c:v>99.999160766601605</c:v>
                </c:pt>
                <c:pt idx="116">
                  <c:v>99.586013793945298</c:v>
                </c:pt>
                <c:pt idx="117">
                  <c:v>24</c:v>
                </c:pt>
                <c:pt idx="118">
                  <c:v>60.5</c:v>
                </c:pt>
                <c:pt idx="119">
                  <c:v>50.7034301757813</c:v>
                </c:pt>
                <c:pt idx="120">
                  <c:v>99</c:v>
                </c:pt>
                <c:pt idx="121">
                  <c:v>87.213623046875</c:v>
                </c:pt>
                <c:pt idx="122">
                  <c:v>100</c:v>
                </c:pt>
                <c:pt idx="123">
                  <c:v>100</c:v>
                </c:pt>
                <c:pt idx="124">
                  <c:v>81.163139343261705</c:v>
                </c:pt>
                <c:pt idx="125">
                  <c:v>16.600000000000001</c:v>
                </c:pt>
                <c:pt idx="126">
                  <c:v>52.5</c:v>
                </c:pt>
                <c:pt idx="127">
                  <c:v>100</c:v>
                </c:pt>
                <c:pt idx="128">
                  <c:v>100</c:v>
                </c:pt>
                <c:pt idx="129">
                  <c:v>93.5</c:v>
                </c:pt>
                <c:pt idx="130">
                  <c:v>99.161460876464801</c:v>
                </c:pt>
                <c:pt idx="131">
                  <c:v>92.554840087890597</c:v>
                </c:pt>
                <c:pt idx="132">
                  <c:v>22.1889343261719</c:v>
                </c:pt>
                <c:pt idx="133">
                  <c:v>99.331531999999996</c:v>
                </c:pt>
                <c:pt idx="134">
                  <c:v>93.852179000000007</c:v>
                </c:pt>
                <c:pt idx="135">
                  <c:v>89.08</c:v>
                </c:pt>
                <c:pt idx="136">
                  <c:v>100</c:v>
                </c:pt>
                <c:pt idx="137">
                  <c:v>100</c:v>
                </c:pt>
                <c:pt idx="138">
                  <c:v>100</c:v>
                </c:pt>
                <c:pt idx="139">
                  <c:v>100</c:v>
                </c:pt>
                <c:pt idx="140">
                  <c:v>100</c:v>
                </c:pt>
                <c:pt idx="141">
                  <c:v>100</c:v>
                </c:pt>
                <c:pt idx="142">
                  <c:v>22.8</c:v>
                </c:pt>
                <c:pt idx="143">
                  <c:v>99.938278198242202</c:v>
                </c:pt>
                <c:pt idx="144">
                  <c:v>64.510147094726605</c:v>
                </c:pt>
                <c:pt idx="145">
                  <c:v>100</c:v>
                </c:pt>
                <c:pt idx="146">
                  <c:v>60.5</c:v>
                </c:pt>
                <c:pt idx="147">
                  <c:v>99.982742309570298</c:v>
                </c:pt>
                <c:pt idx="148">
                  <c:v>99.678321838378906</c:v>
                </c:pt>
                <c:pt idx="149">
                  <c:v>16.468376159668001</c:v>
                </c:pt>
                <c:pt idx="150">
                  <c:v>100</c:v>
                </c:pt>
                <c:pt idx="151">
                  <c:v>100</c:v>
                </c:pt>
                <c:pt idx="152">
                  <c:v>100</c:v>
                </c:pt>
                <c:pt idx="153">
                  <c:v>100</c:v>
                </c:pt>
                <c:pt idx="154">
                  <c:v>55.1</c:v>
                </c:pt>
                <c:pt idx="155">
                  <c:v>85.5</c:v>
                </c:pt>
                <c:pt idx="156">
                  <c:v>7.9354276657104501</c:v>
                </c:pt>
                <c:pt idx="157">
                  <c:v>100</c:v>
                </c:pt>
                <c:pt idx="158">
                  <c:v>93.889900207519503</c:v>
                </c:pt>
                <c:pt idx="159">
                  <c:v>99.930015563964801</c:v>
                </c:pt>
                <c:pt idx="160">
                  <c:v>97.163078308105497</c:v>
                </c:pt>
                <c:pt idx="161">
                  <c:v>99.455062866210895</c:v>
                </c:pt>
                <c:pt idx="162">
                  <c:v>38.0091552734375</c:v>
                </c:pt>
                <c:pt idx="163">
                  <c:v>87.744674682617202</c:v>
                </c:pt>
                <c:pt idx="164">
                  <c:v>100</c:v>
                </c:pt>
                <c:pt idx="165">
                  <c:v>100</c:v>
                </c:pt>
                <c:pt idx="166">
                  <c:v>99.997352600097599</c:v>
                </c:pt>
                <c:pt idx="167">
                  <c:v>18.5</c:v>
                </c:pt>
                <c:pt idx="168">
                  <c:v>99.6</c:v>
                </c:pt>
                <c:pt idx="169">
                  <c:v>67.2815339423354</c:v>
                </c:pt>
                <c:pt idx="170">
                  <c:v>45.0285453796387</c:v>
                </c:pt>
                <c:pt idx="171">
                  <c:v>96.175453186035199</c:v>
                </c:pt>
                <c:pt idx="172">
                  <c:v>100</c:v>
                </c:pt>
                <c:pt idx="173">
                  <c:v>100</c:v>
                </c:pt>
                <c:pt idx="174">
                  <c:v>100</c:v>
                </c:pt>
                <c:pt idx="175">
                  <c:v>100</c:v>
                </c:pt>
                <c:pt idx="176">
                  <c:v>99.032676696777301</c:v>
                </c:pt>
                <c:pt idx="177">
                  <c:v>18.5</c:v>
                </c:pt>
                <c:pt idx="178">
                  <c:v>100</c:v>
                </c:pt>
                <c:pt idx="179">
                  <c:v>100</c:v>
                </c:pt>
                <c:pt idx="180">
                  <c:v>100</c:v>
                </c:pt>
                <c:pt idx="181">
                  <c:v>100</c:v>
                </c:pt>
                <c:pt idx="182">
                  <c:v>99.709479999999999</c:v>
                </c:pt>
                <c:pt idx="183">
                  <c:v>100</c:v>
                </c:pt>
                <c:pt idx="184">
                  <c:v>44.669612884521499</c:v>
                </c:pt>
                <c:pt idx="185">
                  <c:v>100</c:v>
                </c:pt>
                <c:pt idx="186">
                  <c:v>100</c:v>
                </c:pt>
                <c:pt idx="187">
                  <c:v>70.213905334472699</c:v>
                </c:pt>
                <c:pt idx="188">
                  <c:v>31.1</c:v>
                </c:pt>
                <c:pt idx="189">
                  <c:v>33.700000000000003</c:v>
                </c:pt>
                <c:pt idx="190">
                  <c:v>88.517967393854562</c:v>
                </c:pt>
                <c:pt idx="191">
                  <c:v>95.568684039554029</c:v>
                </c:pt>
                <c:pt idx="192">
                  <c:v>100</c:v>
                </c:pt>
                <c:pt idx="193">
                  <c:v>86.972614865136677</c:v>
                </c:pt>
                <c:pt idx="194">
                  <c:v>96.872658662405726</c:v>
                </c:pt>
                <c:pt idx="195">
                  <c:v>96.533237879883174</c:v>
                </c:pt>
                <c:pt idx="196">
                  <c:v>97.274193114328554</c:v>
                </c:pt>
                <c:pt idx="197">
                  <c:v>100</c:v>
                </c:pt>
                <c:pt idx="198">
                  <c:v>99.999199486126599</c:v>
                </c:pt>
                <c:pt idx="199">
                  <c:v>99.998231599554728</c:v>
                </c:pt>
                <c:pt idx="200">
                  <c:v>99.998396313230401</c:v>
                </c:pt>
                <c:pt idx="201">
                  <c:v>100</c:v>
                </c:pt>
                <c:pt idx="202">
                  <c:v>48.038282681015744</c:v>
                </c:pt>
                <c:pt idx="203">
                  <c:v>34.46068303396865</c:v>
                </c:pt>
                <c:pt idx="204">
                  <c:v>99.968814263710172</c:v>
                </c:pt>
                <c:pt idx="205">
                  <c:v>95.432904532227667</c:v>
                </c:pt>
                <c:pt idx="206">
                  <c:v>84.927235231613651</c:v>
                </c:pt>
                <c:pt idx="207">
                  <c:v>69.575064443243747</c:v>
                </c:pt>
                <c:pt idx="208">
                  <c:v>44.852746959796782</c:v>
                </c:pt>
                <c:pt idx="209">
                  <c:v>53.059621706118207</c:v>
                </c:pt>
                <c:pt idx="210">
                  <c:v>99.117034341203436</c:v>
                </c:pt>
                <c:pt idx="211">
                  <c:v>97.252755921312513</c:v>
                </c:pt>
                <c:pt idx="212">
                  <c:v>96.951278133059418</c:v>
                </c:pt>
                <c:pt idx="213">
                  <c:v>97.18321546589749</c:v>
                </c:pt>
                <c:pt idx="214">
                  <c:v>40.679390936781402</c:v>
                </c:pt>
                <c:pt idx="215">
                  <c:v>84.499446478537379</c:v>
                </c:pt>
                <c:pt idx="216">
                  <c:v>34.392584109033756</c:v>
                </c:pt>
                <c:pt idx="217">
                  <c:v>83.516046716724276</c:v>
                </c:pt>
                <c:pt idx="218">
                  <c:v>97.878592139727644</c:v>
                </c:pt>
                <c:pt idx="219">
                  <c:v>97.523384270363081</c:v>
                </c:pt>
                <c:pt idx="220">
                  <c:v>97.493215869679233</c:v>
                </c:pt>
                <c:pt idx="221">
                  <c:v>90.881637833170956</c:v>
                </c:pt>
                <c:pt idx="222">
                  <c:v>100</c:v>
                </c:pt>
                <c:pt idx="223">
                  <c:v>99.898048814199512</c:v>
                </c:pt>
                <c:pt idx="224">
                  <c:v>71.050874024340359</c:v>
                </c:pt>
                <c:pt idx="225">
                  <c:v>79.515976461216113</c:v>
                </c:pt>
                <c:pt idx="226">
                  <c:v>99.999711108796902</c:v>
                </c:pt>
                <c:pt idx="227">
                  <c:v>38.657418214240046</c:v>
                </c:pt>
                <c:pt idx="228">
                  <c:v>76.097493455166472</c:v>
                </c:pt>
                <c:pt idx="229">
                  <c:v>86.513987136774546</c:v>
                </c:pt>
                <c:pt idx="230">
                  <c:v>86.513987136774546</c:v>
                </c:pt>
                <c:pt idx="231">
                  <c:v>38.425660737298287</c:v>
                </c:pt>
                <c:pt idx="232">
                  <c:v>38.419943775408129</c:v>
                </c:pt>
                <c:pt idx="233">
                  <c:v>38.425660737298287</c:v>
                </c:pt>
                <c:pt idx="234">
                  <c:v>99.268933862812005</c:v>
                </c:pt>
                <c:pt idx="235">
                  <c:v>87.055922956231342</c:v>
                </c:pt>
              </c:numCache>
            </c:numRef>
          </c:yVal>
          <c:smooth val="0"/>
          <c:extLst>
            <c:ext xmlns:c16="http://schemas.microsoft.com/office/drawing/2014/chart" uri="{C3380CC4-5D6E-409C-BE32-E72D297353CC}">
              <c16:uniqueId val="{00000000-AC73-B54E-9C91-15089A6C4999}"/>
            </c:ext>
          </c:extLst>
        </c:ser>
        <c:dLbls>
          <c:showLegendKey val="0"/>
          <c:showVal val="0"/>
          <c:showCatName val="0"/>
          <c:showSerName val="0"/>
          <c:showPercent val="0"/>
          <c:showBubbleSize val="0"/>
        </c:dLbls>
        <c:axId val="608113199"/>
        <c:axId val="607474047"/>
      </c:scatterChart>
      <c:valAx>
        <c:axId val="608113199"/>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US" sz="900" b="0" i="0" u="none" strike="noStrike" baseline="0">
                    <a:effectLst/>
                  </a:rPr>
                  <a:t>GNI per capita, PPP (current international $)</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07474047"/>
        <c:crosses val="autoZero"/>
        <c:crossBetween val="midCat"/>
      </c:valAx>
      <c:valAx>
        <c:axId val="6074740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US" sz="900" b="0" i="0" u="none" strike="noStrike" baseline="0">
                    <a:effectLst/>
                  </a:rPr>
                  <a:t>Access to electricity (% of population)</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081131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Taxes as Percent</a:t>
            </a:r>
            <a:r>
              <a:rPr lang="en-US" baseline="0"/>
              <a:t> of Revenue Over the Past 25 Years</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Data!$O$17:$AM$17</c:f>
              <c:numCache>
                <c:formatCode>General</c:formatCode>
                <c:ptCount val="25"/>
                <c:pt idx="0">
                  <c:v>51.387124657070913</c:v>
                </c:pt>
                <c:pt idx="1">
                  <c:v>52.093700776425656</c:v>
                </c:pt>
                <c:pt idx="2">
                  <c:v>54.151225792958314</c:v>
                </c:pt>
                <c:pt idx="3">
                  <c:v>55.256663524297323</c:v>
                </c:pt>
                <c:pt idx="4">
                  <c:v>56.608088857231898</c:v>
                </c:pt>
                <c:pt idx="5">
                  <c:v>55.858811179635218</c:v>
                </c:pt>
                <c:pt idx="6">
                  <c:v>57.462332761252767</c:v>
                </c:pt>
                <c:pt idx="7">
                  <c:v>55.264591206488348</c:v>
                </c:pt>
                <c:pt idx="8">
                  <c:v>50.81792896715416</c:v>
                </c:pt>
                <c:pt idx="9">
                  <c:v>50.095606725869587</c:v>
                </c:pt>
                <c:pt idx="10">
                  <c:v>50.775019638903984</c:v>
                </c:pt>
                <c:pt idx="11">
                  <c:v>54.232206415523834</c:v>
                </c:pt>
                <c:pt idx="12">
                  <c:v>55.745775174273192</c:v>
                </c:pt>
                <c:pt idx="13">
                  <c:v>55.997820340172396</c:v>
                </c:pt>
                <c:pt idx="14">
                  <c:v>53.30187892349192</c:v>
                </c:pt>
                <c:pt idx="15">
                  <c:v>45.474198642476679</c:v>
                </c:pt>
                <c:pt idx="16">
                  <c:v>47.63951193463248</c:v>
                </c:pt>
                <c:pt idx="17">
                  <c:v>52.769674161827254</c:v>
                </c:pt>
                <c:pt idx="18">
                  <c:v>53.52272014498903</c:v>
                </c:pt>
                <c:pt idx="19">
                  <c:v>51.10949863000279</c:v>
                </c:pt>
                <c:pt idx="20">
                  <c:v>53.100835899091848</c:v>
                </c:pt>
                <c:pt idx="21">
                  <c:v>54.102813381683013</c:v>
                </c:pt>
                <c:pt idx="22">
                  <c:v>54.093646765322404</c:v>
                </c:pt>
                <c:pt idx="23">
                  <c:v>50.048709661228663</c:v>
                </c:pt>
                <c:pt idx="24">
                  <c:v>0</c:v>
                </c:pt>
              </c:numCache>
            </c:numRef>
          </c:yVal>
          <c:smooth val="0"/>
          <c:extLst>
            <c:ext xmlns:c16="http://schemas.microsoft.com/office/drawing/2014/chart" uri="{C3380CC4-5D6E-409C-BE32-E72D297353CC}">
              <c16:uniqueId val="{00000000-34D5-914C-84E0-661D2C3C7A3D}"/>
            </c:ext>
          </c:extLst>
        </c:ser>
        <c:ser>
          <c:idx val="1"/>
          <c:order val="1"/>
          <c:spPr>
            <a:ln w="25400" cap="rnd">
              <a:no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Data!$O$18:$AM$18</c:f>
              <c:numCache>
                <c:formatCode>General</c:formatCode>
                <c:ptCount val="25"/>
                <c:pt idx="0">
                  <c:v>29.710070429984963</c:v>
                </c:pt>
                <c:pt idx="1">
                  <c:v>30.877808594208894</c:v>
                </c:pt>
                <c:pt idx="2">
                  <c:v>31.696734336045591</c:v>
                </c:pt>
                <c:pt idx="3">
                  <c:v>31.633504915573525</c:v>
                </c:pt>
                <c:pt idx="4">
                  <c:v>28.375923011102543</c:v>
                </c:pt>
                <c:pt idx="5">
                  <c:v>28.76205244589103</c:v>
                </c:pt>
                <c:pt idx="6">
                  <c:v>29.845007428893073</c:v>
                </c:pt>
                <c:pt idx="7">
                  <c:v>28.166064367842498</c:v>
                </c:pt>
                <c:pt idx="8">
                  <c:v>29.790368298027769</c:v>
                </c:pt>
                <c:pt idx="9">
                  <c:v>28.692922490687483</c:v>
                </c:pt>
                <c:pt idx="10">
                  <c:v>31.986213871938329</c:v>
                </c:pt>
                <c:pt idx="11">
                  <c:v>32.814759647999153</c:v>
                </c:pt>
                <c:pt idx="12">
                  <c:v>36.581831975245407</c:v>
                </c:pt>
                <c:pt idx="13">
                  <c:v>37.054686338779256</c:v>
                </c:pt>
                <c:pt idx="14">
                  <c:v>38.970909886264216</c:v>
                </c:pt>
                <c:pt idx="15">
                  <c:v>37.838871442034936</c:v>
                </c:pt>
                <c:pt idx="16">
                  <c:v>33.222321058800723</c:v>
                </c:pt>
                <c:pt idx="17">
                  <c:v>38.019747958565816</c:v>
                </c:pt>
                <c:pt idx="18">
                  <c:v>36.862099175202275</c:v>
                </c:pt>
                <c:pt idx="19">
                  <c:v>35.408485673380746</c:v>
                </c:pt>
                <c:pt idx="20">
                  <c:v>33.772711632155392</c:v>
                </c:pt>
                <c:pt idx="21">
                  <c:v>31.893426685122556</c:v>
                </c:pt>
                <c:pt idx="22">
                  <c:v>30.901104998289693</c:v>
                </c:pt>
                <c:pt idx="23">
                  <c:v>30.068010717155474</c:v>
                </c:pt>
                <c:pt idx="24">
                  <c:v>0</c:v>
                </c:pt>
              </c:numCache>
            </c:numRef>
          </c:yVal>
          <c:smooth val="0"/>
          <c:extLst>
            <c:ext xmlns:c16="http://schemas.microsoft.com/office/drawing/2014/chart" uri="{C3380CC4-5D6E-409C-BE32-E72D297353CC}">
              <c16:uniqueId val="{00000001-34D5-914C-84E0-661D2C3C7A3D}"/>
            </c:ext>
          </c:extLst>
        </c:ser>
        <c:ser>
          <c:idx val="2"/>
          <c:order val="2"/>
          <c:spPr>
            <a:ln w="25400" cap="rnd">
              <a:no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Data!$O$19:$AM$19</c:f>
              <c:numCache>
                <c:formatCode>General</c:formatCode>
                <c:ptCount val="25"/>
                <c:pt idx="0">
                  <c:v>0</c:v>
                </c:pt>
                <c:pt idx="1">
                  <c:v>0</c:v>
                </c:pt>
                <c:pt idx="2">
                  <c:v>0</c:v>
                </c:pt>
                <c:pt idx="3">
                  <c:v>0</c:v>
                </c:pt>
                <c:pt idx="4">
                  <c:v>0</c:v>
                </c:pt>
                <c:pt idx="5">
                  <c:v>0</c:v>
                </c:pt>
                <c:pt idx="6">
                  <c:v>0</c:v>
                </c:pt>
                <c:pt idx="7">
                  <c:v>0</c:v>
                </c:pt>
                <c:pt idx="8">
                  <c:v>0</c:v>
                </c:pt>
                <c:pt idx="9">
                  <c:v>0</c:v>
                </c:pt>
                <c:pt idx="10">
                  <c:v>0</c:v>
                </c:pt>
                <c:pt idx="11">
                  <c:v>23.802631178695293</c:v>
                </c:pt>
                <c:pt idx="12">
                  <c:v>24.570760416938338</c:v>
                </c:pt>
                <c:pt idx="13">
                  <c:v>16.410196298737496</c:v>
                </c:pt>
                <c:pt idx="14">
                  <c:v>25.413327397655479</c:v>
                </c:pt>
                <c:pt idx="15">
                  <c:v>24.563648813158458</c:v>
                </c:pt>
                <c:pt idx="16">
                  <c:v>23.113411664956637</c:v>
                </c:pt>
                <c:pt idx="17">
                  <c:v>24.903105970174838</c:v>
                </c:pt>
                <c:pt idx="18">
                  <c:v>25.96270848543644</c:v>
                </c:pt>
                <c:pt idx="19">
                  <c:v>28.265106524461238</c:v>
                </c:pt>
                <c:pt idx="20">
                  <c:v>19.881720552938027</c:v>
                </c:pt>
                <c:pt idx="21">
                  <c:v>20.640520728447243</c:v>
                </c:pt>
                <c:pt idx="22">
                  <c:v>21.232323217131075</c:v>
                </c:pt>
                <c:pt idx="23">
                  <c:v>0</c:v>
                </c:pt>
                <c:pt idx="24">
                  <c:v>0</c:v>
                </c:pt>
              </c:numCache>
            </c:numRef>
          </c:yVal>
          <c:smooth val="0"/>
          <c:extLst>
            <c:ext xmlns:c16="http://schemas.microsoft.com/office/drawing/2014/chart" uri="{C3380CC4-5D6E-409C-BE32-E72D297353CC}">
              <c16:uniqueId val="{00000002-34D5-914C-84E0-661D2C3C7A3D}"/>
            </c:ext>
          </c:extLst>
        </c:ser>
        <c:dLbls>
          <c:showLegendKey val="0"/>
          <c:showVal val="0"/>
          <c:showCatName val="0"/>
          <c:showSerName val="0"/>
          <c:showPercent val="0"/>
          <c:showBubbleSize val="0"/>
        </c:dLbls>
        <c:axId val="247212687"/>
        <c:axId val="507714127"/>
      </c:scatterChart>
      <c:valAx>
        <c:axId val="247212687"/>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Years since 1994</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7714127"/>
        <c:crosses val="autoZero"/>
        <c:crossBetween val="midCat"/>
      </c:valAx>
      <c:valAx>
        <c:axId val="507714127"/>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Taxes on Income,</a:t>
                </a:r>
                <a:r>
                  <a:rPr lang="en-US" baseline="0"/>
                  <a:t> profits, and Capital gains (% of revenue)</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721268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madelyn e</dc:creator>
  <cp:keywords/>
  <dc:description/>
  <cp:lastModifiedBy>Chayanee</cp:lastModifiedBy>
  <cp:revision>5</cp:revision>
  <dcterms:created xsi:type="dcterms:W3CDTF">2019-01-30T16:10:00Z</dcterms:created>
  <dcterms:modified xsi:type="dcterms:W3CDTF">2019-02-06T14:33:00Z</dcterms:modified>
</cp:coreProperties>
</file>