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6BD" w:rsidRDefault="000F36BD" w:rsidP="000F36BD">
      <w:pPr>
        <w:rPr>
          <w:rFonts w:ascii="Times New Roman" w:hAnsi="Times New Roman"/>
          <w:sz w:val="24"/>
          <w:szCs w:val="24"/>
        </w:rPr>
      </w:pPr>
      <w:r w:rsidRPr="000F36BD">
        <w:rPr>
          <w:rFonts w:ascii="Times New Roman" w:hAnsi="Times New Roman"/>
          <w:b/>
          <w:bCs/>
          <w:sz w:val="28"/>
        </w:rPr>
        <w:t>Public Expenditure</w:t>
      </w:r>
      <w:r>
        <w:rPr>
          <w:rFonts w:ascii="Times New Roman" w:hAnsi="Times New Roman"/>
          <w:sz w:val="24"/>
          <w:szCs w:val="24"/>
        </w:rPr>
        <w:br/>
        <w:t>Report for EE441 Economics of Public Expenditure</w:t>
      </w:r>
      <w:r>
        <w:rPr>
          <w:rFonts w:ascii="Times New Roman" w:hAnsi="Times New Roman"/>
          <w:sz w:val="24"/>
          <w:szCs w:val="24"/>
        </w:rPr>
        <w:br/>
        <w:t>Semester 1/2015</w:t>
      </w:r>
      <w:r>
        <w:rPr>
          <w:rFonts w:ascii="Times New Roman" w:hAnsi="Times New Roman"/>
          <w:sz w:val="24"/>
          <w:szCs w:val="24"/>
        </w:rPr>
        <w:br/>
        <w:t xml:space="preserve">Faculty of Economics, </w:t>
      </w:r>
      <w:proofErr w:type="spellStart"/>
      <w:r>
        <w:rPr>
          <w:rFonts w:ascii="Times New Roman" w:hAnsi="Times New Roman"/>
          <w:sz w:val="24"/>
          <w:szCs w:val="24"/>
        </w:rPr>
        <w:t>Thammasat</w:t>
      </w:r>
      <w:proofErr w:type="spellEnd"/>
      <w:r>
        <w:rPr>
          <w:rFonts w:ascii="Times New Roman" w:hAnsi="Times New Roman"/>
          <w:sz w:val="24"/>
          <w:szCs w:val="24"/>
        </w:rPr>
        <w:t xml:space="preserve"> University </w:t>
      </w:r>
    </w:p>
    <w:p w:rsidR="000F36BD" w:rsidRDefault="000F36BD" w:rsidP="000F36BD">
      <w:pPr>
        <w:rPr>
          <w:rFonts w:ascii="Times New Roman" w:hAnsi="Times New Roman"/>
          <w:sz w:val="24"/>
          <w:szCs w:val="24"/>
        </w:rPr>
      </w:pPr>
      <w:r>
        <w:rPr>
          <w:rFonts w:ascii="Times New Roman" w:hAnsi="Times New Roman"/>
          <w:sz w:val="24"/>
          <w:szCs w:val="24"/>
        </w:rPr>
        <w:t>Puthita Yamchinda 5504641407</w:t>
      </w:r>
      <w:r>
        <w:rPr>
          <w:rFonts w:ascii="Times New Roman" w:hAnsi="Times New Roman"/>
          <w:sz w:val="24"/>
          <w:szCs w:val="24"/>
          <w:cs/>
        </w:rPr>
        <w:br/>
      </w:r>
      <w:r>
        <w:rPr>
          <w:rFonts w:ascii="Times New Roman" w:hAnsi="Times New Roman"/>
          <w:sz w:val="24"/>
          <w:szCs w:val="24"/>
        </w:rPr>
        <w:t>Word Count: 1,235</w:t>
      </w:r>
    </w:p>
    <w:p w:rsidR="000F36BD" w:rsidRDefault="000F36BD" w:rsidP="000F36BD">
      <w:pPr>
        <w:spacing w:line="480" w:lineRule="auto"/>
        <w:jc w:val="thaiDistribute"/>
        <w:rPr>
          <w:rFonts w:ascii="Times New Roman" w:hAnsi="Times New Roman"/>
          <w:sz w:val="24"/>
          <w:szCs w:val="24"/>
        </w:rPr>
      </w:pPr>
    </w:p>
    <w:p w:rsidR="00A85D76" w:rsidRPr="001F34FD" w:rsidRDefault="00532ACC" w:rsidP="000F36BD">
      <w:pPr>
        <w:spacing w:line="480" w:lineRule="auto"/>
        <w:ind w:firstLine="720"/>
        <w:jc w:val="thaiDistribute"/>
        <w:rPr>
          <w:rFonts w:ascii="Times New Roman" w:hAnsi="Times New Roman" w:cs="Times New Roman"/>
          <w:sz w:val="24"/>
          <w:szCs w:val="24"/>
        </w:rPr>
      </w:pPr>
      <w:r w:rsidRPr="001F34FD">
        <w:rPr>
          <w:rFonts w:ascii="Times New Roman" w:hAnsi="Times New Roman" w:cs="Times New Roman"/>
          <w:sz w:val="24"/>
          <w:szCs w:val="24"/>
        </w:rPr>
        <w:t xml:space="preserve">Indonesia has experienced a stable and high </w:t>
      </w:r>
      <w:r w:rsidR="00F22196" w:rsidRPr="001F34FD">
        <w:rPr>
          <w:rFonts w:ascii="Times New Roman" w:hAnsi="Times New Roman" w:cs="Times New Roman"/>
          <w:sz w:val="24"/>
          <w:szCs w:val="24"/>
        </w:rPr>
        <w:t>growth throughout</w:t>
      </w:r>
      <w:r w:rsidR="008F06CF">
        <w:rPr>
          <w:rFonts w:ascii="Times New Roman" w:hAnsi="Times New Roman" w:cs="Times New Roman"/>
          <w:sz w:val="24"/>
          <w:szCs w:val="24"/>
        </w:rPr>
        <w:t xml:space="preserve"> the past 15 years and one of</w:t>
      </w:r>
      <w:r w:rsidRPr="001F34FD">
        <w:rPr>
          <w:rFonts w:ascii="Times New Roman" w:hAnsi="Times New Roman" w:cs="Times New Roman"/>
          <w:sz w:val="24"/>
          <w:szCs w:val="24"/>
        </w:rPr>
        <w:t xml:space="preserve"> the results is from the government source which has imposed the economic growth promoting policies. For the past five years, the government has shifted towards the development of the nation. It tries to stimulate growth as well as development at the same time.</w:t>
      </w:r>
      <w:r w:rsidR="00F22196" w:rsidRPr="001F34FD">
        <w:rPr>
          <w:rFonts w:ascii="Times New Roman" w:hAnsi="Times New Roman" w:cs="Times New Roman"/>
          <w:sz w:val="24"/>
          <w:szCs w:val="24"/>
        </w:rPr>
        <w:t xml:space="preserve"> The government has increased the share of education, infrastructure and health spending over time. Still, health performance and its public spending are a concern in Indonesia. </w:t>
      </w:r>
      <w:r w:rsidR="00EB0E59" w:rsidRPr="001F34FD">
        <w:rPr>
          <w:rFonts w:ascii="Times New Roman" w:hAnsi="Times New Roman" w:cs="Times New Roman"/>
          <w:sz w:val="24"/>
          <w:szCs w:val="24"/>
        </w:rPr>
        <w:t>This r</w:t>
      </w:r>
      <w:r w:rsidR="00FC4AFC">
        <w:rPr>
          <w:rFonts w:ascii="Times New Roman" w:hAnsi="Times New Roman" w:cs="Times New Roman"/>
          <w:sz w:val="24"/>
          <w:szCs w:val="24"/>
        </w:rPr>
        <w:t xml:space="preserve">eport will </w:t>
      </w:r>
      <w:proofErr w:type="spellStart"/>
      <w:r w:rsidR="00FC4AFC">
        <w:rPr>
          <w:rFonts w:ascii="Times New Roman" w:hAnsi="Times New Roman" w:cs="Times New Roman"/>
          <w:sz w:val="24"/>
          <w:szCs w:val="24"/>
        </w:rPr>
        <w:t>analyse</w:t>
      </w:r>
      <w:proofErr w:type="spellEnd"/>
      <w:r w:rsidR="00FC4AFC">
        <w:rPr>
          <w:rFonts w:ascii="Times New Roman" w:hAnsi="Times New Roman" w:cs="Times New Roman"/>
          <w:sz w:val="24"/>
          <w:szCs w:val="24"/>
        </w:rPr>
        <w:t xml:space="preserve"> the change </w:t>
      </w:r>
      <w:r w:rsidR="00FC4AFC">
        <w:rPr>
          <w:rFonts w:ascii="Times New Roman" w:hAnsi="Times New Roman" w:cs="Angsana New"/>
          <w:sz w:val="24"/>
          <w:szCs w:val="30"/>
        </w:rPr>
        <w:t>in</w:t>
      </w:r>
      <w:r w:rsidR="00EB0E59" w:rsidRPr="001F34FD">
        <w:rPr>
          <w:rFonts w:ascii="Times New Roman" w:hAnsi="Times New Roman" w:cs="Times New Roman"/>
          <w:sz w:val="24"/>
          <w:szCs w:val="24"/>
        </w:rPr>
        <w:t xml:space="preserve"> government expenditure over time and will focus on the public budget on health. </w:t>
      </w:r>
    </w:p>
    <w:p w:rsidR="00532ACC" w:rsidRPr="001F34FD" w:rsidRDefault="00532ACC" w:rsidP="000F36BD">
      <w:pPr>
        <w:spacing w:line="480" w:lineRule="auto"/>
        <w:jc w:val="thaiDistribute"/>
        <w:rPr>
          <w:rFonts w:ascii="Times New Roman" w:hAnsi="Times New Roman" w:cs="Times New Roman"/>
          <w:sz w:val="24"/>
          <w:szCs w:val="24"/>
        </w:rPr>
      </w:pPr>
    </w:p>
    <w:p w:rsidR="00BF29B2" w:rsidRPr="001F34FD" w:rsidRDefault="00BF29B2" w:rsidP="000F36BD">
      <w:pPr>
        <w:spacing w:line="480" w:lineRule="auto"/>
        <w:jc w:val="thaiDistribute"/>
        <w:rPr>
          <w:rFonts w:ascii="Times New Roman" w:hAnsi="Times New Roman" w:cs="Times New Roman"/>
          <w:i/>
          <w:iCs/>
          <w:sz w:val="24"/>
          <w:szCs w:val="24"/>
        </w:rPr>
      </w:pPr>
      <w:r w:rsidRPr="001F34FD">
        <w:rPr>
          <w:rFonts w:ascii="Times New Roman" w:hAnsi="Times New Roman" w:cs="Times New Roman"/>
          <w:i/>
          <w:iCs/>
          <w:sz w:val="24"/>
          <w:szCs w:val="24"/>
        </w:rPr>
        <w:t xml:space="preserve">Overall of Government Expenditure </w:t>
      </w:r>
    </w:p>
    <w:p w:rsidR="003B7BED" w:rsidRPr="001F34FD" w:rsidRDefault="00F00848" w:rsidP="000F36BD">
      <w:pPr>
        <w:spacing w:line="480" w:lineRule="auto"/>
        <w:ind w:firstLine="720"/>
        <w:jc w:val="thaiDistribute"/>
        <w:rPr>
          <w:rFonts w:ascii="Times New Roman" w:hAnsi="Times New Roman" w:cs="Times New Roman"/>
          <w:sz w:val="24"/>
          <w:szCs w:val="24"/>
        </w:rPr>
      </w:pPr>
      <w:r w:rsidRPr="001F34FD">
        <w:rPr>
          <w:rFonts w:ascii="Times New Roman" w:hAnsi="Times New Roman" w:cs="Times New Roman"/>
          <w:sz w:val="24"/>
          <w:szCs w:val="24"/>
        </w:rPr>
        <w:t xml:space="preserve">Due to the fuel price reduction in 2005, Indonesian government had larger budgets to spend rather than the fuel subsidies therefore it was able to spend more on development policies. With this, the economy was stimulated, growth was growing rapidly and debt dropped sharply. </w:t>
      </w:r>
      <w:r w:rsidR="005C2B86" w:rsidRPr="001F34FD">
        <w:rPr>
          <w:rFonts w:ascii="Times New Roman" w:hAnsi="Times New Roman" w:cs="Times New Roman"/>
          <w:sz w:val="24"/>
          <w:szCs w:val="24"/>
        </w:rPr>
        <w:t xml:space="preserve">(Figure 1) </w:t>
      </w:r>
      <w:r w:rsidRPr="001F34FD">
        <w:rPr>
          <w:rFonts w:ascii="Times New Roman" w:hAnsi="Times New Roman" w:cs="Times New Roman"/>
          <w:sz w:val="24"/>
          <w:szCs w:val="24"/>
        </w:rPr>
        <w:t>Public expenditure</w:t>
      </w:r>
      <w:r w:rsidR="00633AC6" w:rsidRPr="001F34FD">
        <w:rPr>
          <w:rFonts w:ascii="Times New Roman" w:hAnsi="Times New Roman" w:cs="Times New Roman"/>
          <w:sz w:val="24"/>
          <w:szCs w:val="24"/>
        </w:rPr>
        <w:t xml:space="preserve"> has increased over the decade. Still, a drop occurred in 2009 when Indonesia was hit by the global financial crisis.</w:t>
      </w:r>
      <w:r w:rsidR="005C2B86" w:rsidRPr="001F34FD">
        <w:rPr>
          <w:rFonts w:ascii="Times New Roman" w:hAnsi="Times New Roman" w:cs="Times New Roman"/>
          <w:sz w:val="24"/>
          <w:szCs w:val="24"/>
        </w:rPr>
        <w:t xml:space="preserve"> The expenditure is decomposed into two categories; central government and regional government. The proportion has remained the same over time with 70% as central fiscal budget and 30% as regional spending. In 2014, the total government expenditure was 1,876,872 billion rupiahs. (Figure 2) Plotting the share of the public spending to GDP against </w:t>
      </w:r>
      <w:r w:rsidR="005C2B86" w:rsidRPr="001F34FD">
        <w:rPr>
          <w:rFonts w:ascii="Times New Roman" w:hAnsi="Times New Roman" w:cs="Times New Roman"/>
          <w:sz w:val="24"/>
          <w:szCs w:val="24"/>
        </w:rPr>
        <w:lastRenderedPageBreak/>
        <w:t xml:space="preserve">the annual GDP growth, </w:t>
      </w:r>
      <w:r w:rsidR="002E7B30">
        <w:rPr>
          <w:rFonts w:ascii="Times New Roman" w:hAnsi="Times New Roman" w:cs="Times New Roman"/>
          <w:sz w:val="24"/>
          <w:szCs w:val="24"/>
        </w:rPr>
        <w:t>the patterns were quite similar</w:t>
      </w:r>
      <w:r w:rsidR="005C2B86" w:rsidRPr="001F34FD">
        <w:rPr>
          <w:rFonts w:ascii="Times New Roman" w:hAnsi="Times New Roman" w:cs="Times New Roman"/>
          <w:sz w:val="24"/>
          <w:szCs w:val="24"/>
        </w:rPr>
        <w:t xml:space="preserve">. Although the decrease in spending was significant in 2009, its share of GDP was high which implies that the government raised the expenditures to stimulate the recession of the economy. </w:t>
      </w:r>
    </w:p>
    <w:p w:rsidR="00BF29B2" w:rsidRPr="001F34FD" w:rsidRDefault="005C2B86" w:rsidP="000F36BD">
      <w:pPr>
        <w:spacing w:line="480" w:lineRule="auto"/>
        <w:ind w:firstLine="720"/>
        <w:jc w:val="thaiDistribute"/>
        <w:rPr>
          <w:rFonts w:ascii="Times New Roman" w:hAnsi="Times New Roman" w:cs="Times New Roman"/>
          <w:color w:val="000000"/>
          <w:sz w:val="24"/>
          <w:szCs w:val="24"/>
        </w:rPr>
      </w:pPr>
      <w:r w:rsidRPr="001F34FD">
        <w:rPr>
          <w:rFonts w:ascii="Times New Roman" w:hAnsi="Times New Roman" w:cs="Times New Roman"/>
          <w:sz w:val="24"/>
          <w:szCs w:val="24"/>
        </w:rPr>
        <w:t xml:space="preserve">This report will mainly focus on the central government expenditure. (Figure 3) The trend has been increasing over time. </w:t>
      </w:r>
      <w:r w:rsidR="00107EEA" w:rsidRPr="001F34FD">
        <w:rPr>
          <w:rFonts w:ascii="Times New Roman" w:hAnsi="Times New Roman" w:cs="Times New Roman"/>
          <w:sz w:val="24"/>
          <w:szCs w:val="24"/>
        </w:rPr>
        <w:t xml:space="preserve">(Figure 4) The total amount in 2014 was 1,249,943 billion rupiahs. The budget is divided into 11 functions: </w:t>
      </w:r>
      <w:r w:rsidR="00107EEA" w:rsidRPr="001F34FD">
        <w:rPr>
          <w:rFonts w:ascii="Times New Roman" w:hAnsi="Times New Roman" w:cs="Times New Roman"/>
          <w:color w:val="000000"/>
          <w:sz w:val="24"/>
          <w:szCs w:val="24"/>
        </w:rPr>
        <w:t xml:space="preserve">General public services, Defense, Public order and safety, Economic affairs, Environment, Housing and community amenities, Health, Tourism and culture, Religion, Education, </w:t>
      </w:r>
      <w:r w:rsidR="002E7B30">
        <w:rPr>
          <w:rFonts w:ascii="Times New Roman" w:hAnsi="Times New Roman" w:cs="Times New Roman"/>
          <w:color w:val="000000"/>
          <w:sz w:val="24"/>
          <w:szCs w:val="24"/>
        </w:rPr>
        <w:t xml:space="preserve">and </w:t>
      </w:r>
      <w:r w:rsidR="00107EEA" w:rsidRPr="001F34FD">
        <w:rPr>
          <w:rFonts w:ascii="Times New Roman" w:hAnsi="Times New Roman" w:cs="Times New Roman"/>
          <w:color w:val="000000"/>
          <w:sz w:val="24"/>
          <w:szCs w:val="24"/>
        </w:rPr>
        <w:t>Social protection.</w:t>
      </w:r>
      <w:r w:rsidR="00043A29" w:rsidRPr="001F34FD">
        <w:rPr>
          <w:rFonts w:ascii="Times New Roman" w:hAnsi="Times New Roman" w:cs="Times New Roman"/>
          <w:color w:val="000000"/>
          <w:sz w:val="24"/>
          <w:szCs w:val="24"/>
        </w:rPr>
        <w:t xml:space="preserve"> (Figure 5-1</w:t>
      </w:r>
      <w:r w:rsidR="00107EEA" w:rsidRPr="001F34FD">
        <w:rPr>
          <w:rFonts w:ascii="Times New Roman" w:hAnsi="Times New Roman" w:cs="Times New Roman"/>
          <w:color w:val="000000"/>
          <w:sz w:val="24"/>
          <w:szCs w:val="24"/>
        </w:rPr>
        <w:t xml:space="preserve"> and 5</w:t>
      </w:r>
      <w:r w:rsidR="00043A29" w:rsidRPr="001F34FD">
        <w:rPr>
          <w:rFonts w:ascii="Times New Roman" w:hAnsi="Times New Roman" w:cs="Times New Roman"/>
          <w:color w:val="000000"/>
          <w:sz w:val="24"/>
          <w:szCs w:val="24"/>
        </w:rPr>
        <w:t>-2</w:t>
      </w:r>
      <w:r w:rsidR="00107EEA" w:rsidRPr="001F34FD">
        <w:rPr>
          <w:rFonts w:ascii="Times New Roman" w:hAnsi="Times New Roman" w:cs="Times New Roman"/>
          <w:color w:val="000000"/>
          <w:sz w:val="24"/>
          <w:szCs w:val="24"/>
        </w:rPr>
        <w:t xml:space="preserve">) The proportion has remained quite the same for the past three years; however, the pattern was different from the earlier period. </w:t>
      </w:r>
      <w:r w:rsidR="002D489C" w:rsidRPr="001F34FD">
        <w:rPr>
          <w:rFonts w:ascii="Times New Roman" w:hAnsi="Times New Roman" w:cs="Times New Roman"/>
          <w:color w:val="000000"/>
          <w:sz w:val="24"/>
          <w:szCs w:val="24"/>
        </w:rPr>
        <w:t xml:space="preserve">The general public service expenditure had remained around 65-70% while the others have changed differently over the decade. </w:t>
      </w:r>
      <w:r w:rsidR="00107EEA" w:rsidRPr="001F34FD">
        <w:rPr>
          <w:rFonts w:ascii="Times New Roman" w:hAnsi="Times New Roman" w:cs="Times New Roman"/>
          <w:color w:val="000000"/>
          <w:sz w:val="24"/>
          <w:szCs w:val="24"/>
        </w:rPr>
        <w:t xml:space="preserve">From 2005 to 2008, </w:t>
      </w:r>
      <w:r w:rsidR="00291835" w:rsidRPr="001F34FD">
        <w:rPr>
          <w:rFonts w:ascii="Times New Roman" w:hAnsi="Times New Roman" w:cs="Times New Roman"/>
          <w:color w:val="000000"/>
          <w:sz w:val="24"/>
          <w:szCs w:val="24"/>
        </w:rPr>
        <w:t>there was an increase in the share of economic affairs, education, health and infrastructure due to the development plan of the government. During 2009-2010, the share of economic affairs and education was increasing significantly while the rest had a moderate rise. Notice that the proportion of defense spending i</w:t>
      </w:r>
      <w:r w:rsidR="0013720E" w:rsidRPr="001F34FD">
        <w:rPr>
          <w:rFonts w:ascii="Times New Roman" w:hAnsi="Times New Roman" w:cs="Times New Roman"/>
          <w:color w:val="000000"/>
          <w:sz w:val="24"/>
          <w:szCs w:val="24"/>
        </w:rPr>
        <w:t xml:space="preserve">ncreased significantly in 2010. </w:t>
      </w:r>
      <w:r w:rsidR="00291835" w:rsidRPr="001F34FD">
        <w:rPr>
          <w:rFonts w:ascii="Times New Roman" w:hAnsi="Times New Roman" w:cs="Times New Roman"/>
          <w:color w:val="000000"/>
          <w:sz w:val="24"/>
          <w:szCs w:val="24"/>
        </w:rPr>
        <w:t>The share of infrastructure increased up to 2.5-2.7% and has remained around this from 2010 while the share of health decreased by 1.2% in 2010 and remained around 1.5% afterwards.</w:t>
      </w:r>
      <w:r w:rsidR="00043A29" w:rsidRPr="001F34FD">
        <w:rPr>
          <w:rFonts w:ascii="Times New Roman" w:hAnsi="Times New Roman" w:cs="Times New Roman"/>
          <w:color w:val="000000"/>
          <w:sz w:val="24"/>
          <w:szCs w:val="24"/>
        </w:rPr>
        <w:t xml:space="preserve"> (Figure 6</w:t>
      </w:r>
      <w:r w:rsidR="0013720E" w:rsidRPr="001F34FD">
        <w:rPr>
          <w:rFonts w:ascii="Times New Roman" w:hAnsi="Times New Roman" w:cs="Times New Roman"/>
          <w:color w:val="000000"/>
          <w:sz w:val="24"/>
          <w:szCs w:val="24"/>
        </w:rPr>
        <w:t>)</w:t>
      </w:r>
      <w:r w:rsidR="00291835" w:rsidRPr="001F34FD">
        <w:rPr>
          <w:rFonts w:ascii="Times New Roman" w:hAnsi="Times New Roman" w:cs="Times New Roman"/>
          <w:color w:val="000000"/>
          <w:sz w:val="24"/>
          <w:szCs w:val="24"/>
        </w:rPr>
        <w:t xml:space="preserve"> </w:t>
      </w:r>
      <w:r w:rsidR="008C5DCF" w:rsidRPr="001F34FD">
        <w:rPr>
          <w:rFonts w:ascii="Times New Roman" w:hAnsi="Times New Roman" w:cs="Times New Roman"/>
          <w:color w:val="000000"/>
          <w:sz w:val="24"/>
          <w:szCs w:val="24"/>
        </w:rPr>
        <w:t>In 2014, the general public services still remained the largest share (63.58%) of the central government spending, followed by</w:t>
      </w:r>
      <w:r w:rsidR="00291835" w:rsidRPr="001F34FD">
        <w:rPr>
          <w:rFonts w:ascii="Times New Roman" w:hAnsi="Times New Roman" w:cs="Times New Roman"/>
          <w:color w:val="000000"/>
          <w:sz w:val="24"/>
          <w:szCs w:val="24"/>
        </w:rPr>
        <w:t xml:space="preserve"> </w:t>
      </w:r>
      <w:r w:rsidR="008C5DCF" w:rsidRPr="001F34FD">
        <w:rPr>
          <w:rFonts w:ascii="Times New Roman" w:hAnsi="Times New Roman" w:cs="Times New Roman"/>
          <w:color w:val="000000"/>
          <w:sz w:val="24"/>
          <w:szCs w:val="24"/>
        </w:rPr>
        <w:t>education</w:t>
      </w:r>
      <w:r w:rsidR="00DA3D03" w:rsidRPr="001F34FD">
        <w:rPr>
          <w:rFonts w:ascii="Times New Roman" w:hAnsi="Times New Roman" w:cs="Times New Roman"/>
          <w:color w:val="000000"/>
          <w:sz w:val="24"/>
          <w:szCs w:val="24"/>
        </w:rPr>
        <w:t xml:space="preserve"> (10.51%)</w:t>
      </w:r>
      <w:r w:rsidR="008C5DCF" w:rsidRPr="001F34FD">
        <w:rPr>
          <w:rFonts w:ascii="Times New Roman" w:hAnsi="Times New Roman" w:cs="Times New Roman"/>
          <w:color w:val="000000"/>
          <w:sz w:val="24"/>
          <w:szCs w:val="24"/>
        </w:rPr>
        <w:t xml:space="preserve"> and economic affairs (10.26%).</w:t>
      </w:r>
      <w:r w:rsidR="00291835" w:rsidRPr="001F34FD">
        <w:rPr>
          <w:rFonts w:ascii="Times New Roman" w:hAnsi="Times New Roman" w:cs="Times New Roman"/>
          <w:color w:val="000000"/>
          <w:sz w:val="24"/>
          <w:szCs w:val="24"/>
        </w:rPr>
        <w:t xml:space="preserve"> </w:t>
      </w:r>
    </w:p>
    <w:p w:rsidR="005C2B86" w:rsidRPr="000F36BD" w:rsidRDefault="00BF29B2" w:rsidP="000F36BD">
      <w:pPr>
        <w:spacing w:line="480" w:lineRule="auto"/>
        <w:ind w:firstLine="720"/>
        <w:jc w:val="thaiDistribute"/>
        <w:rPr>
          <w:rFonts w:ascii="Times New Roman" w:hAnsi="Times New Roman"/>
          <w:color w:val="000000"/>
          <w:sz w:val="24"/>
          <w:szCs w:val="24"/>
          <w:cs/>
        </w:rPr>
      </w:pPr>
      <w:r w:rsidRPr="001F34FD">
        <w:rPr>
          <w:rFonts w:ascii="Times New Roman" w:hAnsi="Times New Roman" w:cs="Times New Roman"/>
          <w:color w:val="000000"/>
          <w:sz w:val="24"/>
          <w:szCs w:val="24"/>
        </w:rPr>
        <w:t>With the nation</w:t>
      </w:r>
      <w:r w:rsidR="00F22196" w:rsidRPr="001F34FD">
        <w:rPr>
          <w:rFonts w:ascii="Times New Roman" w:hAnsi="Times New Roman" w:cs="Times New Roman"/>
          <w:color w:val="000000"/>
          <w:sz w:val="24"/>
          <w:szCs w:val="24"/>
        </w:rPr>
        <w:t>al</w:t>
      </w:r>
      <w:r w:rsidRPr="001F34FD">
        <w:rPr>
          <w:rFonts w:ascii="Times New Roman" w:hAnsi="Times New Roman" w:cs="Times New Roman"/>
          <w:color w:val="000000"/>
          <w:sz w:val="24"/>
          <w:szCs w:val="24"/>
        </w:rPr>
        <w:t xml:space="preserve"> development plan, the government spends its budget to stimulate the economic growth as well as improve people’s welfare such as financing and investing more on education and infrastructure. </w:t>
      </w:r>
    </w:p>
    <w:p w:rsidR="00BF29B2" w:rsidRPr="001F34FD" w:rsidRDefault="00BF29B2" w:rsidP="000F36BD">
      <w:pPr>
        <w:spacing w:line="480" w:lineRule="auto"/>
        <w:jc w:val="thaiDistribute"/>
        <w:rPr>
          <w:rFonts w:ascii="Times New Roman" w:hAnsi="Times New Roman" w:cs="Times New Roman"/>
          <w:color w:val="000000"/>
          <w:sz w:val="24"/>
          <w:szCs w:val="24"/>
        </w:rPr>
      </w:pPr>
    </w:p>
    <w:p w:rsidR="00BF29B2" w:rsidRPr="001F34FD" w:rsidRDefault="00EB0E59" w:rsidP="000F36BD">
      <w:pPr>
        <w:spacing w:line="480" w:lineRule="auto"/>
        <w:jc w:val="thaiDistribute"/>
        <w:rPr>
          <w:rFonts w:ascii="Times New Roman" w:hAnsi="Times New Roman" w:cs="Times New Roman"/>
          <w:i/>
          <w:iCs/>
          <w:color w:val="000000"/>
          <w:sz w:val="24"/>
          <w:szCs w:val="24"/>
        </w:rPr>
      </w:pPr>
      <w:r w:rsidRPr="001F34FD">
        <w:rPr>
          <w:rFonts w:ascii="Times New Roman" w:hAnsi="Times New Roman" w:cs="Times New Roman"/>
          <w:i/>
          <w:iCs/>
          <w:color w:val="000000"/>
          <w:sz w:val="24"/>
          <w:szCs w:val="24"/>
        </w:rPr>
        <w:lastRenderedPageBreak/>
        <w:t>Health</w:t>
      </w:r>
    </w:p>
    <w:p w:rsidR="00EE65F3" w:rsidRPr="001F34FD" w:rsidRDefault="00BF29B2" w:rsidP="000F36BD">
      <w:pPr>
        <w:spacing w:line="480" w:lineRule="auto"/>
        <w:jc w:val="thaiDistribute"/>
        <w:rPr>
          <w:rFonts w:ascii="Times New Roman" w:hAnsi="Times New Roman" w:cs="Times New Roman"/>
          <w:color w:val="000000"/>
          <w:sz w:val="24"/>
          <w:szCs w:val="24"/>
        </w:rPr>
      </w:pPr>
      <w:r w:rsidRPr="001F34FD">
        <w:rPr>
          <w:rFonts w:ascii="Times New Roman" w:hAnsi="Times New Roman" w:cs="Times New Roman"/>
          <w:color w:val="000000"/>
          <w:sz w:val="24"/>
          <w:szCs w:val="24"/>
        </w:rPr>
        <w:tab/>
      </w:r>
      <w:r w:rsidR="00F22196" w:rsidRPr="001F34FD">
        <w:rPr>
          <w:rFonts w:ascii="Times New Roman" w:hAnsi="Times New Roman" w:cs="Times New Roman"/>
          <w:color w:val="000000"/>
          <w:sz w:val="24"/>
          <w:szCs w:val="24"/>
        </w:rPr>
        <w:t>Health is one of the components that have a positive impact on economic growth. Better health could result to a higher work productivity then higher growth. Yet, the health issues are</w:t>
      </w:r>
      <w:r w:rsidRPr="001F34FD">
        <w:rPr>
          <w:rFonts w:ascii="Times New Roman" w:hAnsi="Times New Roman" w:cs="Times New Roman"/>
          <w:color w:val="000000"/>
          <w:sz w:val="24"/>
          <w:szCs w:val="24"/>
        </w:rPr>
        <w:t xml:space="preserve"> one of big concer</w:t>
      </w:r>
      <w:r w:rsidR="00A85D76" w:rsidRPr="001F34FD">
        <w:rPr>
          <w:rFonts w:ascii="Times New Roman" w:hAnsi="Times New Roman" w:cs="Times New Roman"/>
          <w:color w:val="000000"/>
          <w:sz w:val="24"/>
          <w:szCs w:val="24"/>
        </w:rPr>
        <w:t xml:space="preserve">ns of development in Indonesia. </w:t>
      </w:r>
      <w:r w:rsidR="004D063F" w:rsidRPr="001F34FD">
        <w:rPr>
          <w:rFonts w:ascii="Times New Roman" w:hAnsi="Times New Roman" w:cs="Times New Roman"/>
          <w:color w:val="000000"/>
          <w:sz w:val="24"/>
          <w:szCs w:val="24"/>
        </w:rPr>
        <w:t xml:space="preserve">The government has financed in health sector to improve the quality and condition to meet the Millennium Development Goal. </w:t>
      </w:r>
      <w:r w:rsidR="00EE65F3" w:rsidRPr="001F34FD">
        <w:rPr>
          <w:rFonts w:ascii="Times New Roman" w:hAnsi="Times New Roman" w:cs="Times New Roman"/>
          <w:color w:val="000000"/>
          <w:sz w:val="24"/>
          <w:szCs w:val="24"/>
        </w:rPr>
        <w:t xml:space="preserve">The health conditions in Indonesia have improved over time. Still, it has not yet achieved the standard and remained relatively in poor condition compared with the other countries. </w:t>
      </w:r>
    </w:p>
    <w:p w:rsidR="00EE65F3" w:rsidRPr="001F34FD" w:rsidRDefault="00043A29" w:rsidP="000F36BD">
      <w:pPr>
        <w:spacing w:line="480" w:lineRule="auto"/>
        <w:ind w:firstLine="720"/>
        <w:jc w:val="thaiDistribute"/>
        <w:rPr>
          <w:rFonts w:ascii="Times New Roman" w:hAnsi="Times New Roman" w:cs="Times New Roman"/>
          <w:color w:val="000000"/>
          <w:sz w:val="24"/>
          <w:szCs w:val="24"/>
        </w:rPr>
      </w:pPr>
      <w:r w:rsidRPr="001F34FD">
        <w:rPr>
          <w:rFonts w:ascii="Times New Roman" w:hAnsi="Times New Roman" w:cs="Times New Roman"/>
          <w:color w:val="000000"/>
          <w:sz w:val="24"/>
          <w:szCs w:val="24"/>
        </w:rPr>
        <w:t>(Figure 7</w:t>
      </w:r>
      <w:r w:rsidR="00EE65F3" w:rsidRPr="001F34FD">
        <w:rPr>
          <w:rFonts w:ascii="Times New Roman" w:hAnsi="Times New Roman" w:cs="Times New Roman"/>
          <w:color w:val="000000"/>
          <w:sz w:val="24"/>
          <w:szCs w:val="24"/>
        </w:rPr>
        <w:t xml:space="preserve">) </w:t>
      </w:r>
      <w:r w:rsidRPr="001F34FD">
        <w:rPr>
          <w:rFonts w:ascii="Times New Roman" w:hAnsi="Times New Roman" w:cs="Times New Roman"/>
          <w:color w:val="000000"/>
          <w:sz w:val="24"/>
          <w:szCs w:val="24"/>
        </w:rPr>
        <w:t xml:space="preserve">The share of the public health expenditure had increased and remained constant at 6.6% for the past three years. Even though the share in the central government spending decreased but the overall health expense increased due to the increase in regional government’s health spending. </w:t>
      </w:r>
      <w:r w:rsidR="00AB5DD3" w:rsidRPr="001F34FD">
        <w:rPr>
          <w:rFonts w:ascii="Times New Roman" w:hAnsi="Times New Roman" w:cs="Times New Roman"/>
          <w:color w:val="000000"/>
          <w:sz w:val="24"/>
          <w:szCs w:val="24"/>
        </w:rPr>
        <w:t xml:space="preserve">(Figure 8) </w:t>
      </w:r>
      <w:r w:rsidRPr="001F34FD">
        <w:rPr>
          <w:rFonts w:ascii="Times New Roman" w:hAnsi="Times New Roman" w:cs="Times New Roman"/>
          <w:color w:val="000000"/>
          <w:sz w:val="24"/>
          <w:szCs w:val="24"/>
        </w:rPr>
        <w:t xml:space="preserve">Nevertheless, </w:t>
      </w:r>
      <w:r w:rsidR="00EE65F3" w:rsidRPr="001F34FD">
        <w:rPr>
          <w:rFonts w:ascii="Times New Roman" w:hAnsi="Times New Roman" w:cs="Times New Roman"/>
          <w:color w:val="000000"/>
          <w:sz w:val="24"/>
          <w:szCs w:val="24"/>
        </w:rPr>
        <w:t>Indonesia’s public expenditure was</w:t>
      </w:r>
      <w:r w:rsidRPr="001F34FD">
        <w:rPr>
          <w:rFonts w:ascii="Times New Roman" w:hAnsi="Times New Roman" w:cs="Times New Roman"/>
          <w:color w:val="000000"/>
          <w:sz w:val="24"/>
          <w:szCs w:val="24"/>
        </w:rPr>
        <w:t xml:space="preserve"> considered</w:t>
      </w:r>
      <w:r w:rsidR="00EE65F3" w:rsidRPr="001F34FD">
        <w:rPr>
          <w:rFonts w:ascii="Times New Roman" w:hAnsi="Times New Roman" w:cs="Times New Roman"/>
          <w:color w:val="000000"/>
          <w:sz w:val="24"/>
          <w:szCs w:val="24"/>
        </w:rPr>
        <w:t xml:space="preserve"> very low. Compared with the ASEAN countries, it ranked at the bottom. On the other hands, compared</w:t>
      </w:r>
      <w:r w:rsidR="002E7B30">
        <w:rPr>
          <w:rFonts w:ascii="Times New Roman" w:hAnsi="Times New Roman" w:cs="Times New Roman"/>
          <w:color w:val="000000"/>
          <w:sz w:val="24"/>
          <w:szCs w:val="24"/>
        </w:rPr>
        <w:t xml:space="preserve"> with the developed</w:t>
      </w:r>
      <w:r w:rsidR="00EE65F3" w:rsidRPr="001F34FD">
        <w:rPr>
          <w:rFonts w:ascii="Times New Roman" w:hAnsi="Times New Roman" w:cs="Times New Roman"/>
          <w:color w:val="000000"/>
          <w:sz w:val="24"/>
          <w:szCs w:val="24"/>
        </w:rPr>
        <w:t xml:space="preserve"> countries such as Switzerland and the United States, its expenditure was less by almost 4 times of those. Or with the average from the OECD countries, it was still lower by 3 times. </w:t>
      </w:r>
    </w:p>
    <w:p w:rsidR="002905E0" w:rsidRPr="001F34FD" w:rsidRDefault="00EE65F3" w:rsidP="000F36BD">
      <w:pPr>
        <w:spacing w:line="480" w:lineRule="auto"/>
        <w:jc w:val="thaiDistribute"/>
        <w:rPr>
          <w:rFonts w:ascii="Times New Roman" w:hAnsi="Times New Roman" w:cs="Times New Roman"/>
          <w:color w:val="000000"/>
          <w:sz w:val="24"/>
          <w:szCs w:val="24"/>
        </w:rPr>
      </w:pPr>
      <w:r w:rsidRPr="001F34FD">
        <w:rPr>
          <w:rFonts w:ascii="Times New Roman" w:hAnsi="Times New Roman" w:cs="Times New Roman"/>
          <w:color w:val="000000"/>
          <w:sz w:val="24"/>
          <w:szCs w:val="24"/>
        </w:rPr>
        <w:tab/>
        <w:t xml:space="preserve">Looking at the performance, </w:t>
      </w:r>
      <w:r w:rsidR="00043A29" w:rsidRPr="001F34FD">
        <w:rPr>
          <w:rFonts w:ascii="Times New Roman" w:hAnsi="Times New Roman" w:cs="Times New Roman"/>
          <w:color w:val="000000"/>
          <w:sz w:val="24"/>
          <w:szCs w:val="24"/>
        </w:rPr>
        <w:t xml:space="preserve">it has improved over time. (Figure 9-1 and 9-2) </w:t>
      </w:r>
      <w:r w:rsidR="00E15110" w:rsidRPr="001F34FD">
        <w:rPr>
          <w:rFonts w:ascii="Times New Roman" w:hAnsi="Times New Roman" w:cs="Times New Roman"/>
          <w:color w:val="000000"/>
          <w:sz w:val="24"/>
          <w:szCs w:val="24"/>
        </w:rPr>
        <w:t>The maternal mortality rate has significantly declined over the decade. Still, the lower rate is considered high when comparing with the other countries. It was only 1.6 times lower than Laos who ranked the top one in the Southeast Asian region while it was about 33 times higher than the developed countries.</w:t>
      </w:r>
      <w:r w:rsidR="00AB5DD3" w:rsidRPr="001F34FD">
        <w:rPr>
          <w:rFonts w:ascii="Times New Roman" w:hAnsi="Times New Roman" w:cs="Times New Roman"/>
          <w:color w:val="000000"/>
          <w:sz w:val="24"/>
          <w:szCs w:val="24"/>
        </w:rPr>
        <w:t xml:space="preserve"> (Figure 10-1 and 10-2)</w:t>
      </w:r>
      <w:r w:rsidR="001F6D48" w:rsidRPr="001F34FD">
        <w:rPr>
          <w:rFonts w:ascii="Times New Roman" w:hAnsi="Times New Roman" w:cs="Times New Roman"/>
          <w:color w:val="000000"/>
          <w:sz w:val="24"/>
          <w:szCs w:val="24"/>
        </w:rPr>
        <w:t xml:space="preserve"> The infant mortality rate also has decreased but it was relatively high. It was 2 times lower than Laos and Myanmar that ranked the top and was 10 times higher than the developed countries who ranked the bottom. (Figure 11-1 and 11-2) The life expectancy has increased over time. Its level was not so much different from the other countries who have </w:t>
      </w:r>
      <w:r w:rsidR="001F6D48" w:rsidRPr="001F34FD">
        <w:rPr>
          <w:rFonts w:ascii="Times New Roman" w:hAnsi="Times New Roman" w:cs="Times New Roman"/>
          <w:color w:val="000000"/>
          <w:sz w:val="24"/>
          <w:szCs w:val="24"/>
        </w:rPr>
        <w:lastRenderedPageBreak/>
        <w:t xml:space="preserve">performed well. Yet, Indonesia needs to improve this. (Figure 12-1 and 12-2) </w:t>
      </w:r>
      <w:proofErr w:type="spellStart"/>
      <w:r w:rsidR="001F6D48" w:rsidRPr="001F34FD">
        <w:rPr>
          <w:rFonts w:ascii="Times New Roman" w:hAnsi="Times New Roman" w:cs="Times New Roman"/>
          <w:color w:val="000000"/>
          <w:sz w:val="24"/>
          <w:szCs w:val="24"/>
        </w:rPr>
        <w:t>Immunisation</w:t>
      </w:r>
      <w:proofErr w:type="spellEnd"/>
      <w:r w:rsidR="001F6D48" w:rsidRPr="001F34FD">
        <w:rPr>
          <w:rFonts w:ascii="Times New Roman" w:hAnsi="Times New Roman" w:cs="Times New Roman"/>
          <w:color w:val="000000"/>
          <w:sz w:val="24"/>
          <w:szCs w:val="24"/>
        </w:rPr>
        <w:t xml:space="preserve"> has also improved but it decreased in 2014. Its performance is still considered low relatively to the other countries. (Figure 13) Moreover, looking at the supply of the health care service, it was only 0.204 physicians per 1,000 people </w:t>
      </w:r>
      <w:r w:rsidR="00D70566" w:rsidRPr="001F34FD">
        <w:rPr>
          <w:rFonts w:ascii="Times New Roman" w:hAnsi="Times New Roman" w:cs="Times New Roman"/>
          <w:color w:val="000000"/>
          <w:sz w:val="24"/>
          <w:szCs w:val="24"/>
        </w:rPr>
        <w:t xml:space="preserve">which is considered very low compared with 2.80 of OECD countries or with 3.5-4.0 of European countries. </w:t>
      </w:r>
      <w:r w:rsidR="002905E0" w:rsidRPr="001F34FD">
        <w:rPr>
          <w:rFonts w:ascii="Times New Roman" w:hAnsi="Times New Roman" w:cs="Times New Roman"/>
          <w:color w:val="000000"/>
          <w:sz w:val="24"/>
          <w:szCs w:val="24"/>
        </w:rPr>
        <w:t xml:space="preserve">Overall, the health care performance has improved significantly for the past decade. Nonetheless, Indonesia is considered as poor performance compared with the other countries. </w:t>
      </w:r>
    </w:p>
    <w:p w:rsidR="00772F82" w:rsidRPr="001F34FD" w:rsidRDefault="002905E0" w:rsidP="000F36BD">
      <w:pPr>
        <w:spacing w:line="480" w:lineRule="auto"/>
        <w:jc w:val="thaiDistribute"/>
        <w:rPr>
          <w:rFonts w:ascii="Times New Roman" w:hAnsi="Times New Roman" w:cs="Times New Roman"/>
          <w:color w:val="000000"/>
          <w:sz w:val="24"/>
          <w:szCs w:val="24"/>
        </w:rPr>
      </w:pPr>
      <w:r w:rsidRPr="001F34FD">
        <w:rPr>
          <w:rFonts w:ascii="Times New Roman" w:hAnsi="Times New Roman" w:cs="Times New Roman"/>
          <w:color w:val="000000"/>
          <w:sz w:val="24"/>
          <w:szCs w:val="24"/>
        </w:rPr>
        <w:tab/>
      </w:r>
      <w:r w:rsidR="00772F82" w:rsidRPr="001F34FD">
        <w:rPr>
          <w:rFonts w:ascii="Times New Roman" w:hAnsi="Times New Roman" w:cs="Times New Roman"/>
          <w:color w:val="000000"/>
          <w:sz w:val="24"/>
          <w:szCs w:val="24"/>
        </w:rPr>
        <w:t xml:space="preserve">Accordingly, </w:t>
      </w:r>
      <w:r w:rsidRPr="001F34FD">
        <w:rPr>
          <w:rFonts w:ascii="Times New Roman" w:hAnsi="Times New Roman" w:cs="Times New Roman"/>
          <w:color w:val="000000"/>
          <w:sz w:val="24"/>
          <w:szCs w:val="24"/>
        </w:rPr>
        <w:t xml:space="preserve">government has raised the expenditure for the health sector to improve the performance. It aims to increase insurance coverage and number of health care stations and staff as well as to improve the health care system and information effectively. However, I would like to comment that these issues are a national level but the share and amount of central government’s expenditure on health is very low to manage all of the problems. The regional government alone cannot provide and impose the policies efficiently. For example, </w:t>
      </w:r>
      <w:r w:rsidR="00772F82" w:rsidRPr="001F34FD">
        <w:rPr>
          <w:rFonts w:ascii="Times New Roman" w:hAnsi="Times New Roman" w:cs="Times New Roman"/>
          <w:color w:val="000000"/>
          <w:sz w:val="24"/>
          <w:szCs w:val="24"/>
        </w:rPr>
        <w:t>i</w:t>
      </w:r>
      <w:r w:rsidRPr="001F34FD">
        <w:rPr>
          <w:rFonts w:ascii="Times New Roman" w:hAnsi="Times New Roman" w:cs="Times New Roman"/>
          <w:color w:val="000000"/>
          <w:sz w:val="24"/>
          <w:szCs w:val="24"/>
        </w:rPr>
        <w:t xml:space="preserve">f the central government does not distribute enough money to </w:t>
      </w:r>
      <w:r w:rsidR="00772F82" w:rsidRPr="001F34FD">
        <w:rPr>
          <w:rFonts w:ascii="Times New Roman" w:hAnsi="Times New Roman" w:cs="Times New Roman"/>
          <w:color w:val="000000"/>
          <w:sz w:val="24"/>
          <w:szCs w:val="24"/>
        </w:rPr>
        <w:t xml:space="preserve">the </w:t>
      </w:r>
      <w:proofErr w:type="spellStart"/>
      <w:r w:rsidR="00772F82" w:rsidRPr="001F34FD">
        <w:rPr>
          <w:rFonts w:ascii="Times New Roman" w:hAnsi="Times New Roman" w:cs="Times New Roman"/>
          <w:color w:val="000000"/>
          <w:sz w:val="24"/>
          <w:szCs w:val="24"/>
        </w:rPr>
        <w:t>programme</w:t>
      </w:r>
      <w:proofErr w:type="spellEnd"/>
      <w:r w:rsidR="00772F82" w:rsidRPr="001F34FD">
        <w:rPr>
          <w:rFonts w:ascii="Times New Roman" w:hAnsi="Times New Roman" w:cs="Times New Roman"/>
          <w:color w:val="000000"/>
          <w:sz w:val="24"/>
          <w:szCs w:val="24"/>
        </w:rPr>
        <w:t xml:space="preserve"> (due to its limited budget), the regional government does not want to provide the subsidies to the health care services because other citizens from other regions who do not pay taxes directly can come to use the service in this region. This incurs the jurisdictional externalities</w:t>
      </w:r>
      <w:r w:rsidR="002E7B30">
        <w:rPr>
          <w:rFonts w:ascii="Times New Roman" w:hAnsi="Times New Roman" w:cs="Times New Roman"/>
          <w:color w:val="000000"/>
          <w:sz w:val="24"/>
          <w:szCs w:val="24"/>
        </w:rPr>
        <w:t>, for instance</w:t>
      </w:r>
      <w:r w:rsidR="00772F82" w:rsidRPr="001F34FD">
        <w:rPr>
          <w:rFonts w:ascii="Times New Roman" w:hAnsi="Times New Roman" w:cs="Times New Roman"/>
          <w:color w:val="000000"/>
          <w:sz w:val="24"/>
          <w:szCs w:val="24"/>
        </w:rPr>
        <w:t xml:space="preserve">. Hence, the role of central government is needed. </w:t>
      </w:r>
    </w:p>
    <w:p w:rsidR="00772F82" w:rsidRPr="001F34FD" w:rsidRDefault="00772F82" w:rsidP="000F36BD">
      <w:pPr>
        <w:spacing w:line="480" w:lineRule="auto"/>
        <w:jc w:val="thaiDistribute"/>
        <w:rPr>
          <w:rFonts w:ascii="Times New Roman" w:hAnsi="Times New Roman" w:cs="Times New Roman"/>
          <w:color w:val="000000"/>
          <w:sz w:val="24"/>
          <w:szCs w:val="24"/>
        </w:rPr>
      </w:pPr>
      <w:r w:rsidRPr="001F34FD">
        <w:rPr>
          <w:rFonts w:ascii="Times New Roman" w:hAnsi="Times New Roman" w:cs="Times New Roman"/>
          <w:color w:val="000000"/>
          <w:sz w:val="24"/>
          <w:szCs w:val="24"/>
        </w:rPr>
        <w:tab/>
        <w:t xml:space="preserve">Therefore, </w:t>
      </w:r>
      <w:r w:rsidR="00A85D76" w:rsidRPr="001F34FD">
        <w:rPr>
          <w:rFonts w:ascii="Times New Roman" w:hAnsi="Times New Roman" w:cs="Times New Roman"/>
          <w:color w:val="000000"/>
          <w:sz w:val="24"/>
          <w:szCs w:val="24"/>
        </w:rPr>
        <w:t>not only the regional government has to increase its spending but also the central government contribution is needed to provide the effective health policies at the national level so the whole country can benefit from it.</w:t>
      </w:r>
    </w:p>
    <w:p w:rsidR="00532ACC" w:rsidRPr="001F34FD" w:rsidRDefault="00532ACC" w:rsidP="000F36BD">
      <w:pPr>
        <w:spacing w:line="480" w:lineRule="auto"/>
        <w:jc w:val="thaiDistribute"/>
        <w:rPr>
          <w:rFonts w:ascii="Times New Roman" w:hAnsi="Times New Roman" w:cs="Times New Roman"/>
          <w:color w:val="000000"/>
          <w:sz w:val="24"/>
          <w:szCs w:val="24"/>
        </w:rPr>
      </w:pPr>
    </w:p>
    <w:p w:rsidR="002E7B30" w:rsidRDefault="002E7B30">
      <w:pPr>
        <w:rPr>
          <w:rFonts w:ascii="Times New Roman" w:hAnsi="Times New Roman" w:cs="Times New Roman"/>
          <w:i/>
          <w:iCs/>
          <w:color w:val="000000"/>
          <w:sz w:val="24"/>
          <w:szCs w:val="24"/>
        </w:rPr>
      </w:pPr>
      <w:r>
        <w:rPr>
          <w:rFonts w:ascii="Times New Roman" w:hAnsi="Times New Roman" w:cs="Times New Roman"/>
          <w:i/>
          <w:iCs/>
          <w:color w:val="000000"/>
          <w:sz w:val="24"/>
          <w:szCs w:val="24"/>
        </w:rPr>
        <w:br w:type="page"/>
      </w:r>
    </w:p>
    <w:p w:rsidR="00EB0E59" w:rsidRPr="001F34FD" w:rsidRDefault="00EB0E59" w:rsidP="000F36BD">
      <w:pPr>
        <w:spacing w:line="480" w:lineRule="auto"/>
        <w:jc w:val="thaiDistribute"/>
        <w:rPr>
          <w:rFonts w:ascii="Times New Roman" w:hAnsi="Times New Roman" w:cs="Times New Roman"/>
          <w:i/>
          <w:iCs/>
          <w:color w:val="000000"/>
          <w:sz w:val="24"/>
          <w:szCs w:val="24"/>
        </w:rPr>
      </w:pPr>
      <w:r w:rsidRPr="001F34FD">
        <w:rPr>
          <w:rFonts w:ascii="Times New Roman" w:hAnsi="Times New Roman" w:cs="Times New Roman"/>
          <w:i/>
          <w:iCs/>
          <w:color w:val="000000"/>
          <w:sz w:val="24"/>
          <w:szCs w:val="24"/>
        </w:rPr>
        <w:lastRenderedPageBreak/>
        <w:t>Conclusion</w:t>
      </w:r>
    </w:p>
    <w:p w:rsidR="00273D05" w:rsidRDefault="00532ACC" w:rsidP="000F36BD">
      <w:pPr>
        <w:spacing w:line="480" w:lineRule="auto"/>
        <w:jc w:val="thaiDistribute"/>
        <w:rPr>
          <w:rFonts w:ascii="Times New Roman" w:hAnsi="Times New Roman" w:cs="Times New Roman"/>
          <w:color w:val="000000"/>
          <w:sz w:val="24"/>
          <w:szCs w:val="24"/>
        </w:rPr>
      </w:pPr>
      <w:r w:rsidRPr="001F34FD">
        <w:rPr>
          <w:rFonts w:ascii="Times New Roman" w:hAnsi="Times New Roman" w:cs="Times New Roman"/>
          <w:color w:val="000000"/>
          <w:sz w:val="24"/>
          <w:szCs w:val="24"/>
        </w:rPr>
        <w:tab/>
        <w:t xml:space="preserve">Indonesian government expenditure pattern has been consistent with its national development plan. Mostly it aims to stimulate economic growth as well as improve people’s welfare. Education and infrastructure are the main focus while health is rather a small area of interest from the government. Although </w:t>
      </w:r>
      <w:r w:rsidR="002E7B30">
        <w:rPr>
          <w:rFonts w:ascii="Times New Roman" w:hAnsi="Times New Roman" w:cs="Times New Roman"/>
          <w:color w:val="000000"/>
          <w:sz w:val="24"/>
          <w:szCs w:val="24"/>
        </w:rPr>
        <w:t xml:space="preserve">the </w:t>
      </w:r>
      <w:r w:rsidRPr="001F34FD">
        <w:rPr>
          <w:rFonts w:ascii="Times New Roman" w:hAnsi="Times New Roman" w:cs="Times New Roman"/>
          <w:color w:val="000000"/>
          <w:sz w:val="24"/>
          <w:szCs w:val="24"/>
        </w:rPr>
        <w:t xml:space="preserve">health performance in Indonesia has improved over time, its level is relatively low compared with the other countries. Also, health is one of the components that associate in encouraging economic growth and development. The government is then suggested to pay more attention on the health issues especially the role of central government since the regional government alone cannot function effectively.   </w:t>
      </w:r>
    </w:p>
    <w:p w:rsidR="00273D05" w:rsidRDefault="00273D05">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EE2459" w:rsidRPr="0074718C" w:rsidRDefault="00EE2459" w:rsidP="00EE2459">
      <w:pPr>
        <w:rPr>
          <w:rFonts w:ascii="Times New Roman" w:hAnsi="Times New Roman" w:cs="Times New Roman"/>
          <w:b/>
          <w:bCs/>
          <w:sz w:val="26"/>
          <w:szCs w:val="26"/>
        </w:rPr>
      </w:pPr>
      <w:r w:rsidRPr="0074718C">
        <w:rPr>
          <w:rFonts w:ascii="Times New Roman" w:hAnsi="Times New Roman" w:cs="Times New Roman"/>
          <w:b/>
          <w:bCs/>
          <w:sz w:val="26"/>
          <w:szCs w:val="26"/>
        </w:rPr>
        <w:lastRenderedPageBreak/>
        <w:t xml:space="preserve">Appendix </w:t>
      </w:r>
    </w:p>
    <w:p w:rsidR="00EE2459" w:rsidRPr="007B56B8" w:rsidRDefault="00EE2459" w:rsidP="00EE2459">
      <w:pPr>
        <w:rPr>
          <w:rFonts w:ascii="Times New Roman" w:hAnsi="Times New Roman" w:cs="Times New Roman"/>
          <w:b/>
          <w:bCs/>
          <w:sz w:val="24"/>
          <w:szCs w:val="24"/>
        </w:rPr>
      </w:pPr>
      <w:r w:rsidRPr="007B56B8">
        <w:rPr>
          <w:rFonts w:ascii="Times New Roman" w:hAnsi="Times New Roman" w:cs="Times New Roman"/>
          <w:b/>
          <w:bCs/>
          <w:sz w:val="24"/>
          <w:szCs w:val="24"/>
        </w:rPr>
        <w:t xml:space="preserve">Figure 1 </w:t>
      </w:r>
      <w:r>
        <w:rPr>
          <w:rFonts w:ascii="Times New Roman" w:hAnsi="Times New Roman" w:cs="Times New Roman"/>
          <w:b/>
          <w:bCs/>
          <w:sz w:val="24"/>
          <w:szCs w:val="24"/>
        </w:rPr>
        <w:t>Public Expenditures (billion rupiahs)</w:t>
      </w:r>
    </w:p>
    <w:p w:rsidR="00EE2459" w:rsidRDefault="00EE2459" w:rsidP="00EE2459">
      <w:pPr>
        <w:jc w:val="center"/>
        <w:rPr>
          <w:rFonts w:ascii="Times New Roman" w:hAnsi="Times New Roman" w:cs="Times New Roman"/>
          <w:sz w:val="24"/>
          <w:szCs w:val="24"/>
        </w:rPr>
      </w:pPr>
      <w:r>
        <w:rPr>
          <w:noProof/>
        </w:rPr>
        <w:drawing>
          <wp:inline distT="0" distB="0" distL="0" distR="0" wp14:anchorId="5B38E858" wp14:editId="31365D6C">
            <wp:extent cx="5917565" cy="3238500"/>
            <wp:effectExtent l="0" t="0" r="698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E2459" w:rsidRPr="00587B83"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CEIC data, Statistics Indonesia (BPS), Ministry of Finance</w:t>
      </w:r>
    </w:p>
    <w:p w:rsidR="00EE2459" w:rsidRPr="007B56B8" w:rsidRDefault="00EE2459" w:rsidP="00EE2459">
      <w:pPr>
        <w:rPr>
          <w:rFonts w:ascii="Times New Roman" w:hAnsi="Times New Roman" w:cs="Times New Roman"/>
          <w:sz w:val="24"/>
          <w:szCs w:val="24"/>
        </w:rPr>
      </w:pPr>
    </w:p>
    <w:p w:rsidR="00EE2459" w:rsidRPr="007B56B8" w:rsidRDefault="00EE2459" w:rsidP="00EE2459">
      <w:pPr>
        <w:rPr>
          <w:rFonts w:ascii="Times New Roman" w:hAnsi="Times New Roman" w:cs="Times New Roman"/>
          <w:b/>
          <w:bCs/>
          <w:sz w:val="24"/>
          <w:szCs w:val="24"/>
        </w:rPr>
      </w:pPr>
      <w:r w:rsidRPr="007B56B8">
        <w:rPr>
          <w:rFonts w:ascii="Times New Roman" w:hAnsi="Times New Roman" w:cs="Times New Roman"/>
          <w:b/>
          <w:bCs/>
          <w:sz w:val="24"/>
          <w:szCs w:val="24"/>
        </w:rPr>
        <w:t>Figure 2 Growth and Government Expenditure</w:t>
      </w:r>
    </w:p>
    <w:p w:rsidR="00EE2459" w:rsidRDefault="00EE2459" w:rsidP="00EE2459">
      <w:pPr>
        <w:jc w:val="center"/>
        <w:rPr>
          <w:rFonts w:ascii="Times New Roman" w:hAnsi="Times New Roman" w:cs="Times New Roman"/>
          <w:sz w:val="24"/>
          <w:szCs w:val="24"/>
        </w:rPr>
      </w:pPr>
      <w:r w:rsidRPr="007B56B8">
        <w:rPr>
          <w:rFonts w:ascii="Times New Roman" w:hAnsi="Times New Roman" w:cs="Times New Roman"/>
          <w:noProof/>
        </w:rPr>
        <w:drawing>
          <wp:inline distT="0" distB="0" distL="0" distR="0" wp14:anchorId="0DAACFD4" wp14:editId="6CF3B874">
            <wp:extent cx="5908040" cy="3057525"/>
            <wp:effectExtent l="0" t="0" r="1651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E2459" w:rsidRDefault="00EE2459" w:rsidP="00EE2459">
      <w:pPr>
        <w:rPr>
          <w:rFonts w:ascii="Times New Roman" w:hAnsi="Times New Roman" w:cs="Times New Roman"/>
          <w:sz w:val="24"/>
          <w:szCs w:val="24"/>
        </w:rPr>
      </w:pPr>
      <w:r w:rsidRPr="00587B83">
        <w:rPr>
          <w:rFonts w:ascii="Times New Roman" w:hAnsi="Times New Roman" w:cs="Times New Roman"/>
          <w:i/>
          <w:iCs/>
          <w:sz w:val="18"/>
          <w:szCs w:val="18"/>
        </w:rPr>
        <w:t>Source: World Bank</w:t>
      </w:r>
      <w:r>
        <w:rPr>
          <w:rFonts w:ascii="Times New Roman" w:hAnsi="Times New Roman" w:cs="Times New Roman"/>
          <w:sz w:val="24"/>
          <w:szCs w:val="24"/>
        </w:rPr>
        <w:br w:type="page"/>
      </w:r>
    </w:p>
    <w:p w:rsidR="00EE2459" w:rsidRPr="00231B8B" w:rsidRDefault="00EE2459" w:rsidP="00EE2459">
      <w:pPr>
        <w:rPr>
          <w:rFonts w:ascii="Times New Roman" w:hAnsi="Times New Roman" w:cs="Times New Roman"/>
          <w:b/>
          <w:bCs/>
          <w:sz w:val="24"/>
          <w:szCs w:val="24"/>
        </w:rPr>
      </w:pPr>
      <w:r w:rsidRPr="004765EA">
        <w:rPr>
          <w:rFonts w:ascii="Times New Roman" w:hAnsi="Times New Roman" w:cs="Times New Roman"/>
          <w:b/>
          <w:bCs/>
          <w:sz w:val="24"/>
          <w:szCs w:val="24"/>
        </w:rPr>
        <w:lastRenderedPageBreak/>
        <w:t xml:space="preserve">Figure 3 Total Central Government Expenditure (billion rupiahs) </w:t>
      </w:r>
    </w:p>
    <w:p w:rsidR="00EE2459" w:rsidRDefault="00EE2459" w:rsidP="00EE2459">
      <w:pPr>
        <w:jc w:val="center"/>
        <w:rPr>
          <w:rFonts w:ascii="Times New Roman" w:hAnsi="Times New Roman" w:cs="Times New Roman"/>
          <w:sz w:val="20"/>
          <w:szCs w:val="20"/>
        </w:rPr>
      </w:pPr>
      <w:r>
        <w:rPr>
          <w:noProof/>
        </w:rPr>
        <w:drawing>
          <wp:inline distT="0" distB="0" distL="0" distR="0" wp14:anchorId="5CF81C12" wp14:editId="3559C7F7">
            <wp:extent cx="5781675" cy="34004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E2459" w:rsidRPr="00587B83"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Ministry of Finance, </w:t>
      </w:r>
      <w:r>
        <w:rPr>
          <w:rFonts w:ascii="Times New Roman" w:hAnsi="Times New Roman" w:cs="Times New Roman"/>
          <w:i/>
          <w:iCs/>
          <w:sz w:val="18"/>
          <w:szCs w:val="18"/>
        </w:rPr>
        <w:t>Statistics Indonesia (</w:t>
      </w:r>
      <w:r w:rsidRPr="00587B83">
        <w:rPr>
          <w:rFonts w:ascii="Times New Roman" w:hAnsi="Times New Roman" w:cs="Times New Roman"/>
          <w:i/>
          <w:iCs/>
          <w:sz w:val="18"/>
          <w:szCs w:val="18"/>
        </w:rPr>
        <w:t>BPS</w:t>
      </w:r>
      <w:r>
        <w:rPr>
          <w:rFonts w:ascii="Times New Roman" w:hAnsi="Times New Roman" w:cs="Times New Roman"/>
          <w:i/>
          <w:iCs/>
          <w:sz w:val="18"/>
          <w:szCs w:val="18"/>
        </w:rPr>
        <w:t>)</w:t>
      </w:r>
    </w:p>
    <w:p w:rsidR="00EE2459" w:rsidRPr="004765EA" w:rsidRDefault="00EE2459" w:rsidP="00EE2459">
      <w:pPr>
        <w:jc w:val="center"/>
        <w:rPr>
          <w:rFonts w:ascii="Times New Roman" w:hAnsi="Times New Roman" w:cs="Times New Roman"/>
          <w:sz w:val="20"/>
          <w:szCs w:val="20"/>
        </w:rPr>
        <w:sectPr w:rsidR="00EE2459" w:rsidRPr="004765EA">
          <w:footerReference w:type="default" r:id="rId9"/>
          <w:pgSz w:w="12240" w:h="15840"/>
          <w:pgMar w:top="1440" w:right="1440" w:bottom="1440" w:left="1440" w:header="720" w:footer="720" w:gutter="0"/>
          <w:cols w:space="720"/>
          <w:docGrid w:linePitch="360"/>
        </w:sectPr>
      </w:pPr>
    </w:p>
    <w:p w:rsidR="00EE2459" w:rsidRPr="00EA0535" w:rsidRDefault="00EE2459" w:rsidP="00EE2459">
      <w:pPr>
        <w:rPr>
          <w:rFonts w:ascii="Times New Roman" w:hAnsi="Times New Roman" w:cs="Times New Roman"/>
          <w:b/>
          <w:bCs/>
          <w:sz w:val="24"/>
          <w:szCs w:val="24"/>
        </w:rPr>
      </w:pPr>
      <w:r>
        <w:rPr>
          <w:rFonts w:ascii="Times New Roman" w:hAnsi="Times New Roman" w:cs="Times New Roman"/>
          <w:b/>
          <w:bCs/>
          <w:sz w:val="24"/>
          <w:szCs w:val="24"/>
        </w:rPr>
        <w:lastRenderedPageBreak/>
        <w:t>Figure 4</w:t>
      </w:r>
      <w:r w:rsidRPr="00EA0535">
        <w:rPr>
          <w:rFonts w:ascii="Times New Roman" w:hAnsi="Times New Roman" w:cs="Times New Roman"/>
          <w:b/>
          <w:bCs/>
          <w:sz w:val="24"/>
          <w:szCs w:val="24"/>
        </w:rPr>
        <w:t xml:space="preserve"> Budget of Central Government Expenditures by Function (billion rupiahs)</w:t>
      </w:r>
    </w:p>
    <w:tbl>
      <w:tblPr>
        <w:tblW w:w="15232" w:type="dxa"/>
        <w:tblInd w:w="-1160" w:type="dxa"/>
        <w:tblLook w:val="04A0" w:firstRow="1" w:lastRow="0" w:firstColumn="1" w:lastColumn="0" w:noHBand="0" w:noVBand="1"/>
      </w:tblPr>
      <w:tblGrid>
        <w:gridCol w:w="3078"/>
        <w:gridCol w:w="1170"/>
        <w:gridCol w:w="1190"/>
        <w:gridCol w:w="1170"/>
        <w:gridCol w:w="1190"/>
        <w:gridCol w:w="1170"/>
        <w:gridCol w:w="1190"/>
        <w:gridCol w:w="1348"/>
        <w:gridCol w:w="1189"/>
        <w:gridCol w:w="1348"/>
        <w:gridCol w:w="1189"/>
      </w:tblGrid>
      <w:tr w:rsidR="00EE2459" w:rsidRPr="00A0451E" w:rsidTr="0044388A">
        <w:trPr>
          <w:trHeight w:val="223"/>
        </w:trPr>
        <w:tc>
          <w:tcPr>
            <w:tcW w:w="3078" w:type="dxa"/>
            <w:vMerge w:val="restart"/>
            <w:tcBorders>
              <w:top w:val="single" w:sz="4" w:space="0" w:color="auto"/>
              <w:left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Functions</w:t>
            </w:r>
          </w:p>
        </w:tc>
        <w:tc>
          <w:tcPr>
            <w:tcW w:w="23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2005</w:t>
            </w:r>
          </w:p>
        </w:tc>
        <w:tc>
          <w:tcPr>
            <w:tcW w:w="23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2006</w:t>
            </w:r>
          </w:p>
        </w:tc>
        <w:tc>
          <w:tcPr>
            <w:tcW w:w="2360" w:type="dxa"/>
            <w:gridSpan w:val="2"/>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2007</w:t>
            </w:r>
          </w:p>
        </w:tc>
        <w:tc>
          <w:tcPr>
            <w:tcW w:w="253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2008</w:t>
            </w:r>
          </w:p>
        </w:tc>
        <w:tc>
          <w:tcPr>
            <w:tcW w:w="253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2009</w:t>
            </w:r>
          </w:p>
        </w:tc>
      </w:tr>
      <w:tr w:rsidR="00EE2459" w:rsidRPr="00A0451E" w:rsidTr="0044388A">
        <w:trPr>
          <w:trHeight w:val="223"/>
        </w:trPr>
        <w:tc>
          <w:tcPr>
            <w:tcW w:w="3078" w:type="dxa"/>
            <w:vMerge/>
            <w:tcBorders>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p>
        </w:tc>
        <w:tc>
          <w:tcPr>
            <w:tcW w:w="1170" w:type="dxa"/>
            <w:tcBorders>
              <w:top w:val="single" w:sz="4" w:space="0" w:color="auto"/>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90"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170"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90"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170"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90"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348" w:type="dxa"/>
            <w:tcBorders>
              <w:top w:val="single" w:sz="4" w:space="0" w:color="auto"/>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348"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General public services</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255,603.2</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58.09%</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283,341.1</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78.45%</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316,139.3</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62.65%</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534,567.2</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77.10%</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417,771.9</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66.44%</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Defense</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21,562.2</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4.90%</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24,426.1</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6.76%</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30,685.9</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6.08%</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9,158.5</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1.32%</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13,145.7</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2.09%</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Public order and safety</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15,617.3</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3.55%</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23,743.1</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6.57%</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28,315.9</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5.61%</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7,019.2</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1.01%</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7,753.9</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1.23%</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Economic affairs</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23,504.0</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5.34%</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38,295.6</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10.60%</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42,222.0</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8.37%</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50,484.8</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7.28%</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58,845.1</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9.36%</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Environment</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1,333.9</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0.30%</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2,664.5</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0.74%</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4,952.6</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0.98%</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5,315.1</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0.77%</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10,703.0</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1.70%</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 w:val="18"/>
                <w:szCs w:val="18"/>
              </w:rPr>
              <w:t>Housing and community amenities</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4,216.5</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0.96%</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5,457.2</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1.51%</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9,134.6</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1.81%</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12,448.7</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1.80%</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14,648.5</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2.33%</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Health</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12,189.7</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2.77%</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5,836.9</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1.62%</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16,004.5</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3.17%</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14,038.9</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2.02%</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15,743.1</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2.50%</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Tourism and culture</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588.6</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0.13%</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905.4</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0.25%</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1,851.2</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0.37%</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1,293.7</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0.19%</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1,406.2</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0.22%</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Religion</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1,411.2</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0.32%</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1,312.3</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0.36%</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1,884.2</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0.37%</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745.7</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0.11%</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773.5</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0.12%</w:t>
            </w:r>
          </w:p>
        </w:tc>
      </w:tr>
      <w:tr w:rsidR="00EE2459" w:rsidRPr="00A0451E" w:rsidTr="0044388A">
        <w:trPr>
          <w:trHeight w:val="223"/>
        </w:trPr>
        <w:tc>
          <w:tcPr>
            <w:tcW w:w="3078"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Education</w:t>
            </w:r>
          </w:p>
        </w:tc>
        <w:tc>
          <w:tcPr>
            <w:tcW w:w="1170"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29,307.9</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6.66%</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45,303.9</w:t>
            </w:r>
          </w:p>
        </w:tc>
        <w:tc>
          <w:tcPr>
            <w:tcW w:w="1190"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12.54%</w:t>
            </w:r>
          </w:p>
        </w:tc>
        <w:tc>
          <w:tcPr>
            <w:tcW w:w="117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50,843.4</w:t>
            </w:r>
          </w:p>
        </w:tc>
        <w:tc>
          <w:tcPr>
            <w:tcW w:w="1190"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10.08%</w:t>
            </w:r>
          </w:p>
        </w:tc>
        <w:tc>
          <w:tcPr>
            <w:tcW w:w="1348" w:type="dxa"/>
            <w:tcBorders>
              <w:top w:val="nil"/>
              <w:left w:val="single" w:sz="4" w:space="0" w:color="auto"/>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55,298.0</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7.98%</w:t>
            </w:r>
          </w:p>
        </w:tc>
        <w:tc>
          <w:tcPr>
            <w:tcW w:w="1348" w:type="dxa"/>
            <w:tcBorders>
              <w:top w:val="nil"/>
              <w:left w:val="nil"/>
              <w:bottom w:val="nil"/>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84,919.5</w:t>
            </w:r>
          </w:p>
        </w:tc>
        <w:tc>
          <w:tcPr>
            <w:tcW w:w="1189"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13.50%</w:t>
            </w:r>
          </w:p>
        </w:tc>
      </w:tr>
      <w:tr w:rsidR="00EE2459" w:rsidRPr="00A0451E" w:rsidTr="0044388A">
        <w:trPr>
          <w:trHeight w:val="223"/>
        </w:trPr>
        <w:tc>
          <w:tcPr>
            <w:tcW w:w="3078" w:type="dxa"/>
            <w:tcBorders>
              <w:top w:val="nil"/>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Social protection</w:t>
            </w:r>
          </w:p>
        </w:tc>
        <w:tc>
          <w:tcPr>
            <w:tcW w:w="1170" w:type="dxa"/>
            <w:tcBorders>
              <w:top w:val="nil"/>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2,103.8</w:t>
            </w:r>
          </w:p>
        </w:tc>
        <w:tc>
          <w:tcPr>
            <w:tcW w:w="1190"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0.48%</w:t>
            </w:r>
          </w:p>
        </w:tc>
        <w:tc>
          <w:tcPr>
            <w:tcW w:w="1170"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2,303.3</w:t>
            </w:r>
          </w:p>
        </w:tc>
        <w:tc>
          <w:tcPr>
            <w:tcW w:w="1190"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0.64%</w:t>
            </w:r>
          </w:p>
        </w:tc>
        <w:tc>
          <w:tcPr>
            <w:tcW w:w="1170"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2,650.4</w:t>
            </w:r>
          </w:p>
        </w:tc>
        <w:tc>
          <w:tcPr>
            <w:tcW w:w="1190"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0.53%</w:t>
            </w:r>
          </w:p>
        </w:tc>
        <w:tc>
          <w:tcPr>
            <w:tcW w:w="1348" w:type="dxa"/>
            <w:tcBorders>
              <w:top w:val="nil"/>
              <w:left w:val="single" w:sz="4" w:space="0" w:color="auto"/>
              <w:bottom w:val="single" w:sz="4" w:space="0" w:color="auto"/>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363435"/>
                <w:szCs w:val="22"/>
              </w:rPr>
            </w:pPr>
            <w:r w:rsidRPr="00A0451E">
              <w:rPr>
                <w:rFonts w:ascii="Times New Roman" w:eastAsia="Times New Roman" w:hAnsi="Times New Roman" w:cs="Times New Roman"/>
                <w:color w:val="363435"/>
                <w:szCs w:val="22"/>
              </w:rPr>
              <w:t>2,986.4</w:t>
            </w:r>
          </w:p>
        </w:tc>
        <w:tc>
          <w:tcPr>
            <w:tcW w:w="1189"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0.43%</w:t>
            </w:r>
          </w:p>
        </w:tc>
        <w:tc>
          <w:tcPr>
            <w:tcW w:w="1348" w:type="dxa"/>
            <w:tcBorders>
              <w:top w:val="nil"/>
              <w:left w:val="nil"/>
              <w:bottom w:val="single" w:sz="4" w:space="0" w:color="auto"/>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3,102.3</w:t>
            </w:r>
          </w:p>
        </w:tc>
        <w:tc>
          <w:tcPr>
            <w:tcW w:w="1189"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0.49%</w:t>
            </w:r>
          </w:p>
        </w:tc>
      </w:tr>
      <w:tr w:rsidR="00EE2459" w:rsidRPr="00A0451E" w:rsidTr="0044388A">
        <w:trPr>
          <w:trHeight w:val="223"/>
        </w:trPr>
        <w:tc>
          <w:tcPr>
            <w:tcW w:w="3078" w:type="dxa"/>
            <w:tcBorders>
              <w:top w:val="nil"/>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Total</w:t>
            </w:r>
          </w:p>
        </w:tc>
        <w:tc>
          <w:tcPr>
            <w:tcW w:w="1170" w:type="dxa"/>
            <w:tcBorders>
              <w:top w:val="nil"/>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440,031.2</w:t>
            </w:r>
          </w:p>
        </w:tc>
        <w:tc>
          <w:tcPr>
            <w:tcW w:w="1190"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170"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361,155.2</w:t>
            </w:r>
          </w:p>
        </w:tc>
        <w:tc>
          <w:tcPr>
            <w:tcW w:w="1190"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170"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504,623.5</w:t>
            </w:r>
          </w:p>
        </w:tc>
        <w:tc>
          <w:tcPr>
            <w:tcW w:w="1190"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348" w:type="dxa"/>
            <w:tcBorders>
              <w:top w:val="nil"/>
              <w:left w:val="single" w:sz="4" w:space="0" w:color="auto"/>
              <w:bottom w:val="single" w:sz="4" w:space="0" w:color="auto"/>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693,356.0</w:t>
            </w:r>
          </w:p>
        </w:tc>
        <w:tc>
          <w:tcPr>
            <w:tcW w:w="1189"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348" w:type="dxa"/>
            <w:tcBorders>
              <w:top w:val="nil"/>
              <w:left w:val="nil"/>
              <w:bottom w:val="single" w:sz="4" w:space="0" w:color="auto"/>
              <w:right w:val="nil"/>
            </w:tcBorders>
            <w:shd w:val="clear" w:color="auto" w:fill="auto"/>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628,812.4</w:t>
            </w:r>
          </w:p>
        </w:tc>
        <w:tc>
          <w:tcPr>
            <w:tcW w:w="1189"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r>
    </w:tbl>
    <w:tbl>
      <w:tblPr>
        <w:tblpPr w:leftFromText="180" w:rightFromText="180" w:vertAnchor="text" w:horzAnchor="margin" w:tblpXSpec="center" w:tblpY="299"/>
        <w:tblW w:w="15170" w:type="dxa"/>
        <w:tblLook w:val="04A0" w:firstRow="1" w:lastRow="0" w:firstColumn="1" w:lastColumn="0" w:noHBand="0" w:noVBand="1"/>
      </w:tblPr>
      <w:tblGrid>
        <w:gridCol w:w="3104"/>
        <w:gridCol w:w="1181"/>
        <w:gridCol w:w="1181"/>
        <w:gridCol w:w="1181"/>
        <w:gridCol w:w="1181"/>
        <w:gridCol w:w="1181"/>
        <w:gridCol w:w="1181"/>
        <w:gridCol w:w="1309"/>
        <w:gridCol w:w="1181"/>
        <w:gridCol w:w="1309"/>
        <w:gridCol w:w="1181"/>
      </w:tblGrid>
      <w:tr w:rsidR="00EE2459" w:rsidRPr="00A0451E" w:rsidTr="0044388A">
        <w:trPr>
          <w:trHeight w:val="300"/>
        </w:trPr>
        <w:tc>
          <w:tcPr>
            <w:tcW w:w="3104" w:type="dxa"/>
            <w:vMerge w:val="restart"/>
            <w:tcBorders>
              <w:top w:val="single" w:sz="4" w:space="0" w:color="auto"/>
              <w:left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Functions</w:t>
            </w:r>
          </w:p>
        </w:tc>
        <w:tc>
          <w:tcPr>
            <w:tcW w:w="236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2010</w:t>
            </w:r>
          </w:p>
        </w:tc>
        <w:tc>
          <w:tcPr>
            <w:tcW w:w="2362" w:type="dxa"/>
            <w:gridSpan w:val="2"/>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2011</w:t>
            </w:r>
          </w:p>
        </w:tc>
        <w:tc>
          <w:tcPr>
            <w:tcW w:w="23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2012</w:t>
            </w:r>
          </w:p>
        </w:tc>
        <w:tc>
          <w:tcPr>
            <w:tcW w:w="2490" w:type="dxa"/>
            <w:gridSpan w:val="2"/>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2013</w:t>
            </w:r>
          </w:p>
        </w:tc>
        <w:tc>
          <w:tcPr>
            <w:tcW w:w="24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2014</w:t>
            </w:r>
          </w:p>
        </w:tc>
      </w:tr>
      <w:tr w:rsidR="00EE2459" w:rsidRPr="00A0451E" w:rsidTr="0044388A">
        <w:trPr>
          <w:trHeight w:val="300"/>
        </w:trPr>
        <w:tc>
          <w:tcPr>
            <w:tcW w:w="3104" w:type="dxa"/>
            <w:vMerge/>
            <w:tcBorders>
              <w:left w:val="single" w:sz="4" w:space="0" w:color="auto"/>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p>
        </w:tc>
        <w:tc>
          <w:tcPr>
            <w:tcW w:w="1181"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1"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181"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1"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181" w:type="dxa"/>
            <w:tcBorders>
              <w:top w:val="nil"/>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1"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309"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1" w:type="dxa"/>
            <w:tcBorders>
              <w:top w:val="nil"/>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309" w:type="dxa"/>
            <w:tcBorders>
              <w:top w:val="nil"/>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1" w:type="dxa"/>
            <w:tcBorders>
              <w:top w:val="nil"/>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General public services</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471,557.6</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67.62%</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580,283.2</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63.89%</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609,604.9</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63.89%</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720,060.0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62.38%</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794,772.0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63.58%</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Defense</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17,080.5</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2.45%</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61,275.0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6.75%</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64,371.2</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6.75%</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81,769.0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7.08%</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86,307.0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6.90%</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Public order and safety</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13,835.4</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1.98%</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24,822.9</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2.73%</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26,077.2</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2.73%</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36,487.0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3.16%</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37,953.0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3.04%</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Economic affairs</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52,178.4</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7.48%</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92,839.1</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10.22%</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97,530.2</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10.22%</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122,888.0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10.65%</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128,274.0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10.26%</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Environment</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6,549.6</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0.94%</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10,122.0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1.11%</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10,633.4</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1.11%</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12,446.0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1.08%</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12,179.0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0.97%</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 w:val="18"/>
                <w:szCs w:val="18"/>
              </w:rPr>
              <w:t>Housing and community amenities</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20,053.2</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2.88%</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24,741.2</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2.72%</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25,991.3</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2.72%</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30,722.0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2.66%</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31,487.0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2.52%</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Health</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18,793.0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2.69%</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13,986.6</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1.54%</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14,693.3</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1.54%</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17,493.0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1.52%</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13,078.0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1.05%</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Tourism and culture</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1,408.7</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2,353.5</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0.26%</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2,472.4</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0.26%</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2,509.0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0.22%</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2,053.0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0.16%</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Religion</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878.8</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0.13%</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1,808.8</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0.20%</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1,900.2</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0.20%</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4,100.0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0.36%</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4,463.0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0.36%</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Education</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90,818.3</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13.02%</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91,001.3</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10.02%</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95,599.6</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10.02%</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118,467.0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10.26%</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131,314.0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10.51%</w:t>
            </w:r>
          </w:p>
        </w:tc>
      </w:tr>
      <w:tr w:rsidR="00EE2459" w:rsidRPr="00A0451E" w:rsidTr="0044388A">
        <w:trPr>
          <w:trHeight w:val="300"/>
        </w:trPr>
        <w:tc>
          <w:tcPr>
            <w:tcW w:w="3104" w:type="dxa"/>
            <w:tcBorders>
              <w:top w:val="nil"/>
              <w:left w:val="single" w:sz="4" w:space="0" w:color="auto"/>
              <w:bottom w:val="nil"/>
              <w:right w:val="single" w:sz="4" w:space="0" w:color="auto"/>
            </w:tcBorders>
            <w:shd w:val="clear" w:color="auto" w:fill="auto"/>
            <w:noWrap/>
            <w:vAlign w:val="center"/>
            <w:hideMark/>
          </w:tcPr>
          <w:p w:rsidR="00EE2459" w:rsidRPr="00A0451E" w:rsidRDefault="00EE2459" w:rsidP="0044388A">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Social protection</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3,341.6</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0.48%</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5,009.8</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0.55%</w:t>
            </w:r>
          </w:p>
        </w:tc>
        <w:tc>
          <w:tcPr>
            <w:tcW w:w="1181"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5,262.9</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0.55%</w:t>
            </w:r>
          </w:p>
        </w:tc>
        <w:tc>
          <w:tcPr>
            <w:tcW w:w="1309"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7,440.0</w:t>
            </w:r>
          </w:p>
        </w:tc>
        <w:tc>
          <w:tcPr>
            <w:tcW w:w="1181" w:type="dxa"/>
            <w:tcBorders>
              <w:top w:val="nil"/>
              <w:left w:val="nil"/>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0.64%</w:t>
            </w:r>
          </w:p>
        </w:tc>
        <w:tc>
          <w:tcPr>
            <w:tcW w:w="1309" w:type="dxa"/>
            <w:tcBorders>
              <w:top w:val="nil"/>
              <w:left w:val="single" w:sz="4" w:space="0" w:color="auto"/>
              <w:bottom w:val="nil"/>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8,063.0</w:t>
            </w:r>
          </w:p>
        </w:tc>
        <w:tc>
          <w:tcPr>
            <w:tcW w:w="1181" w:type="dxa"/>
            <w:tcBorders>
              <w:top w:val="nil"/>
              <w:left w:val="nil"/>
              <w:bottom w:val="nil"/>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0.65%</w:t>
            </w:r>
          </w:p>
        </w:tc>
      </w:tr>
      <w:tr w:rsidR="00EE2459" w:rsidRPr="00A0451E" w:rsidTr="0044388A">
        <w:trPr>
          <w:trHeight w:val="300"/>
        </w:trPr>
        <w:tc>
          <w:tcPr>
            <w:tcW w:w="31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center"/>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Total</w:t>
            </w:r>
          </w:p>
        </w:tc>
        <w:tc>
          <w:tcPr>
            <w:tcW w:w="1181"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697,406.4</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181"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908,243.4</w:t>
            </w:r>
          </w:p>
        </w:tc>
        <w:tc>
          <w:tcPr>
            <w:tcW w:w="1181"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181" w:type="dxa"/>
            <w:tcBorders>
              <w:top w:val="single" w:sz="4" w:space="0" w:color="auto"/>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954,136.8</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309"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1,154,381.0</w:t>
            </w:r>
          </w:p>
        </w:tc>
        <w:tc>
          <w:tcPr>
            <w:tcW w:w="1181" w:type="dxa"/>
            <w:tcBorders>
              <w:top w:val="single" w:sz="4" w:space="0" w:color="auto"/>
              <w:left w:val="nil"/>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c>
          <w:tcPr>
            <w:tcW w:w="1309" w:type="dxa"/>
            <w:tcBorders>
              <w:top w:val="single" w:sz="4" w:space="0" w:color="auto"/>
              <w:left w:val="single" w:sz="4" w:space="0" w:color="auto"/>
              <w:bottom w:val="single" w:sz="4" w:space="0" w:color="auto"/>
              <w:right w:val="nil"/>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1,249,943.0</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EE2459" w:rsidRPr="00A0451E" w:rsidRDefault="00EE2459" w:rsidP="0044388A">
            <w:pPr>
              <w:spacing w:after="0" w:line="240" w:lineRule="auto"/>
              <w:jc w:val="right"/>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100.00%</w:t>
            </w:r>
          </w:p>
        </w:tc>
      </w:tr>
    </w:tbl>
    <w:p w:rsidR="00EE2459" w:rsidRDefault="00EE2459" w:rsidP="00EE2459">
      <w:pPr>
        <w:rPr>
          <w:rFonts w:ascii="Times New Roman" w:hAnsi="Times New Roman" w:cs="Times New Roman"/>
          <w:sz w:val="24"/>
          <w:szCs w:val="24"/>
        </w:rPr>
      </w:pPr>
    </w:p>
    <w:p w:rsidR="00EE2459" w:rsidRPr="00587B83" w:rsidRDefault="00EE2459" w:rsidP="00EE2459">
      <w:pPr>
        <w:rPr>
          <w:rFonts w:ascii="Times New Roman" w:hAnsi="Times New Roman" w:cs="Times New Roman"/>
          <w:i/>
          <w:iCs/>
          <w:sz w:val="18"/>
          <w:szCs w:val="18"/>
        </w:rPr>
      </w:pPr>
      <w:r>
        <w:rPr>
          <w:rFonts w:ascii="Times New Roman" w:hAnsi="Times New Roman" w:cs="Times New Roman"/>
          <w:i/>
          <w:iCs/>
          <w:sz w:val="18"/>
          <w:szCs w:val="18"/>
        </w:rPr>
        <w:t>Source: Ministry of Finance, Statistics Indonesia (</w:t>
      </w:r>
      <w:r w:rsidRPr="00587B83">
        <w:rPr>
          <w:rFonts w:ascii="Times New Roman" w:hAnsi="Times New Roman" w:cs="Times New Roman"/>
          <w:i/>
          <w:iCs/>
          <w:sz w:val="18"/>
          <w:szCs w:val="18"/>
        </w:rPr>
        <w:t>BPS</w:t>
      </w:r>
      <w:r>
        <w:rPr>
          <w:rFonts w:ascii="Times New Roman" w:hAnsi="Times New Roman" w:cs="Times New Roman"/>
          <w:i/>
          <w:iCs/>
          <w:sz w:val="18"/>
          <w:szCs w:val="18"/>
        </w:rPr>
        <w:t>)</w:t>
      </w:r>
    </w:p>
    <w:p w:rsidR="00EE2459" w:rsidRPr="00587B83" w:rsidRDefault="00EE2459" w:rsidP="00EE2459">
      <w:pPr>
        <w:rPr>
          <w:rFonts w:ascii="Times New Roman" w:hAnsi="Times New Roman" w:cs="Times New Roman"/>
          <w:i/>
          <w:iCs/>
          <w:sz w:val="18"/>
          <w:szCs w:val="18"/>
        </w:rPr>
      </w:pPr>
    </w:p>
    <w:p w:rsidR="00EE2459" w:rsidRDefault="00EE2459" w:rsidP="00EE2459">
      <w:pPr>
        <w:rPr>
          <w:rFonts w:ascii="Times New Roman" w:hAnsi="Times New Roman" w:cs="Times New Roman"/>
          <w:sz w:val="24"/>
          <w:szCs w:val="24"/>
        </w:rPr>
        <w:sectPr w:rsidR="00EE2459" w:rsidSect="00125F85">
          <w:pgSz w:w="15840" w:h="12240" w:orient="landscape"/>
          <w:pgMar w:top="1440" w:right="1440" w:bottom="1440" w:left="1440" w:header="720" w:footer="720" w:gutter="0"/>
          <w:cols w:space="720"/>
          <w:docGrid w:linePitch="360"/>
        </w:sectPr>
      </w:pPr>
    </w:p>
    <w:p w:rsidR="00EE2459" w:rsidRPr="00587B83" w:rsidRDefault="00EE2459" w:rsidP="00EE2459">
      <w:pPr>
        <w:rPr>
          <w:rFonts w:ascii="Times New Roman" w:hAnsi="Times New Roman" w:cs="Times New Roman"/>
          <w:b/>
          <w:bCs/>
          <w:sz w:val="24"/>
          <w:szCs w:val="24"/>
        </w:rPr>
      </w:pPr>
      <w:r>
        <w:rPr>
          <w:rFonts w:ascii="Times New Roman" w:hAnsi="Times New Roman" w:cs="Times New Roman"/>
          <w:b/>
          <w:bCs/>
          <w:sz w:val="24"/>
          <w:szCs w:val="24"/>
        </w:rPr>
        <w:lastRenderedPageBreak/>
        <w:t>Figure 5-1</w:t>
      </w:r>
      <w:r w:rsidRPr="00587B83">
        <w:rPr>
          <w:rFonts w:ascii="Times New Roman" w:hAnsi="Times New Roman" w:cs="Times New Roman"/>
          <w:b/>
          <w:bCs/>
          <w:sz w:val="24"/>
          <w:szCs w:val="24"/>
        </w:rPr>
        <w:t xml:space="preserve"> Proportion of Government Expenditure</w:t>
      </w:r>
    </w:p>
    <w:p w:rsidR="00EE2459" w:rsidRDefault="00EE2459" w:rsidP="00EE2459">
      <w:pPr>
        <w:rPr>
          <w:rFonts w:ascii="Times New Roman" w:hAnsi="Times New Roman" w:cs="Times New Roman"/>
          <w:sz w:val="24"/>
          <w:szCs w:val="24"/>
        </w:rPr>
      </w:pPr>
      <w:r>
        <w:rPr>
          <w:noProof/>
        </w:rPr>
        <w:drawing>
          <wp:inline distT="0" distB="0" distL="0" distR="0" wp14:anchorId="50591802" wp14:editId="04FAF74C">
            <wp:extent cx="5943600" cy="32480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E2459" w:rsidRPr="00587B83" w:rsidRDefault="00EE2459" w:rsidP="00EE2459">
      <w:pPr>
        <w:rPr>
          <w:rFonts w:ascii="Times New Roman" w:hAnsi="Times New Roman" w:cs="Times New Roman"/>
          <w:i/>
          <w:iCs/>
          <w:sz w:val="18"/>
          <w:szCs w:val="18"/>
        </w:rPr>
      </w:pPr>
      <w:r>
        <w:rPr>
          <w:rFonts w:ascii="Times New Roman" w:hAnsi="Times New Roman" w:cs="Times New Roman"/>
          <w:i/>
          <w:iCs/>
          <w:sz w:val="18"/>
          <w:szCs w:val="18"/>
        </w:rPr>
        <w:t>Source: Ministry of Finance, Statistics Indonesia (</w:t>
      </w:r>
      <w:r w:rsidRPr="00587B83">
        <w:rPr>
          <w:rFonts w:ascii="Times New Roman" w:hAnsi="Times New Roman" w:cs="Times New Roman"/>
          <w:i/>
          <w:iCs/>
          <w:sz w:val="18"/>
          <w:szCs w:val="18"/>
        </w:rPr>
        <w:t>BPS</w:t>
      </w:r>
      <w:r>
        <w:rPr>
          <w:rFonts w:ascii="Times New Roman" w:hAnsi="Times New Roman" w:cs="Times New Roman"/>
          <w:i/>
          <w:iCs/>
          <w:sz w:val="18"/>
          <w:szCs w:val="18"/>
        </w:rPr>
        <w:t>)</w:t>
      </w:r>
    </w:p>
    <w:p w:rsidR="00EE2459" w:rsidRPr="00587B83" w:rsidRDefault="00EE2459" w:rsidP="00EE2459">
      <w:pPr>
        <w:rPr>
          <w:rFonts w:ascii="Times New Roman" w:hAnsi="Times New Roman" w:cs="Times New Roman"/>
          <w:i/>
          <w:iCs/>
          <w:sz w:val="18"/>
          <w:szCs w:val="18"/>
        </w:rPr>
      </w:pPr>
    </w:p>
    <w:p w:rsidR="00EE2459" w:rsidRPr="00C574EA" w:rsidRDefault="00EE2459" w:rsidP="00EE2459">
      <w:pPr>
        <w:rPr>
          <w:rFonts w:ascii="Times New Roman" w:hAnsi="Times New Roman" w:cs="Times New Roman"/>
          <w:b/>
          <w:bCs/>
          <w:sz w:val="24"/>
          <w:szCs w:val="24"/>
        </w:rPr>
      </w:pPr>
      <w:r>
        <w:rPr>
          <w:rFonts w:ascii="Times New Roman" w:hAnsi="Times New Roman" w:cs="Times New Roman"/>
          <w:b/>
          <w:bCs/>
          <w:sz w:val="24"/>
          <w:szCs w:val="24"/>
        </w:rPr>
        <w:t>Figure 5-2</w:t>
      </w:r>
      <w:r w:rsidRPr="00C574EA">
        <w:rPr>
          <w:rFonts w:ascii="Times New Roman" w:hAnsi="Times New Roman" w:cs="Times New Roman"/>
          <w:b/>
          <w:bCs/>
          <w:sz w:val="24"/>
          <w:szCs w:val="24"/>
        </w:rPr>
        <w:t xml:space="preserve"> Proportion of Government Expenditure (Excluding General Public Services)</w:t>
      </w:r>
    </w:p>
    <w:p w:rsidR="00EE2459" w:rsidRDefault="00EE2459" w:rsidP="00EE2459">
      <w:pPr>
        <w:rPr>
          <w:rFonts w:ascii="Times New Roman" w:hAnsi="Times New Roman" w:cs="Times New Roman"/>
          <w:sz w:val="24"/>
          <w:szCs w:val="24"/>
        </w:rPr>
      </w:pPr>
      <w:r>
        <w:rPr>
          <w:noProof/>
        </w:rPr>
        <w:drawing>
          <wp:inline distT="0" distB="0" distL="0" distR="0" wp14:anchorId="2AEDC7AC" wp14:editId="7F11D9A3">
            <wp:extent cx="5943600" cy="3383280"/>
            <wp:effectExtent l="0" t="0" r="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0" w:name="_GoBack"/>
      <w:bookmarkEnd w:id="0"/>
    </w:p>
    <w:p w:rsidR="00EE2459" w:rsidRPr="00587B83" w:rsidRDefault="00EE2459" w:rsidP="00EE2459">
      <w:pPr>
        <w:rPr>
          <w:rFonts w:ascii="Times New Roman" w:hAnsi="Times New Roman" w:cs="Times New Roman"/>
          <w:i/>
          <w:iCs/>
          <w:sz w:val="18"/>
          <w:szCs w:val="18"/>
        </w:rPr>
      </w:pPr>
      <w:r>
        <w:rPr>
          <w:rFonts w:ascii="Times New Roman" w:hAnsi="Times New Roman" w:cs="Times New Roman"/>
          <w:i/>
          <w:iCs/>
          <w:sz w:val="18"/>
          <w:szCs w:val="18"/>
        </w:rPr>
        <w:t>Source: Ministry of Finance, Statistics Indonesia (</w:t>
      </w:r>
      <w:r w:rsidRPr="00587B83">
        <w:rPr>
          <w:rFonts w:ascii="Times New Roman" w:hAnsi="Times New Roman" w:cs="Times New Roman"/>
          <w:i/>
          <w:iCs/>
          <w:sz w:val="18"/>
          <w:szCs w:val="18"/>
        </w:rPr>
        <w:t>BPS</w:t>
      </w:r>
      <w:r>
        <w:rPr>
          <w:rFonts w:ascii="Times New Roman" w:hAnsi="Times New Roman" w:cs="Times New Roman"/>
          <w:i/>
          <w:iCs/>
          <w:sz w:val="18"/>
          <w:szCs w:val="18"/>
        </w:rPr>
        <w:t>)</w:t>
      </w:r>
    </w:p>
    <w:p w:rsidR="00DA6D3A" w:rsidRDefault="00DA6D3A">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Pr="00C574EA" w:rsidRDefault="00EE2459" w:rsidP="00EE2459">
      <w:pPr>
        <w:rPr>
          <w:rFonts w:ascii="Times New Roman" w:hAnsi="Times New Roman" w:cs="Times New Roman"/>
          <w:b/>
          <w:bCs/>
          <w:sz w:val="24"/>
          <w:szCs w:val="24"/>
        </w:rPr>
      </w:pPr>
      <w:r>
        <w:rPr>
          <w:rFonts w:ascii="Times New Roman" w:hAnsi="Times New Roman" w:cs="Times New Roman"/>
          <w:b/>
          <w:bCs/>
          <w:sz w:val="24"/>
          <w:szCs w:val="24"/>
        </w:rPr>
        <w:lastRenderedPageBreak/>
        <w:t>Figure 6</w:t>
      </w:r>
      <w:r w:rsidRPr="00C574EA">
        <w:rPr>
          <w:rFonts w:ascii="Times New Roman" w:hAnsi="Times New Roman" w:cs="Times New Roman"/>
          <w:b/>
          <w:bCs/>
          <w:sz w:val="24"/>
          <w:szCs w:val="24"/>
        </w:rPr>
        <w:t xml:space="preserve"> Budget of Central Government Expenditures by Function (billion rupiahs) in 2014</w:t>
      </w:r>
    </w:p>
    <w:p w:rsidR="00EE2459" w:rsidRDefault="00EE2459" w:rsidP="00EE2459">
      <w:pPr>
        <w:rPr>
          <w:rFonts w:ascii="Times New Roman" w:hAnsi="Times New Roman" w:cs="Times New Roman"/>
          <w:sz w:val="24"/>
          <w:szCs w:val="24"/>
        </w:rPr>
      </w:pPr>
      <w:r>
        <w:rPr>
          <w:noProof/>
        </w:rPr>
        <w:drawing>
          <wp:inline distT="0" distB="0" distL="0" distR="0" wp14:anchorId="6AD73F58" wp14:editId="5EA5F9FE">
            <wp:extent cx="5943600" cy="296227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E2459" w:rsidRPr="00587B83"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Ministry of Finance, Statistics Indonesia (</w:t>
      </w:r>
      <w:r w:rsidRPr="00587B83">
        <w:rPr>
          <w:rFonts w:ascii="Times New Roman" w:hAnsi="Times New Roman" w:cs="Times New Roman"/>
          <w:i/>
          <w:iCs/>
          <w:sz w:val="18"/>
          <w:szCs w:val="18"/>
        </w:rPr>
        <w:t>BPS</w:t>
      </w:r>
      <w:r>
        <w:rPr>
          <w:rFonts w:ascii="Times New Roman" w:hAnsi="Times New Roman" w:cs="Times New Roman"/>
          <w:i/>
          <w:iCs/>
          <w:sz w:val="18"/>
          <w:szCs w:val="18"/>
        </w:rPr>
        <w:t>)</w:t>
      </w:r>
    </w:p>
    <w:p w:rsidR="00EE2459" w:rsidRDefault="00EE2459" w:rsidP="00EE2459">
      <w:pPr>
        <w:rPr>
          <w:rFonts w:ascii="Times New Roman" w:hAnsi="Times New Roman" w:cs="Times New Roman"/>
          <w:sz w:val="24"/>
          <w:szCs w:val="24"/>
        </w:rPr>
      </w:pPr>
    </w:p>
    <w:p w:rsidR="00EE2459" w:rsidRPr="00D917CB" w:rsidRDefault="00EE2459" w:rsidP="00EE2459">
      <w:pPr>
        <w:rPr>
          <w:rFonts w:ascii="Times New Roman" w:hAnsi="Times New Roman" w:cs="Times New Roman"/>
          <w:b/>
          <w:bCs/>
          <w:sz w:val="24"/>
          <w:szCs w:val="24"/>
        </w:rPr>
      </w:pPr>
      <w:r w:rsidRPr="00D917CB">
        <w:rPr>
          <w:rFonts w:ascii="Times New Roman" w:hAnsi="Times New Roman" w:cs="Times New Roman"/>
          <w:b/>
          <w:bCs/>
          <w:sz w:val="24"/>
          <w:szCs w:val="24"/>
        </w:rPr>
        <w:t>Figure 7 Health Expenditure (% of total expenditure)</w:t>
      </w:r>
    </w:p>
    <w:p w:rsidR="00EE2459" w:rsidRDefault="00EE2459" w:rsidP="00EE2459">
      <w:pPr>
        <w:jc w:val="center"/>
        <w:rPr>
          <w:rFonts w:ascii="Times New Roman" w:hAnsi="Times New Roman" w:cs="Times New Roman"/>
          <w:sz w:val="24"/>
          <w:szCs w:val="24"/>
        </w:rPr>
      </w:pPr>
      <w:r>
        <w:rPr>
          <w:noProof/>
        </w:rPr>
        <w:drawing>
          <wp:inline distT="0" distB="0" distL="0" distR="0" wp14:anchorId="20747C30" wp14:editId="2FCCFB08">
            <wp:extent cx="5924550" cy="343852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E2459" w:rsidRPr="00587B83"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Ministry of Finance, Statistics Indonesia (</w:t>
      </w:r>
      <w:r w:rsidRPr="00587B83">
        <w:rPr>
          <w:rFonts w:ascii="Times New Roman" w:hAnsi="Times New Roman" w:cs="Times New Roman"/>
          <w:i/>
          <w:iCs/>
          <w:sz w:val="18"/>
          <w:szCs w:val="18"/>
        </w:rPr>
        <w:t>BPS</w:t>
      </w:r>
      <w:r>
        <w:rPr>
          <w:rFonts w:ascii="Times New Roman" w:hAnsi="Times New Roman" w:cs="Times New Roman"/>
          <w:i/>
          <w:iCs/>
          <w:sz w:val="18"/>
          <w:szCs w:val="18"/>
        </w:rPr>
        <w:t>), World Bank</w:t>
      </w:r>
    </w:p>
    <w:p w:rsidR="00DA6D3A" w:rsidRDefault="00DA6D3A">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Pr="00D917CB" w:rsidRDefault="00EE2459" w:rsidP="00EE2459">
      <w:pPr>
        <w:rPr>
          <w:rFonts w:ascii="Times New Roman" w:hAnsi="Times New Roman" w:cs="Times New Roman"/>
          <w:b/>
          <w:bCs/>
          <w:sz w:val="24"/>
          <w:szCs w:val="24"/>
        </w:rPr>
      </w:pPr>
      <w:r w:rsidRPr="00D917CB">
        <w:rPr>
          <w:rFonts w:ascii="Times New Roman" w:hAnsi="Times New Roman" w:cs="Times New Roman"/>
          <w:b/>
          <w:bCs/>
          <w:sz w:val="24"/>
          <w:szCs w:val="24"/>
        </w:rPr>
        <w:lastRenderedPageBreak/>
        <w:t>Figure 7 Health Expenditure (% of total expenditure)</w:t>
      </w:r>
    </w:p>
    <w:p w:rsidR="00EE2459" w:rsidRDefault="00EE2459" w:rsidP="00EE2459">
      <w:pPr>
        <w:rPr>
          <w:rFonts w:ascii="Times New Roman" w:hAnsi="Times New Roman" w:cs="Times New Roman"/>
          <w:b/>
          <w:bCs/>
          <w:sz w:val="24"/>
          <w:szCs w:val="24"/>
        </w:rPr>
      </w:pPr>
      <w:r>
        <w:rPr>
          <w:noProof/>
        </w:rPr>
        <w:drawing>
          <wp:inline distT="0" distB="0" distL="0" distR="0" wp14:anchorId="65C72138" wp14:editId="23524DD8">
            <wp:extent cx="6257925" cy="4343400"/>
            <wp:effectExtent l="0" t="0" r="9525"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Default="00EE2459" w:rsidP="00EE2459">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Pr="002C2B9C" w:rsidRDefault="00EE2459" w:rsidP="00EE2459">
      <w:pPr>
        <w:rPr>
          <w:rFonts w:ascii="Times New Roman" w:eastAsia="Times New Roman" w:hAnsi="Times New Roman" w:cs="Times New Roman"/>
          <w:b/>
          <w:bCs/>
          <w:color w:val="000000"/>
          <w:sz w:val="24"/>
          <w:szCs w:val="24"/>
        </w:rPr>
      </w:pPr>
      <w:r w:rsidRPr="002C2B9C">
        <w:rPr>
          <w:rFonts w:ascii="Times New Roman" w:hAnsi="Times New Roman" w:cs="Times New Roman"/>
          <w:b/>
          <w:bCs/>
          <w:sz w:val="24"/>
          <w:szCs w:val="24"/>
        </w:rPr>
        <w:lastRenderedPageBreak/>
        <w:t xml:space="preserve">Figure 9-1 </w:t>
      </w:r>
      <w:r w:rsidRPr="002C2B9C">
        <w:rPr>
          <w:rFonts w:ascii="Times New Roman" w:eastAsia="Times New Roman" w:hAnsi="Times New Roman" w:cs="Times New Roman"/>
          <w:b/>
          <w:bCs/>
          <w:color w:val="000000"/>
          <w:sz w:val="24"/>
          <w:szCs w:val="24"/>
        </w:rPr>
        <w:t>Maternal Mortality Ratio (per 100,000 live births)</w:t>
      </w:r>
    </w:p>
    <w:p w:rsidR="00EE2459" w:rsidRDefault="00EE2459" w:rsidP="00EE2459">
      <w:pPr>
        <w:jc w:val="center"/>
        <w:rPr>
          <w:rFonts w:ascii="Times New Roman" w:hAnsi="Times New Roman" w:cs="Times New Roman"/>
          <w:sz w:val="24"/>
          <w:szCs w:val="24"/>
        </w:rPr>
      </w:pPr>
      <w:r>
        <w:rPr>
          <w:noProof/>
        </w:rPr>
        <w:drawing>
          <wp:inline distT="0" distB="0" distL="0" distR="0" wp14:anchorId="27810B8C" wp14:editId="1CA4B68E">
            <wp:extent cx="5981700" cy="2820035"/>
            <wp:effectExtent l="0" t="0" r="0" b="1841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Pr="00587B83" w:rsidRDefault="00EE2459" w:rsidP="00EE2459">
      <w:pPr>
        <w:rPr>
          <w:rFonts w:ascii="Times New Roman" w:hAnsi="Times New Roman" w:cs="Times New Roman"/>
          <w:i/>
          <w:iCs/>
          <w:sz w:val="18"/>
          <w:szCs w:val="18"/>
        </w:rPr>
      </w:pPr>
    </w:p>
    <w:p w:rsidR="00EE2459" w:rsidRPr="002C2B9C" w:rsidRDefault="00EE2459" w:rsidP="00EE2459">
      <w:pPr>
        <w:rPr>
          <w:rFonts w:ascii="Times New Roman" w:eastAsia="Times New Roman" w:hAnsi="Times New Roman" w:cs="Times New Roman"/>
          <w:b/>
          <w:bCs/>
          <w:color w:val="000000"/>
          <w:sz w:val="24"/>
          <w:szCs w:val="24"/>
        </w:rPr>
      </w:pPr>
      <w:r w:rsidRPr="002C2B9C">
        <w:rPr>
          <w:rFonts w:ascii="Times New Roman" w:hAnsi="Times New Roman" w:cs="Times New Roman"/>
          <w:b/>
          <w:bCs/>
          <w:sz w:val="24"/>
          <w:szCs w:val="24"/>
        </w:rPr>
        <w:t xml:space="preserve">Figure 9-2 </w:t>
      </w:r>
      <w:r w:rsidRPr="002C2B9C">
        <w:rPr>
          <w:rFonts w:ascii="Times New Roman" w:eastAsia="Times New Roman" w:hAnsi="Times New Roman" w:cs="Times New Roman"/>
          <w:b/>
          <w:bCs/>
          <w:color w:val="000000"/>
          <w:sz w:val="24"/>
          <w:szCs w:val="24"/>
        </w:rPr>
        <w:t>Maternal Mortality Ratio (per 100,000 live births) in 2014</w:t>
      </w:r>
    </w:p>
    <w:p w:rsidR="00EE2459" w:rsidRDefault="00EE2459" w:rsidP="00EE2459">
      <w:pPr>
        <w:jc w:val="center"/>
        <w:rPr>
          <w:rFonts w:ascii="Times New Roman" w:hAnsi="Times New Roman" w:cs="Times New Roman"/>
          <w:sz w:val="24"/>
          <w:szCs w:val="24"/>
        </w:rPr>
      </w:pPr>
      <w:r>
        <w:rPr>
          <w:noProof/>
        </w:rPr>
        <w:drawing>
          <wp:inline distT="0" distB="0" distL="0" distR="0" wp14:anchorId="75FC1E01" wp14:editId="641803F2">
            <wp:extent cx="5943600" cy="3841115"/>
            <wp:effectExtent l="0" t="0" r="0" b="698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DA6D3A" w:rsidRDefault="00DA6D3A">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Default="00EE2459" w:rsidP="00EE2459">
      <w:pPr>
        <w:rPr>
          <w:rFonts w:ascii="Times New Roman" w:eastAsia="Times New Roman" w:hAnsi="Times New Roman" w:cs="Times New Roman"/>
          <w:b/>
          <w:bCs/>
          <w:color w:val="000000"/>
          <w:sz w:val="24"/>
          <w:szCs w:val="24"/>
        </w:rPr>
      </w:pPr>
      <w:r>
        <w:rPr>
          <w:rFonts w:ascii="Times New Roman" w:hAnsi="Times New Roman" w:cs="Times New Roman"/>
          <w:b/>
          <w:bCs/>
          <w:sz w:val="24"/>
          <w:szCs w:val="24"/>
        </w:rPr>
        <w:lastRenderedPageBreak/>
        <w:t>Figure 10</w:t>
      </w:r>
      <w:r w:rsidRPr="002C2B9C">
        <w:rPr>
          <w:rFonts w:ascii="Times New Roman" w:hAnsi="Times New Roman" w:cs="Times New Roman"/>
          <w:b/>
          <w:bCs/>
          <w:sz w:val="24"/>
          <w:szCs w:val="24"/>
        </w:rPr>
        <w:t xml:space="preserve">-1 </w:t>
      </w:r>
      <w:r>
        <w:rPr>
          <w:rFonts w:ascii="Times New Roman" w:eastAsia="Times New Roman" w:hAnsi="Times New Roman" w:cs="Times New Roman"/>
          <w:b/>
          <w:bCs/>
          <w:color w:val="000000"/>
          <w:sz w:val="24"/>
          <w:szCs w:val="24"/>
        </w:rPr>
        <w:t xml:space="preserve">Infant Mortality Rate (per 1,000 live births) </w:t>
      </w:r>
    </w:p>
    <w:p w:rsidR="00EE2459" w:rsidRDefault="00EE2459" w:rsidP="00EE2459">
      <w:pPr>
        <w:jc w:val="center"/>
        <w:rPr>
          <w:rFonts w:ascii="Times New Roman" w:eastAsia="Times New Roman" w:hAnsi="Times New Roman" w:cs="Times New Roman"/>
          <w:b/>
          <w:bCs/>
          <w:color w:val="000000"/>
          <w:sz w:val="24"/>
          <w:szCs w:val="24"/>
        </w:rPr>
      </w:pPr>
      <w:r>
        <w:rPr>
          <w:noProof/>
        </w:rPr>
        <w:drawing>
          <wp:inline distT="0" distB="0" distL="0" distR="0" wp14:anchorId="085C5739" wp14:editId="598AE64B">
            <wp:extent cx="5943600" cy="2820035"/>
            <wp:effectExtent l="0" t="0" r="0" b="1841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Default="00EE2459" w:rsidP="00EE2459">
      <w:pPr>
        <w:rPr>
          <w:rFonts w:ascii="Times New Roman" w:eastAsia="Times New Roman" w:hAnsi="Times New Roman" w:cs="Times New Roman"/>
          <w:b/>
          <w:bCs/>
          <w:color w:val="000000"/>
          <w:sz w:val="24"/>
          <w:szCs w:val="24"/>
        </w:rPr>
      </w:pPr>
    </w:p>
    <w:p w:rsidR="00EE2459" w:rsidRPr="002C2B9C" w:rsidRDefault="00EE2459" w:rsidP="00EE2459">
      <w:pPr>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Figure 10</w:t>
      </w:r>
      <w:r w:rsidRPr="002C2B9C">
        <w:rPr>
          <w:rFonts w:ascii="Times New Roman" w:hAnsi="Times New Roman" w:cs="Times New Roman"/>
          <w:b/>
          <w:bCs/>
          <w:sz w:val="24"/>
          <w:szCs w:val="24"/>
        </w:rPr>
        <w:t xml:space="preserve">-1 </w:t>
      </w:r>
      <w:r>
        <w:rPr>
          <w:rFonts w:ascii="Times New Roman" w:eastAsia="Times New Roman" w:hAnsi="Times New Roman" w:cs="Times New Roman"/>
          <w:b/>
          <w:bCs/>
          <w:color w:val="000000"/>
          <w:sz w:val="24"/>
          <w:szCs w:val="24"/>
        </w:rPr>
        <w:t>Infant Mortality Rate (per 1,000 live births) in 2014</w:t>
      </w:r>
    </w:p>
    <w:p w:rsidR="00EE2459" w:rsidRDefault="00EE2459" w:rsidP="00EE2459">
      <w:pPr>
        <w:rPr>
          <w:rFonts w:ascii="Times New Roman" w:hAnsi="Times New Roman" w:cs="Times New Roman"/>
          <w:b/>
          <w:bCs/>
          <w:sz w:val="24"/>
          <w:szCs w:val="24"/>
        </w:rPr>
      </w:pPr>
      <w:r>
        <w:rPr>
          <w:noProof/>
        </w:rPr>
        <w:drawing>
          <wp:inline distT="0" distB="0" distL="0" distR="0" wp14:anchorId="40B1BB1D" wp14:editId="7D6428A4">
            <wp:extent cx="5943600" cy="3608705"/>
            <wp:effectExtent l="0" t="0" r="0" b="1079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Default="00EE2459" w:rsidP="00EE2459">
      <w:pPr>
        <w:rPr>
          <w:rFonts w:ascii="Times New Roman" w:hAnsi="Times New Roman" w:cs="Times New Roman"/>
          <w:i/>
          <w:iCs/>
          <w:sz w:val="18"/>
          <w:szCs w:val="18"/>
        </w:rPr>
      </w:pPr>
      <w:r>
        <w:rPr>
          <w:rFonts w:ascii="Times New Roman" w:hAnsi="Times New Roman" w:cs="Times New Roman"/>
          <w:i/>
          <w:iCs/>
          <w:sz w:val="18"/>
          <w:szCs w:val="18"/>
        </w:rPr>
        <w:br w:type="page"/>
      </w:r>
    </w:p>
    <w:p w:rsidR="00EE2459" w:rsidRPr="002C2B9C" w:rsidRDefault="00EE2459" w:rsidP="00EE2459">
      <w:pPr>
        <w:rPr>
          <w:rFonts w:ascii="Times New Roman" w:eastAsia="Times New Roman" w:hAnsi="Times New Roman" w:cs="Times New Roman"/>
          <w:b/>
          <w:bCs/>
          <w:color w:val="000000"/>
          <w:sz w:val="24"/>
          <w:szCs w:val="24"/>
        </w:rPr>
      </w:pPr>
      <w:r>
        <w:rPr>
          <w:rFonts w:ascii="Times New Roman" w:hAnsi="Times New Roman" w:cs="Times New Roman"/>
          <w:b/>
          <w:bCs/>
          <w:sz w:val="24"/>
          <w:szCs w:val="24"/>
        </w:rPr>
        <w:lastRenderedPageBreak/>
        <w:t>Figure 11</w:t>
      </w:r>
      <w:r w:rsidRPr="002C2B9C">
        <w:rPr>
          <w:rFonts w:ascii="Times New Roman" w:hAnsi="Times New Roman" w:cs="Times New Roman"/>
          <w:b/>
          <w:bCs/>
          <w:sz w:val="24"/>
          <w:szCs w:val="24"/>
        </w:rPr>
        <w:t xml:space="preserve">-1 </w:t>
      </w:r>
      <w:r>
        <w:rPr>
          <w:rFonts w:ascii="Times New Roman" w:eastAsia="Times New Roman" w:hAnsi="Times New Roman" w:cs="Times New Roman"/>
          <w:b/>
          <w:bCs/>
          <w:color w:val="000000"/>
          <w:sz w:val="24"/>
          <w:szCs w:val="24"/>
        </w:rPr>
        <w:t>Life Expectancy (years)</w:t>
      </w:r>
    </w:p>
    <w:p w:rsidR="00EE2459" w:rsidRDefault="00EE2459" w:rsidP="00EE2459">
      <w:pPr>
        <w:jc w:val="center"/>
        <w:rPr>
          <w:rFonts w:ascii="Times New Roman" w:hAnsi="Times New Roman" w:cs="Times New Roman"/>
          <w:sz w:val="18"/>
          <w:szCs w:val="18"/>
        </w:rPr>
      </w:pPr>
      <w:r>
        <w:rPr>
          <w:noProof/>
        </w:rPr>
        <w:drawing>
          <wp:inline distT="0" distB="0" distL="0" distR="0" wp14:anchorId="06780502" wp14:editId="4564C0B8">
            <wp:extent cx="6067425" cy="2820035"/>
            <wp:effectExtent l="0" t="0" r="9525" b="1841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Pr="00992414" w:rsidRDefault="00EE2459" w:rsidP="00EE2459">
      <w:pPr>
        <w:rPr>
          <w:rFonts w:ascii="Times New Roman" w:hAnsi="Times New Roman" w:cs="Times New Roman"/>
          <w:sz w:val="18"/>
          <w:szCs w:val="18"/>
        </w:rPr>
      </w:pPr>
    </w:p>
    <w:p w:rsidR="00EE2459" w:rsidRPr="002C2B9C" w:rsidRDefault="00EE2459" w:rsidP="00EE2459">
      <w:pPr>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Figure 11</w:t>
      </w:r>
      <w:r w:rsidRPr="002C2B9C">
        <w:rPr>
          <w:rFonts w:ascii="Times New Roman" w:hAnsi="Times New Roman" w:cs="Times New Roman"/>
          <w:b/>
          <w:bCs/>
          <w:sz w:val="24"/>
          <w:szCs w:val="24"/>
        </w:rPr>
        <w:t xml:space="preserve">-1 </w:t>
      </w:r>
      <w:r>
        <w:rPr>
          <w:rFonts w:ascii="Times New Roman" w:eastAsia="Times New Roman" w:hAnsi="Times New Roman" w:cs="Times New Roman"/>
          <w:b/>
          <w:bCs/>
          <w:color w:val="000000"/>
          <w:sz w:val="24"/>
          <w:szCs w:val="24"/>
        </w:rPr>
        <w:t>Life Expectancy (years) in 2013</w:t>
      </w:r>
    </w:p>
    <w:p w:rsidR="00EE2459" w:rsidRDefault="00EE2459" w:rsidP="00EE2459">
      <w:pPr>
        <w:rPr>
          <w:rFonts w:ascii="Times New Roman" w:hAnsi="Times New Roman" w:cs="Times New Roman"/>
          <w:b/>
          <w:bCs/>
          <w:sz w:val="24"/>
          <w:szCs w:val="24"/>
        </w:rPr>
      </w:pPr>
      <w:r>
        <w:rPr>
          <w:noProof/>
        </w:rPr>
        <w:drawing>
          <wp:inline distT="0" distB="0" distL="0" distR="0" wp14:anchorId="45422604" wp14:editId="15B932C2">
            <wp:extent cx="6124575" cy="3895725"/>
            <wp:effectExtent l="0" t="0" r="9525" b="952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E2459" w:rsidRPr="009450A7"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DA6D3A" w:rsidRDefault="00DA6D3A">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Pr="002C2B9C" w:rsidRDefault="00EE2459" w:rsidP="00EE2459">
      <w:pPr>
        <w:rPr>
          <w:rFonts w:ascii="Times New Roman" w:eastAsia="Times New Roman" w:hAnsi="Times New Roman" w:cs="Times New Roman"/>
          <w:b/>
          <w:bCs/>
          <w:color w:val="000000"/>
          <w:sz w:val="24"/>
          <w:szCs w:val="24"/>
        </w:rPr>
      </w:pPr>
      <w:r>
        <w:rPr>
          <w:rFonts w:ascii="Times New Roman" w:hAnsi="Times New Roman" w:cs="Times New Roman"/>
          <w:b/>
          <w:bCs/>
          <w:sz w:val="24"/>
          <w:szCs w:val="24"/>
        </w:rPr>
        <w:lastRenderedPageBreak/>
        <w:t>Figure 12</w:t>
      </w:r>
      <w:r w:rsidRPr="002C2B9C">
        <w:rPr>
          <w:rFonts w:ascii="Times New Roman" w:hAnsi="Times New Roman" w:cs="Times New Roman"/>
          <w:b/>
          <w:bCs/>
          <w:sz w:val="24"/>
          <w:szCs w:val="24"/>
        </w:rPr>
        <w:t xml:space="preserve">-1 </w:t>
      </w:r>
      <w:proofErr w:type="spellStart"/>
      <w:r>
        <w:rPr>
          <w:rFonts w:ascii="Times New Roman" w:eastAsia="Times New Roman" w:hAnsi="Times New Roman" w:cs="Times New Roman"/>
          <w:b/>
          <w:bCs/>
          <w:color w:val="000000"/>
          <w:sz w:val="24"/>
          <w:szCs w:val="24"/>
        </w:rPr>
        <w:t>Immunisation</w:t>
      </w:r>
      <w:proofErr w:type="spellEnd"/>
      <w:r>
        <w:rPr>
          <w:rFonts w:ascii="Times New Roman" w:eastAsia="Times New Roman" w:hAnsi="Times New Roman" w:cs="Times New Roman"/>
          <w:b/>
          <w:bCs/>
          <w:color w:val="000000"/>
          <w:sz w:val="24"/>
          <w:szCs w:val="24"/>
        </w:rPr>
        <w:t xml:space="preserve"> (% of children ages 12-23 months)</w:t>
      </w:r>
    </w:p>
    <w:p w:rsidR="00EE2459" w:rsidRDefault="00EE2459" w:rsidP="00EE2459">
      <w:pPr>
        <w:jc w:val="center"/>
        <w:rPr>
          <w:rFonts w:ascii="Times New Roman" w:hAnsi="Times New Roman" w:cs="Times New Roman"/>
          <w:sz w:val="24"/>
          <w:szCs w:val="24"/>
        </w:rPr>
      </w:pPr>
      <w:r>
        <w:rPr>
          <w:noProof/>
        </w:rPr>
        <w:drawing>
          <wp:inline distT="0" distB="0" distL="0" distR="0" wp14:anchorId="7CDD0501" wp14:editId="4615F0F9">
            <wp:extent cx="6000750" cy="2820035"/>
            <wp:effectExtent l="0" t="0" r="0" b="1841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E2459" w:rsidRPr="00992414"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Default="00EE2459" w:rsidP="00EE2459">
      <w:pPr>
        <w:jc w:val="center"/>
        <w:rPr>
          <w:rFonts w:ascii="Times New Roman" w:hAnsi="Times New Roman" w:cs="Times New Roman"/>
          <w:sz w:val="24"/>
          <w:szCs w:val="24"/>
        </w:rPr>
      </w:pPr>
    </w:p>
    <w:p w:rsidR="00EE2459" w:rsidRPr="002C2B9C" w:rsidRDefault="00EE2459" w:rsidP="00EE2459">
      <w:pPr>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Figure 12-2</w:t>
      </w:r>
      <w:r w:rsidRPr="002C2B9C">
        <w:rPr>
          <w:rFonts w:ascii="Times New Roman" w:hAnsi="Times New Roman" w:cs="Times New Roman"/>
          <w:b/>
          <w:bCs/>
          <w:sz w:val="24"/>
          <w:szCs w:val="24"/>
        </w:rPr>
        <w:t xml:space="preserve"> </w:t>
      </w:r>
      <w:proofErr w:type="spellStart"/>
      <w:r>
        <w:rPr>
          <w:rFonts w:ascii="Times New Roman" w:eastAsia="Times New Roman" w:hAnsi="Times New Roman" w:cs="Times New Roman"/>
          <w:b/>
          <w:bCs/>
          <w:color w:val="000000"/>
          <w:sz w:val="24"/>
          <w:szCs w:val="24"/>
        </w:rPr>
        <w:t>Immunisation</w:t>
      </w:r>
      <w:proofErr w:type="spellEnd"/>
      <w:r>
        <w:rPr>
          <w:rFonts w:ascii="Times New Roman" w:eastAsia="Times New Roman" w:hAnsi="Times New Roman" w:cs="Times New Roman"/>
          <w:b/>
          <w:bCs/>
          <w:color w:val="000000"/>
          <w:sz w:val="24"/>
          <w:szCs w:val="24"/>
        </w:rPr>
        <w:t xml:space="preserve"> (% of children ages 12-23 months) in 2014</w:t>
      </w:r>
    </w:p>
    <w:p w:rsidR="00EE2459" w:rsidRDefault="00EE2459" w:rsidP="00EE2459">
      <w:pPr>
        <w:rPr>
          <w:rFonts w:ascii="Times New Roman" w:hAnsi="Times New Roman" w:cs="Times New Roman"/>
          <w:sz w:val="24"/>
          <w:szCs w:val="24"/>
        </w:rPr>
      </w:pPr>
      <w:r>
        <w:rPr>
          <w:noProof/>
        </w:rPr>
        <w:drawing>
          <wp:inline distT="0" distB="0" distL="0" distR="0" wp14:anchorId="52CA52CD" wp14:editId="36D77437">
            <wp:extent cx="5943600" cy="3820795"/>
            <wp:effectExtent l="0" t="0" r="0" b="825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DA6D3A" w:rsidRDefault="00DA6D3A">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Default="00EE2459" w:rsidP="00EE2459">
      <w:pPr>
        <w:rPr>
          <w:rFonts w:ascii="Times New Roman" w:hAnsi="Times New Roman" w:cs="Times New Roman"/>
          <w:b/>
          <w:bCs/>
          <w:sz w:val="24"/>
          <w:szCs w:val="24"/>
        </w:rPr>
      </w:pPr>
      <w:r>
        <w:rPr>
          <w:rFonts w:ascii="Times New Roman" w:hAnsi="Times New Roman" w:cs="Times New Roman"/>
          <w:b/>
          <w:bCs/>
          <w:sz w:val="24"/>
          <w:szCs w:val="24"/>
        </w:rPr>
        <w:lastRenderedPageBreak/>
        <w:t>Figure 13 Physicians (per 1,000 people)</w:t>
      </w:r>
    </w:p>
    <w:tbl>
      <w:tblPr>
        <w:tblW w:w="9445" w:type="dxa"/>
        <w:tblLook w:val="04A0" w:firstRow="1" w:lastRow="0" w:firstColumn="1" w:lastColumn="0" w:noHBand="0" w:noVBand="1"/>
      </w:tblPr>
      <w:tblGrid>
        <w:gridCol w:w="4800"/>
        <w:gridCol w:w="929"/>
        <w:gridCol w:w="929"/>
        <w:gridCol w:w="929"/>
        <w:gridCol w:w="929"/>
        <w:gridCol w:w="929"/>
      </w:tblGrid>
      <w:tr w:rsidR="00EE2459" w:rsidRPr="009450A7" w:rsidTr="0044388A">
        <w:trPr>
          <w:trHeight w:val="329"/>
        </w:trPr>
        <w:tc>
          <w:tcPr>
            <w:tcW w:w="4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Year</w:t>
            </w:r>
          </w:p>
        </w:tc>
        <w:tc>
          <w:tcPr>
            <w:tcW w:w="929" w:type="dxa"/>
            <w:tcBorders>
              <w:top w:val="single" w:sz="4" w:space="0" w:color="auto"/>
              <w:left w:val="nil"/>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2003</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2007</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2010</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2012</w:t>
            </w:r>
          </w:p>
        </w:tc>
      </w:tr>
      <w:tr w:rsidR="00EE2459" w:rsidRPr="009450A7" w:rsidTr="0044388A">
        <w:trPr>
          <w:trHeight w:val="329"/>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Physicians (per 1,000 people)</w:t>
            </w:r>
          </w:p>
        </w:tc>
        <w:tc>
          <w:tcPr>
            <w:tcW w:w="929" w:type="dxa"/>
            <w:tcBorders>
              <w:top w:val="single" w:sz="4" w:space="0" w:color="auto"/>
              <w:left w:val="nil"/>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0.13</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0.13</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0.288</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0.288</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59" w:rsidRPr="009450A7" w:rsidRDefault="00EE2459" w:rsidP="0044388A">
            <w:pPr>
              <w:spacing w:after="0" w:line="240" w:lineRule="auto"/>
              <w:jc w:val="center"/>
              <w:rPr>
                <w:rFonts w:ascii="Times New Roman" w:eastAsia="Times New Roman" w:hAnsi="Times New Roman" w:cs="Times New Roman"/>
                <w:color w:val="000000"/>
                <w:sz w:val="24"/>
                <w:szCs w:val="24"/>
              </w:rPr>
            </w:pPr>
            <w:r w:rsidRPr="009450A7">
              <w:rPr>
                <w:rFonts w:ascii="Times New Roman" w:eastAsia="Times New Roman" w:hAnsi="Times New Roman" w:cs="Times New Roman"/>
                <w:color w:val="000000"/>
                <w:sz w:val="24"/>
                <w:szCs w:val="24"/>
              </w:rPr>
              <w:t>0.204</w:t>
            </w:r>
          </w:p>
        </w:tc>
      </w:tr>
    </w:tbl>
    <w:p w:rsidR="00EE2459" w:rsidRDefault="00EE2459" w:rsidP="00EE2459">
      <w:pPr>
        <w:rPr>
          <w:rFonts w:ascii="Times New Roman" w:hAnsi="Times New Roman" w:cs="Times New Roman"/>
          <w:i/>
          <w:iCs/>
          <w:sz w:val="18"/>
          <w:szCs w:val="18"/>
        </w:rPr>
      </w:pPr>
      <w:r w:rsidRPr="00587B83">
        <w:rPr>
          <w:rFonts w:ascii="Times New Roman" w:hAnsi="Times New Roman" w:cs="Times New Roman"/>
          <w:i/>
          <w:iCs/>
          <w:sz w:val="18"/>
          <w:szCs w:val="18"/>
        </w:rPr>
        <w:t xml:space="preserve">Source: </w:t>
      </w:r>
      <w:r>
        <w:rPr>
          <w:rFonts w:ascii="Times New Roman" w:hAnsi="Times New Roman" w:cs="Times New Roman"/>
          <w:i/>
          <w:iCs/>
          <w:sz w:val="18"/>
          <w:szCs w:val="18"/>
        </w:rPr>
        <w:t>World Bank</w:t>
      </w:r>
    </w:p>
    <w:p w:rsidR="00EE2459" w:rsidRDefault="00EE2459" w:rsidP="00EE2459">
      <w:pPr>
        <w:rPr>
          <w:rFonts w:ascii="Times New Roman" w:hAnsi="Times New Roman" w:cs="Times New Roman"/>
          <w:b/>
          <w:bCs/>
          <w:sz w:val="24"/>
          <w:szCs w:val="24"/>
        </w:rPr>
      </w:pPr>
      <w:r>
        <w:rPr>
          <w:rFonts w:ascii="Times New Roman" w:hAnsi="Times New Roman" w:cs="Times New Roman"/>
          <w:b/>
          <w:bCs/>
          <w:sz w:val="24"/>
          <w:szCs w:val="24"/>
        </w:rPr>
        <w:br w:type="page"/>
      </w:r>
    </w:p>
    <w:p w:rsidR="00EE2459" w:rsidRPr="0074718C" w:rsidRDefault="00EE2459" w:rsidP="00EE2459">
      <w:pPr>
        <w:rPr>
          <w:rFonts w:ascii="Times New Roman" w:hAnsi="Times New Roman" w:cs="Times New Roman"/>
          <w:b/>
          <w:bCs/>
          <w:sz w:val="26"/>
          <w:szCs w:val="26"/>
        </w:rPr>
      </w:pPr>
      <w:r w:rsidRPr="0074718C">
        <w:rPr>
          <w:rFonts w:ascii="Times New Roman" w:hAnsi="Times New Roman" w:cs="Times New Roman"/>
          <w:b/>
          <w:bCs/>
          <w:sz w:val="26"/>
          <w:szCs w:val="26"/>
        </w:rPr>
        <w:lastRenderedPageBreak/>
        <w:t xml:space="preserve">References </w:t>
      </w:r>
    </w:p>
    <w:p w:rsidR="00EE2459" w:rsidRDefault="00EE2459" w:rsidP="00EE2459">
      <w:pPr>
        <w:spacing w:line="276" w:lineRule="auto"/>
        <w:rPr>
          <w:rFonts w:ascii="Times New Roman" w:hAnsi="Times New Roman" w:cs="Times New Roman"/>
          <w:sz w:val="24"/>
          <w:szCs w:val="24"/>
        </w:rPr>
      </w:pPr>
      <w:proofErr w:type="spellStart"/>
      <w:r w:rsidRPr="00480533">
        <w:rPr>
          <w:rFonts w:ascii="Times New Roman" w:hAnsi="Times New Roman" w:cs="Times New Roman"/>
          <w:sz w:val="24"/>
          <w:szCs w:val="24"/>
        </w:rPr>
        <w:t>Fengler</w:t>
      </w:r>
      <w:proofErr w:type="spellEnd"/>
      <w:r w:rsidRPr="00480533">
        <w:rPr>
          <w:rFonts w:ascii="Times New Roman" w:hAnsi="Times New Roman" w:cs="Times New Roman"/>
          <w:sz w:val="24"/>
          <w:szCs w:val="24"/>
        </w:rPr>
        <w:t>, W. 2007. Spending for Development Making the Most of Indonesia’</w:t>
      </w:r>
      <w:r>
        <w:rPr>
          <w:rFonts w:ascii="Times New Roman" w:hAnsi="Times New Roman" w:cs="Times New Roman"/>
          <w:sz w:val="24"/>
          <w:szCs w:val="24"/>
        </w:rPr>
        <w:t xml:space="preserve">s New </w:t>
      </w:r>
      <w:r>
        <w:rPr>
          <w:rFonts w:ascii="Times New Roman" w:hAnsi="Times New Roman" w:cs="Times New Roman"/>
          <w:sz w:val="24"/>
          <w:szCs w:val="24"/>
        </w:rPr>
        <w:br/>
        <w:t xml:space="preserve">             </w:t>
      </w:r>
      <w:r w:rsidRPr="00480533">
        <w:rPr>
          <w:rFonts w:ascii="Times New Roman" w:hAnsi="Times New Roman" w:cs="Times New Roman"/>
          <w:sz w:val="24"/>
          <w:szCs w:val="24"/>
        </w:rPr>
        <w:t xml:space="preserve">Opportunities. Indonesia Public Expenditure Review: World Bank.  </w:t>
      </w:r>
    </w:p>
    <w:p w:rsidR="00EE2459" w:rsidRPr="00480533" w:rsidRDefault="00EE2459" w:rsidP="00EE2459">
      <w:pPr>
        <w:spacing w:line="276" w:lineRule="auto"/>
        <w:rPr>
          <w:rFonts w:ascii="Times New Roman" w:hAnsi="Times New Roman" w:cs="Times New Roman"/>
          <w:sz w:val="24"/>
          <w:szCs w:val="24"/>
        </w:rPr>
      </w:pPr>
      <w:proofErr w:type="spellStart"/>
      <w:r w:rsidRPr="00480533">
        <w:rPr>
          <w:rFonts w:ascii="Times New Roman" w:hAnsi="Times New Roman" w:cs="Times New Roman"/>
          <w:sz w:val="24"/>
          <w:szCs w:val="24"/>
        </w:rPr>
        <w:t>Lontoh</w:t>
      </w:r>
      <w:proofErr w:type="spellEnd"/>
      <w:r w:rsidRPr="00480533">
        <w:rPr>
          <w:rFonts w:ascii="Times New Roman" w:hAnsi="Times New Roman" w:cs="Times New Roman"/>
          <w:sz w:val="24"/>
          <w:szCs w:val="24"/>
        </w:rPr>
        <w:t xml:space="preserve">, L., Beaton, C. and K. Clarke. 2015. Indonesia Energy Subsidy Review: A Biannual </w:t>
      </w:r>
      <w:r>
        <w:rPr>
          <w:rFonts w:ascii="Times New Roman" w:hAnsi="Times New Roman" w:cs="Times New Roman"/>
          <w:sz w:val="24"/>
          <w:szCs w:val="24"/>
        </w:rPr>
        <w:br/>
        <w:t xml:space="preserve">             </w:t>
      </w:r>
      <w:r w:rsidRPr="00480533">
        <w:rPr>
          <w:rFonts w:ascii="Times New Roman" w:hAnsi="Times New Roman" w:cs="Times New Roman"/>
          <w:sz w:val="24"/>
          <w:szCs w:val="24"/>
        </w:rPr>
        <w:t>Survey of Energy Subsidy Policies.</w:t>
      </w:r>
    </w:p>
    <w:p w:rsidR="00EE2459" w:rsidRPr="00480533" w:rsidRDefault="00EE2459" w:rsidP="00EE2459">
      <w:pPr>
        <w:spacing w:line="276" w:lineRule="auto"/>
        <w:rPr>
          <w:rFonts w:ascii="Times New Roman" w:hAnsi="Times New Roman" w:cs="Times New Roman"/>
          <w:sz w:val="24"/>
          <w:szCs w:val="24"/>
        </w:rPr>
      </w:pPr>
      <w:r w:rsidRPr="00480533">
        <w:rPr>
          <w:rFonts w:ascii="Times New Roman" w:hAnsi="Times New Roman" w:cs="Times New Roman"/>
          <w:sz w:val="24"/>
          <w:szCs w:val="24"/>
        </w:rPr>
        <w:t xml:space="preserve">Ministry of Finance. 2011. BUDGET STATISTICS 2005 – 2011. </w:t>
      </w:r>
    </w:p>
    <w:p w:rsidR="00EE2459" w:rsidRPr="00480533" w:rsidRDefault="00EE2459" w:rsidP="00EE2459">
      <w:pPr>
        <w:spacing w:line="276" w:lineRule="auto"/>
        <w:rPr>
          <w:rFonts w:ascii="Times New Roman" w:hAnsi="Times New Roman" w:cs="Times New Roman"/>
          <w:sz w:val="24"/>
          <w:szCs w:val="24"/>
        </w:rPr>
      </w:pPr>
      <w:r w:rsidRPr="00480533">
        <w:rPr>
          <w:rFonts w:ascii="Times New Roman" w:hAnsi="Times New Roman" w:cs="Times New Roman"/>
          <w:sz w:val="24"/>
          <w:szCs w:val="24"/>
        </w:rPr>
        <w:t xml:space="preserve">Ministry of Finance. 2012. BUDGET STATISTICS 2006 – 2012.  </w:t>
      </w:r>
    </w:p>
    <w:p w:rsidR="00EE2459" w:rsidRPr="00480533" w:rsidRDefault="00EE2459" w:rsidP="00EE2459">
      <w:pPr>
        <w:spacing w:line="276" w:lineRule="auto"/>
        <w:rPr>
          <w:rFonts w:ascii="Times New Roman" w:hAnsi="Times New Roman" w:cs="Times New Roman"/>
          <w:sz w:val="24"/>
          <w:szCs w:val="24"/>
        </w:rPr>
      </w:pPr>
      <w:r w:rsidRPr="00480533">
        <w:rPr>
          <w:rFonts w:ascii="Times New Roman" w:hAnsi="Times New Roman" w:cs="Times New Roman"/>
          <w:sz w:val="24"/>
          <w:szCs w:val="24"/>
        </w:rPr>
        <w:t xml:space="preserve">Ministry of National Development Planning/National Development Planning Agency. 2010. </w:t>
      </w:r>
      <w:r>
        <w:rPr>
          <w:rFonts w:ascii="Times New Roman" w:hAnsi="Times New Roman" w:cs="Times New Roman"/>
          <w:sz w:val="24"/>
          <w:szCs w:val="24"/>
        </w:rPr>
        <w:br/>
        <w:t xml:space="preserve">             </w:t>
      </w:r>
      <w:r w:rsidRPr="00480533">
        <w:rPr>
          <w:rFonts w:ascii="Times New Roman" w:hAnsi="Times New Roman" w:cs="Times New Roman"/>
          <w:sz w:val="24"/>
          <w:szCs w:val="24"/>
        </w:rPr>
        <w:t xml:space="preserve">Regulation of the President of the Republic of Indonesia Number 5 of 2010 regarding </w:t>
      </w:r>
      <w:r>
        <w:rPr>
          <w:rFonts w:ascii="Times New Roman" w:hAnsi="Times New Roman" w:cs="Times New Roman"/>
          <w:sz w:val="24"/>
          <w:szCs w:val="24"/>
        </w:rPr>
        <w:br/>
        <w:t xml:space="preserve">             </w:t>
      </w:r>
      <w:r w:rsidR="00644C4F" w:rsidRPr="00480533">
        <w:rPr>
          <w:rFonts w:ascii="Times New Roman" w:hAnsi="Times New Roman" w:cs="Times New Roman"/>
          <w:sz w:val="24"/>
          <w:szCs w:val="24"/>
        </w:rPr>
        <w:t xml:space="preserve">the </w:t>
      </w:r>
      <w:r w:rsidRPr="00480533">
        <w:rPr>
          <w:rFonts w:ascii="Times New Roman" w:hAnsi="Times New Roman" w:cs="Times New Roman"/>
          <w:sz w:val="24"/>
          <w:szCs w:val="24"/>
        </w:rPr>
        <w:t>National Medium-term Development Plan (RPJMN) 2010-2014. Indonesia</w:t>
      </w:r>
    </w:p>
    <w:p w:rsidR="00EE2459" w:rsidRPr="00480533" w:rsidRDefault="00EE2459" w:rsidP="00EE2459">
      <w:pPr>
        <w:spacing w:line="276" w:lineRule="auto"/>
        <w:rPr>
          <w:rFonts w:ascii="Times New Roman" w:hAnsi="Times New Roman" w:cs="Times New Roman"/>
          <w:sz w:val="24"/>
          <w:szCs w:val="24"/>
        </w:rPr>
      </w:pPr>
      <w:r w:rsidRPr="00480533">
        <w:rPr>
          <w:rFonts w:ascii="Times New Roman" w:hAnsi="Times New Roman" w:cs="Times New Roman"/>
          <w:sz w:val="24"/>
          <w:szCs w:val="24"/>
        </w:rPr>
        <w:t xml:space="preserve">OECD. 2014. How Does Indonesia Compare. OECD Health Statistics. </w:t>
      </w:r>
    </w:p>
    <w:p w:rsidR="00EE2459" w:rsidRPr="00480533" w:rsidRDefault="00EE2459" w:rsidP="00EE2459">
      <w:pPr>
        <w:spacing w:line="276" w:lineRule="auto"/>
        <w:rPr>
          <w:rFonts w:ascii="Times New Roman" w:hAnsi="Times New Roman" w:cs="Times New Roman"/>
          <w:sz w:val="24"/>
          <w:szCs w:val="24"/>
        </w:rPr>
      </w:pPr>
      <w:r w:rsidRPr="00480533">
        <w:rPr>
          <w:rFonts w:ascii="Times New Roman" w:eastAsia="Times New Roman" w:hAnsi="Times New Roman" w:cs="Times New Roman"/>
          <w:color w:val="000000"/>
          <w:sz w:val="24"/>
          <w:szCs w:val="24"/>
        </w:rPr>
        <w:t xml:space="preserve">OECD. 2015. </w:t>
      </w:r>
      <w:r w:rsidRPr="00480533">
        <w:rPr>
          <w:rFonts w:ascii="Times New Roman" w:hAnsi="Times New Roman" w:cs="Times New Roman"/>
          <w:sz w:val="24"/>
          <w:szCs w:val="24"/>
        </w:rPr>
        <w:t xml:space="preserve">OECD Economic Surveys Indonesia. </w:t>
      </w:r>
    </w:p>
    <w:p w:rsidR="00EE2459" w:rsidRPr="00480533" w:rsidRDefault="00EE2459" w:rsidP="00EE2459">
      <w:pPr>
        <w:spacing w:line="276" w:lineRule="auto"/>
        <w:rPr>
          <w:rFonts w:ascii="Times New Roman" w:hAnsi="Times New Roman" w:cs="Times New Roman"/>
          <w:sz w:val="24"/>
          <w:szCs w:val="24"/>
        </w:rPr>
      </w:pPr>
      <w:proofErr w:type="spellStart"/>
      <w:r w:rsidRPr="00480533">
        <w:rPr>
          <w:rFonts w:ascii="Times New Roman" w:hAnsi="Times New Roman" w:cs="Times New Roman"/>
          <w:sz w:val="24"/>
          <w:szCs w:val="24"/>
        </w:rPr>
        <w:t>Rokx</w:t>
      </w:r>
      <w:proofErr w:type="spellEnd"/>
      <w:r w:rsidRPr="00480533">
        <w:rPr>
          <w:rFonts w:ascii="Times New Roman" w:hAnsi="Times New Roman" w:cs="Times New Roman"/>
          <w:sz w:val="24"/>
          <w:szCs w:val="24"/>
        </w:rPr>
        <w:t xml:space="preserve">, C., </w:t>
      </w:r>
      <w:proofErr w:type="spellStart"/>
      <w:r w:rsidRPr="00480533">
        <w:rPr>
          <w:rFonts w:ascii="Times New Roman" w:hAnsi="Times New Roman" w:cs="Times New Roman"/>
          <w:sz w:val="24"/>
          <w:szCs w:val="24"/>
        </w:rPr>
        <w:t>Marzoeki</w:t>
      </w:r>
      <w:proofErr w:type="spellEnd"/>
      <w:r w:rsidRPr="00480533">
        <w:rPr>
          <w:rFonts w:ascii="Times New Roman" w:hAnsi="Times New Roman" w:cs="Times New Roman"/>
          <w:sz w:val="24"/>
          <w:szCs w:val="24"/>
        </w:rPr>
        <w:t xml:space="preserve">, P., </w:t>
      </w:r>
      <w:proofErr w:type="spellStart"/>
      <w:r w:rsidRPr="00480533">
        <w:rPr>
          <w:rFonts w:ascii="Times New Roman" w:hAnsi="Times New Roman" w:cs="Times New Roman"/>
          <w:sz w:val="24"/>
          <w:szCs w:val="24"/>
        </w:rPr>
        <w:t>Harimurti</w:t>
      </w:r>
      <w:proofErr w:type="spellEnd"/>
      <w:r w:rsidRPr="00480533">
        <w:rPr>
          <w:rFonts w:ascii="Times New Roman" w:hAnsi="Times New Roman" w:cs="Times New Roman"/>
          <w:sz w:val="24"/>
          <w:szCs w:val="24"/>
        </w:rPr>
        <w:t xml:space="preserve">, P. and E. </w:t>
      </w:r>
      <w:proofErr w:type="spellStart"/>
      <w:r w:rsidRPr="00480533">
        <w:rPr>
          <w:rFonts w:ascii="Times New Roman" w:hAnsi="Times New Roman" w:cs="Times New Roman"/>
          <w:sz w:val="24"/>
          <w:szCs w:val="24"/>
        </w:rPr>
        <w:t>Pambudi</w:t>
      </w:r>
      <w:proofErr w:type="spellEnd"/>
      <w:r w:rsidRPr="00480533">
        <w:rPr>
          <w:rFonts w:ascii="Times New Roman" w:hAnsi="Times New Roman" w:cs="Times New Roman"/>
          <w:sz w:val="24"/>
          <w:szCs w:val="24"/>
        </w:rPr>
        <w:t xml:space="preserve">. 2010. Accelerating Improvement in </w:t>
      </w:r>
      <w:r>
        <w:rPr>
          <w:rFonts w:ascii="Times New Roman" w:hAnsi="Times New Roman" w:cs="Times New Roman"/>
          <w:sz w:val="24"/>
          <w:szCs w:val="24"/>
        </w:rPr>
        <w:br/>
        <w:t xml:space="preserve">             </w:t>
      </w:r>
      <w:r w:rsidRPr="00480533">
        <w:rPr>
          <w:rFonts w:ascii="Times New Roman" w:hAnsi="Times New Roman" w:cs="Times New Roman"/>
          <w:sz w:val="24"/>
          <w:szCs w:val="24"/>
        </w:rPr>
        <w:t>Maternal Health: Why Reform is Needed. Indonesia Health Sector Review</w:t>
      </w:r>
      <w:r w:rsidR="00644C4F">
        <w:rPr>
          <w:rFonts w:ascii="Times New Roman" w:hAnsi="Times New Roman" w:cs="Times New Roman"/>
          <w:sz w:val="24"/>
          <w:szCs w:val="24"/>
        </w:rPr>
        <w:t>: World</w:t>
      </w:r>
      <w:r w:rsidR="00644C4F">
        <w:rPr>
          <w:rFonts w:ascii="Times New Roman" w:hAnsi="Times New Roman" w:cs="Times New Roman"/>
          <w:sz w:val="24"/>
          <w:szCs w:val="24"/>
        </w:rPr>
        <w:br/>
        <w:t xml:space="preserve">             </w:t>
      </w:r>
      <w:r w:rsidRPr="00480533">
        <w:rPr>
          <w:rFonts w:ascii="Times New Roman" w:hAnsi="Times New Roman" w:cs="Times New Roman"/>
          <w:sz w:val="24"/>
          <w:szCs w:val="24"/>
        </w:rPr>
        <w:t>Bank.</w:t>
      </w:r>
    </w:p>
    <w:p w:rsidR="00EE2459" w:rsidRPr="00480533" w:rsidRDefault="00EE2459" w:rsidP="00EE2459">
      <w:pPr>
        <w:spacing w:line="276" w:lineRule="auto"/>
        <w:rPr>
          <w:rFonts w:ascii="Times New Roman" w:hAnsi="Times New Roman" w:cs="Times New Roman"/>
          <w:sz w:val="24"/>
          <w:szCs w:val="24"/>
        </w:rPr>
      </w:pPr>
      <w:r w:rsidRPr="00480533">
        <w:rPr>
          <w:rFonts w:ascii="Times New Roman" w:hAnsi="Times New Roman" w:cs="Times New Roman"/>
          <w:sz w:val="24"/>
          <w:szCs w:val="24"/>
        </w:rPr>
        <w:t>World Bank. (</w:t>
      </w:r>
      <w:proofErr w:type="spellStart"/>
      <w:r w:rsidRPr="00480533">
        <w:rPr>
          <w:rFonts w:ascii="Times New Roman" w:hAnsi="Times New Roman" w:cs="Times New Roman"/>
          <w:sz w:val="24"/>
          <w:szCs w:val="24"/>
        </w:rPr>
        <w:t>n.d.</w:t>
      </w:r>
      <w:proofErr w:type="spellEnd"/>
      <w:r w:rsidRPr="00480533">
        <w:rPr>
          <w:rFonts w:ascii="Times New Roman" w:hAnsi="Times New Roman" w:cs="Times New Roman"/>
          <w:sz w:val="24"/>
          <w:szCs w:val="24"/>
        </w:rPr>
        <w:t xml:space="preserve">). Giving More Weight to Health: Assessing Fiscal Space for Health in </w:t>
      </w:r>
      <w:r>
        <w:rPr>
          <w:rFonts w:ascii="Times New Roman" w:hAnsi="Times New Roman" w:cs="Times New Roman"/>
          <w:sz w:val="24"/>
          <w:szCs w:val="24"/>
        </w:rPr>
        <w:br/>
        <w:t xml:space="preserve">             </w:t>
      </w:r>
      <w:r w:rsidRPr="00480533">
        <w:rPr>
          <w:rFonts w:ascii="Times New Roman" w:hAnsi="Times New Roman" w:cs="Times New Roman"/>
          <w:sz w:val="24"/>
          <w:szCs w:val="24"/>
        </w:rPr>
        <w:t xml:space="preserve">Indonesia. </w:t>
      </w:r>
    </w:p>
    <w:p w:rsidR="00EE2459" w:rsidRDefault="00EE2459" w:rsidP="00EE2459">
      <w:pPr>
        <w:spacing w:line="276" w:lineRule="auto"/>
        <w:rPr>
          <w:rFonts w:ascii="Times New Roman" w:hAnsi="Times New Roman" w:cs="Times New Roman"/>
          <w:sz w:val="24"/>
          <w:szCs w:val="24"/>
        </w:rPr>
      </w:pPr>
      <w:r w:rsidRPr="00480533">
        <w:rPr>
          <w:rFonts w:ascii="Times New Roman" w:eastAsia="Times New Roman" w:hAnsi="Times New Roman" w:cs="Times New Roman"/>
          <w:color w:val="000000"/>
          <w:sz w:val="24"/>
          <w:szCs w:val="24"/>
        </w:rPr>
        <w:t>World Bank. (</w:t>
      </w:r>
      <w:proofErr w:type="spellStart"/>
      <w:r w:rsidRPr="00480533">
        <w:rPr>
          <w:rFonts w:ascii="Times New Roman" w:eastAsia="Times New Roman" w:hAnsi="Times New Roman" w:cs="Times New Roman"/>
          <w:color w:val="000000"/>
          <w:sz w:val="24"/>
          <w:szCs w:val="24"/>
        </w:rPr>
        <w:t>n.d.</w:t>
      </w:r>
      <w:proofErr w:type="spellEnd"/>
      <w:r w:rsidRPr="00480533">
        <w:rPr>
          <w:rFonts w:ascii="Times New Roman" w:eastAsia="Times New Roman" w:hAnsi="Times New Roman" w:cs="Times New Roman"/>
          <w:color w:val="000000"/>
          <w:sz w:val="24"/>
          <w:szCs w:val="24"/>
        </w:rPr>
        <w:t>). The World Bank in Indonesia: Health.</w:t>
      </w:r>
    </w:p>
    <w:p w:rsidR="001F34FD" w:rsidRPr="00EE2459" w:rsidRDefault="001F34FD" w:rsidP="00EE2459">
      <w:pPr>
        <w:rPr>
          <w:rFonts w:ascii="Times New Roman" w:eastAsia="Times New Roman" w:hAnsi="Times New Roman" w:cs="Angsana New"/>
          <w:b/>
          <w:bCs/>
          <w:color w:val="000000"/>
          <w:sz w:val="24"/>
          <w:szCs w:val="30"/>
        </w:rPr>
      </w:pPr>
    </w:p>
    <w:sectPr w:rsidR="001F34FD" w:rsidRPr="00EE245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963" w:rsidRDefault="00466963" w:rsidP="00006846">
      <w:pPr>
        <w:spacing w:after="0" w:line="240" w:lineRule="auto"/>
      </w:pPr>
      <w:r>
        <w:separator/>
      </w:r>
    </w:p>
  </w:endnote>
  <w:endnote w:type="continuationSeparator" w:id="0">
    <w:p w:rsidR="00466963" w:rsidRDefault="00466963" w:rsidP="00006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rdia New">
    <w:altName w:val="Arial Unicode MS"/>
    <w:panose1 w:val="020B0304020202020204"/>
    <w:charset w:val="00"/>
    <w:family w:val="swiss"/>
    <w:pitch w:val="variable"/>
    <w:sig w:usb0="00000000"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Angsana New">
    <w:altName w:val="Pahnto"/>
    <w:panose1 w:val="02020603050405020304"/>
    <w:charset w:val="00"/>
    <w:family w:val="roman"/>
    <w:pitch w:val="variable"/>
    <w:sig w:usb0="00000000"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8"/>
        <w:szCs w:val="18"/>
      </w:rPr>
      <w:id w:val="1418437402"/>
      <w:docPartObj>
        <w:docPartGallery w:val="Page Numbers (Bottom of Page)"/>
        <w:docPartUnique/>
      </w:docPartObj>
    </w:sdtPr>
    <w:sdtEndPr>
      <w:rPr>
        <w:noProof/>
      </w:rPr>
    </w:sdtEndPr>
    <w:sdtContent>
      <w:p w:rsidR="00006846" w:rsidRPr="00006846" w:rsidRDefault="00006846">
        <w:pPr>
          <w:pStyle w:val="Footer"/>
          <w:jc w:val="right"/>
          <w:rPr>
            <w:rFonts w:ascii="Times New Roman" w:hAnsi="Times New Roman" w:cs="Times New Roman"/>
            <w:sz w:val="18"/>
            <w:szCs w:val="18"/>
          </w:rPr>
        </w:pPr>
        <w:r w:rsidRPr="00006846">
          <w:rPr>
            <w:rFonts w:ascii="Times New Roman" w:hAnsi="Times New Roman" w:cs="Times New Roman"/>
            <w:sz w:val="18"/>
            <w:szCs w:val="18"/>
          </w:rPr>
          <w:fldChar w:fldCharType="begin"/>
        </w:r>
        <w:r w:rsidRPr="00006846">
          <w:rPr>
            <w:rFonts w:ascii="Times New Roman" w:hAnsi="Times New Roman" w:cs="Times New Roman"/>
            <w:sz w:val="18"/>
            <w:szCs w:val="18"/>
          </w:rPr>
          <w:instrText xml:space="preserve"> PAGE   \* MERGEFORMAT </w:instrText>
        </w:r>
        <w:r w:rsidRPr="00006846">
          <w:rPr>
            <w:rFonts w:ascii="Times New Roman" w:hAnsi="Times New Roman" w:cs="Times New Roman"/>
            <w:sz w:val="18"/>
            <w:szCs w:val="18"/>
          </w:rPr>
          <w:fldChar w:fldCharType="separate"/>
        </w:r>
        <w:r w:rsidR="00C222CC">
          <w:rPr>
            <w:rFonts w:ascii="Times New Roman" w:hAnsi="Times New Roman" w:cs="Times New Roman"/>
            <w:noProof/>
            <w:sz w:val="18"/>
            <w:szCs w:val="18"/>
          </w:rPr>
          <w:t>17</w:t>
        </w:r>
        <w:r w:rsidRPr="00006846">
          <w:rPr>
            <w:rFonts w:ascii="Times New Roman" w:hAnsi="Times New Roman" w:cs="Times New Roman"/>
            <w:noProof/>
            <w:sz w:val="18"/>
            <w:szCs w:val="18"/>
          </w:rPr>
          <w:fldChar w:fldCharType="end"/>
        </w:r>
      </w:p>
    </w:sdtContent>
  </w:sdt>
  <w:p w:rsidR="00006846" w:rsidRPr="00006846" w:rsidRDefault="00006846">
    <w:pPr>
      <w:pStyle w:val="Foo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963" w:rsidRDefault="00466963" w:rsidP="00006846">
      <w:pPr>
        <w:spacing w:after="0" w:line="240" w:lineRule="auto"/>
      </w:pPr>
      <w:r>
        <w:separator/>
      </w:r>
    </w:p>
  </w:footnote>
  <w:footnote w:type="continuationSeparator" w:id="0">
    <w:p w:rsidR="00466963" w:rsidRDefault="00466963" w:rsidP="000068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42"/>
    <w:rsid w:val="00006846"/>
    <w:rsid w:val="00043A29"/>
    <w:rsid w:val="000F36BD"/>
    <w:rsid w:val="00107EEA"/>
    <w:rsid w:val="0013720E"/>
    <w:rsid w:val="001F34FD"/>
    <w:rsid w:val="001F6D48"/>
    <w:rsid w:val="00273D05"/>
    <w:rsid w:val="002905E0"/>
    <w:rsid w:val="00291835"/>
    <w:rsid w:val="002D489C"/>
    <w:rsid w:val="002E7B30"/>
    <w:rsid w:val="003B7BED"/>
    <w:rsid w:val="003E4342"/>
    <w:rsid w:val="00466963"/>
    <w:rsid w:val="004D063F"/>
    <w:rsid w:val="00532ACC"/>
    <w:rsid w:val="00576C21"/>
    <w:rsid w:val="005C2B86"/>
    <w:rsid w:val="00633AC6"/>
    <w:rsid w:val="00644C4F"/>
    <w:rsid w:val="006970E3"/>
    <w:rsid w:val="00772F82"/>
    <w:rsid w:val="008C5DCF"/>
    <w:rsid w:val="008F06CF"/>
    <w:rsid w:val="009E2894"/>
    <w:rsid w:val="00A85D76"/>
    <w:rsid w:val="00AB5DD3"/>
    <w:rsid w:val="00BF29B2"/>
    <w:rsid w:val="00C222CC"/>
    <w:rsid w:val="00D70566"/>
    <w:rsid w:val="00DA3D03"/>
    <w:rsid w:val="00DA6D3A"/>
    <w:rsid w:val="00E15110"/>
    <w:rsid w:val="00EB0E59"/>
    <w:rsid w:val="00EE2459"/>
    <w:rsid w:val="00EE65F3"/>
    <w:rsid w:val="00F00848"/>
    <w:rsid w:val="00F22196"/>
    <w:rsid w:val="00F365B2"/>
    <w:rsid w:val="00FC4AFC"/>
    <w:rsid w:val="00FD08E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06071"/>
  <w15:chartTrackingRefBased/>
  <w15:docId w15:val="{1846A45B-9DFD-4CCA-B968-3A5E3D6F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2459"/>
    <w:rPr>
      <w:color w:val="0563C1" w:themeColor="hyperlink"/>
      <w:u w:val="single"/>
    </w:rPr>
  </w:style>
  <w:style w:type="character" w:styleId="FollowedHyperlink">
    <w:name w:val="FollowedHyperlink"/>
    <w:basedOn w:val="DefaultParagraphFont"/>
    <w:uiPriority w:val="99"/>
    <w:semiHidden/>
    <w:unhideWhenUsed/>
    <w:rsid w:val="00EE2459"/>
    <w:rPr>
      <w:color w:val="954F72" w:themeColor="followedHyperlink"/>
      <w:u w:val="single"/>
    </w:rPr>
  </w:style>
  <w:style w:type="paragraph" w:styleId="Header">
    <w:name w:val="header"/>
    <w:basedOn w:val="Normal"/>
    <w:link w:val="HeaderChar"/>
    <w:uiPriority w:val="99"/>
    <w:unhideWhenUsed/>
    <w:rsid w:val="00006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846"/>
  </w:style>
  <w:style w:type="paragraph" w:styleId="Footer">
    <w:name w:val="footer"/>
    <w:basedOn w:val="Normal"/>
    <w:link w:val="FooterChar"/>
    <w:uiPriority w:val="99"/>
    <w:unhideWhenUsed/>
    <w:rsid w:val="00006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44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7.xml"/><Relationship Id="rId18" Type="http://schemas.openxmlformats.org/officeDocument/2006/relationships/chart" Target="charts/chart12.xml"/><Relationship Id="rId3" Type="http://schemas.openxmlformats.org/officeDocument/2006/relationships/webSettings" Target="webSettings.xml"/><Relationship Id="rId21" Type="http://schemas.openxmlformats.org/officeDocument/2006/relationships/chart" Target="charts/chart15.xml"/><Relationship Id="rId7" Type="http://schemas.openxmlformats.org/officeDocument/2006/relationships/chart" Target="charts/chart2.xml"/><Relationship Id="rId12" Type="http://schemas.openxmlformats.org/officeDocument/2006/relationships/chart" Target="charts/chart6.xml"/><Relationship Id="rId17" Type="http://schemas.openxmlformats.org/officeDocument/2006/relationships/chart" Target="charts/chart11.xml"/><Relationship Id="rId2" Type="http://schemas.openxmlformats.org/officeDocument/2006/relationships/settings" Target="settings.xml"/><Relationship Id="rId16" Type="http://schemas.openxmlformats.org/officeDocument/2006/relationships/chart" Target="charts/chart10.xml"/><Relationship Id="rId20" Type="http://schemas.openxmlformats.org/officeDocument/2006/relationships/chart" Target="charts/chart14.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5.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chart" Target="charts/chart9.xm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hart" Target="charts/chart8.xml"/><Relationship Id="rId22" Type="http://schemas.openxmlformats.org/officeDocument/2006/relationships/chart" Target="charts/chart1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5504641407\Downloads\441indo.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5504641407\Downloads\441ind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5504641407\Downloads\441indo.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5504641407\Downloads\441indo.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tihtup\Desktop\EE441\441indo.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'[441indo.xlsx]exp edit'!$A$13</c:f>
              <c:strCache>
                <c:ptCount val="1"/>
                <c:pt idx="0">
                  <c:v>Central Government Expenditure</c:v>
                </c:pt>
              </c:strCache>
            </c:strRef>
          </c:tx>
          <c:spPr>
            <a:solidFill>
              <a:srgbClr val="336600"/>
            </a:solidFill>
            <a:ln>
              <a:noFill/>
            </a:ln>
            <a:effectLst/>
          </c:spPr>
          <c:invertIfNegative val="0"/>
          <c:cat>
            <c:numRef>
              <c:f>'[441indo.xlsx]exp edit'!$B$12:$K$12</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'[441indo.xlsx]exp edit'!$B$13:$K$13</c:f>
              <c:numCache>
                <c:formatCode>_(* #,##0_);_(* \(#,##0\);_(* "-"??_);_(@_)</c:formatCode>
                <c:ptCount val="10"/>
                <c:pt idx="0">
                  <c:v>361155.2</c:v>
                </c:pt>
                <c:pt idx="1">
                  <c:v>440032</c:v>
                </c:pt>
                <c:pt idx="2">
                  <c:v>504623.3</c:v>
                </c:pt>
                <c:pt idx="3">
                  <c:v>693355.9</c:v>
                </c:pt>
                <c:pt idx="4">
                  <c:v>628812.4</c:v>
                </c:pt>
                <c:pt idx="5">
                  <c:v>697406.4</c:v>
                </c:pt>
                <c:pt idx="6">
                  <c:v>908243.4</c:v>
                </c:pt>
                <c:pt idx="7">
                  <c:v>1010558</c:v>
                </c:pt>
                <c:pt idx="8">
                  <c:v>1137161</c:v>
                </c:pt>
                <c:pt idx="9">
                  <c:v>1280368</c:v>
                </c:pt>
              </c:numCache>
            </c:numRef>
          </c:val>
          <c:extLst>
            <c:ext xmlns:c16="http://schemas.microsoft.com/office/drawing/2014/chart" uri="{C3380CC4-5D6E-409C-BE32-E72D297353CC}">
              <c16:uniqueId val="{00000000-C0C0-40BC-BC79-84DC67AB093F}"/>
            </c:ext>
          </c:extLst>
        </c:ser>
        <c:ser>
          <c:idx val="1"/>
          <c:order val="1"/>
          <c:tx>
            <c:strRef>
              <c:f>'[441indo.xlsx]exp edit'!$A$14</c:f>
              <c:strCache>
                <c:ptCount val="1"/>
                <c:pt idx="0">
                  <c:v>Regional Expenditure</c:v>
                </c:pt>
              </c:strCache>
            </c:strRef>
          </c:tx>
          <c:spPr>
            <a:solidFill>
              <a:srgbClr val="871717"/>
            </a:solidFill>
            <a:ln>
              <a:noFill/>
            </a:ln>
            <a:effectLst/>
          </c:spPr>
          <c:invertIfNegative val="0"/>
          <c:cat>
            <c:numRef>
              <c:f>'[441indo.xlsx]exp edit'!$B$12:$K$12</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'[441indo.xlsx]exp edit'!$B$14:$K$14</c:f>
              <c:numCache>
                <c:formatCode>_(* #,##0_);_(* \(#,##0\);_(* "-"??_);_(@_)</c:formatCode>
                <c:ptCount val="10"/>
                <c:pt idx="0">
                  <c:v>150463.9</c:v>
                </c:pt>
                <c:pt idx="1">
                  <c:v>226179.9</c:v>
                </c:pt>
                <c:pt idx="2">
                  <c:v>253263.2</c:v>
                </c:pt>
                <c:pt idx="3">
                  <c:v>292433.5</c:v>
                </c:pt>
                <c:pt idx="4">
                  <c:v>308585.2</c:v>
                </c:pt>
                <c:pt idx="5">
                  <c:v>344727.6</c:v>
                </c:pt>
                <c:pt idx="6">
                  <c:v>412507.9</c:v>
                </c:pt>
                <c:pt idx="7">
                  <c:v>480645</c:v>
                </c:pt>
                <c:pt idx="8">
                  <c:v>513260</c:v>
                </c:pt>
                <c:pt idx="9">
                  <c:v>596504</c:v>
                </c:pt>
              </c:numCache>
            </c:numRef>
          </c:val>
          <c:extLst>
            <c:ext xmlns:c16="http://schemas.microsoft.com/office/drawing/2014/chart" uri="{C3380CC4-5D6E-409C-BE32-E72D297353CC}">
              <c16:uniqueId val="{00000001-C0C0-40BC-BC79-84DC67AB093F}"/>
            </c:ext>
          </c:extLst>
        </c:ser>
        <c:dLbls>
          <c:showLegendKey val="0"/>
          <c:showVal val="0"/>
          <c:showCatName val="0"/>
          <c:showSerName val="0"/>
          <c:showPercent val="0"/>
          <c:showBubbleSize val="0"/>
        </c:dLbls>
        <c:gapWidth val="150"/>
        <c:overlap val="100"/>
        <c:axId val="367809584"/>
        <c:axId val="367807944"/>
      </c:barChart>
      <c:lineChart>
        <c:grouping val="standard"/>
        <c:varyColors val="0"/>
        <c:ser>
          <c:idx val="2"/>
          <c:order val="2"/>
          <c:tx>
            <c:strRef>
              <c:f>'[441indo.xlsx]exp edit'!$A$15</c:f>
              <c:strCache>
                <c:ptCount val="1"/>
                <c:pt idx="0">
                  <c:v>Growth Rate</c:v>
                </c:pt>
              </c:strCache>
            </c:strRef>
          </c:tx>
          <c:spPr>
            <a:ln w="28575" cap="rnd">
              <a:solidFill>
                <a:srgbClr val="DE8B10"/>
              </a:solidFill>
              <a:round/>
            </a:ln>
            <a:effectLst/>
          </c:spPr>
          <c:marker>
            <c:symbol val="none"/>
          </c:marker>
          <c:cat>
            <c:numRef>
              <c:f>'[441indo.xlsx]exp edit'!$B$12:$K$12</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'[441indo.xlsx]exp edit'!$B$15:$K$15</c:f>
              <c:numCache>
                <c:formatCode>0.00%</c:formatCode>
                <c:ptCount val="10"/>
                <c:pt idx="0">
                  <c:v>0.40706204367416937</c:v>
                </c:pt>
                <c:pt idx="1">
                  <c:v>0.30216385588419209</c:v>
                </c:pt>
                <c:pt idx="2">
                  <c:v>0.13760576777448733</c:v>
                </c:pt>
                <c:pt idx="3">
                  <c:v>0.30070848339428136</c:v>
                </c:pt>
                <c:pt idx="4">
                  <c:v>-4.908938968100076E-2</c:v>
                </c:pt>
                <c:pt idx="5">
                  <c:v>0.11173103067471038</c:v>
                </c:pt>
                <c:pt idx="6">
                  <c:v>0.26735266290131598</c:v>
                </c:pt>
                <c:pt idx="7">
                  <c:v>0.12905662103077237</c:v>
                </c:pt>
                <c:pt idx="8">
                  <c:v>0.10677151266460704</c:v>
                </c:pt>
                <c:pt idx="9">
                  <c:v>0.13720802146846167</c:v>
                </c:pt>
              </c:numCache>
            </c:numRef>
          </c:val>
          <c:smooth val="0"/>
          <c:extLst>
            <c:ext xmlns:c16="http://schemas.microsoft.com/office/drawing/2014/chart" uri="{C3380CC4-5D6E-409C-BE32-E72D297353CC}">
              <c16:uniqueId val="{00000002-C0C0-40BC-BC79-84DC67AB093F}"/>
            </c:ext>
          </c:extLst>
        </c:ser>
        <c:dLbls>
          <c:showLegendKey val="0"/>
          <c:showVal val="0"/>
          <c:showCatName val="0"/>
          <c:showSerName val="0"/>
          <c:showPercent val="0"/>
          <c:showBubbleSize val="0"/>
        </c:dLbls>
        <c:marker val="1"/>
        <c:smooth val="0"/>
        <c:axId val="393900072"/>
        <c:axId val="393902696"/>
      </c:lineChart>
      <c:catAx>
        <c:axId val="367809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67807944"/>
        <c:crosses val="autoZero"/>
        <c:auto val="1"/>
        <c:lblAlgn val="ctr"/>
        <c:lblOffset val="100"/>
        <c:noMultiLvlLbl val="0"/>
      </c:catAx>
      <c:valAx>
        <c:axId val="367807944"/>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67809584"/>
        <c:crosses val="autoZero"/>
        <c:crossBetween val="between"/>
      </c:valAx>
      <c:valAx>
        <c:axId val="393902696"/>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93900072"/>
        <c:crosses val="max"/>
        <c:crossBetween val="between"/>
      </c:valAx>
      <c:catAx>
        <c:axId val="393900072"/>
        <c:scaling>
          <c:orientation val="minMax"/>
        </c:scaling>
        <c:delete val="1"/>
        <c:axPos val="b"/>
        <c:numFmt formatCode="General" sourceLinked="1"/>
        <c:majorTickMark val="out"/>
        <c:minorTickMark val="none"/>
        <c:tickLblPos val="nextTo"/>
        <c:crossAx val="3939026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'[441indo.xlsx]govt exp'!$A$19</c:f>
              <c:strCache>
                <c:ptCount val="1"/>
                <c:pt idx="0">
                  <c:v>General government final consumption expenditure (% of GDP)</c:v>
                </c:pt>
              </c:strCache>
            </c:strRef>
          </c:tx>
          <c:spPr>
            <a:ln w="28575" cap="rnd">
              <a:solidFill>
                <a:srgbClr val="336600"/>
              </a:solidFill>
              <a:round/>
            </a:ln>
            <a:effectLst/>
          </c:spPr>
          <c:marker>
            <c:symbol val="none"/>
          </c:marker>
          <c:cat>
            <c:numRef>
              <c:f>'[441indo.xlsx]govt exp'!$B$18:$O$18</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'[441indo.xlsx]govt exp'!$B$19:$O$19</c:f>
              <c:numCache>
                <c:formatCode>0.00</c:formatCode>
                <c:ptCount val="14"/>
                <c:pt idx="0">
                  <c:v>6.8890593699166986</c:v>
                </c:pt>
                <c:pt idx="1">
                  <c:v>7.2574583383969129</c:v>
                </c:pt>
                <c:pt idx="2">
                  <c:v>8.1294864250556955</c:v>
                </c:pt>
                <c:pt idx="3">
                  <c:v>8.321870960520247</c:v>
                </c:pt>
                <c:pt idx="4">
                  <c:v>8.1095077207569197</c:v>
                </c:pt>
                <c:pt idx="5">
                  <c:v>8.6271688019777564</c:v>
                </c:pt>
                <c:pt idx="6">
                  <c:v>8.3464696793120101</c:v>
                </c:pt>
                <c:pt idx="7">
                  <c:v>8.4237809201021747</c:v>
                </c:pt>
                <c:pt idx="8">
                  <c:v>9.5891781465434232</c:v>
                </c:pt>
                <c:pt idx="9">
                  <c:v>9.0059149931110483</c:v>
                </c:pt>
                <c:pt idx="10">
                  <c:v>9.0586771804835635</c:v>
                </c:pt>
                <c:pt idx="11">
                  <c:v>9.2487883714955732</c:v>
                </c:pt>
                <c:pt idx="12">
                  <c:v>9.5015356467400434</c:v>
                </c:pt>
                <c:pt idx="13">
                  <c:v>9.5364578722655651</c:v>
                </c:pt>
              </c:numCache>
            </c:numRef>
          </c:val>
          <c:smooth val="0"/>
          <c:extLst>
            <c:ext xmlns:c16="http://schemas.microsoft.com/office/drawing/2014/chart" uri="{C3380CC4-5D6E-409C-BE32-E72D297353CC}">
              <c16:uniqueId val="{00000000-7B23-421C-8E96-8703862325F4}"/>
            </c:ext>
          </c:extLst>
        </c:ser>
        <c:ser>
          <c:idx val="1"/>
          <c:order val="1"/>
          <c:tx>
            <c:strRef>
              <c:f>'[441indo.xlsx]govt exp'!$A$20</c:f>
              <c:strCache>
                <c:ptCount val="1"/>
                <c:pt idx="0">
                  <c:v>GDP growth (annual %)</c:v>
                </c:pt>
              </c:strCache>
            </c:strRef>
          </c:tx>
          <c:spPr>
            <a:ln w="28575" cap="rnd">
              <a:solidFill>
                <a:srgbClr val="9D2B2B"/>
              </a:solidFill>
              <a:round/>
            </a:ln>
            <a:effectLst/>
          </c:spPr>
          <c:marker>
            <c:symbol val="none"/>
          </c:marker>
          <c:cat>
            <c:numRef>
              <c:f>'[441indo.xlsx]govt exp'!$B$18:$O$18</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'[441indo.xlsx]govt exp'!$B$20:$O$20</c:f>
              <c:numCache>
                <c:formatCode>0.00</c:formatCode>
                <c:ptCount val="14"/>
                <c:pt idx="0">
                  <c:v>3.6434664472154026</c:v>
                </c:pt>
                <c:pt idx="1">
                  <c:v>4.4994753908569152</c:v>
                </c:pt>
                <c:pt idx="2">
                  <c:v>4.7803691216759034</c:v>
                </c:pt>
                <c:pt idx="3">
                  <c:v>5.0308739450177598</c:v>
                </c:pt>
                <c:pt idx="4">
                  <c:v>5.692571303834697</c:v>
                </c:pt>
                <c:pt idx="5">
                  <c:v>5.5009517852026875</c:v>
                </c:pt>
                <c:pt idx="6">
                  <c:v>6.3450222266725262</c:v>
                </c:pt>
                <c:pt idx="7">
                  <c:v>6.0137036000901958</c:v>
                </c:pt>
                <c:pt idx="8">
                  <c:v>4.6288711825631879</c:v>
                </c:pt>
                <c:pt idx="9">
                  <c:v>6.2238541806228369</c:v>
                </c:pt>
                <c:pt idx="10">
                  <c:v>6.169784207709796</c:v>
                </c:pt>
                <c:pt idx="11">
                  <c:v>6.0300506530561506</c:v>
                </c:pt>
                <c:pt idx="12">
                  <c:v>5.5792111678260312</c:v>
                </c:pt>
                <c:pt idx="13">
                  <c:v>5.02466495739111</c:v>
                </c:pt>
              </c:numCache>
            </c:numRef>
          </c:val>
          <c:smooth val="0"/>
          <c:extLst>
            <c:ext xmlns:c16="http://schemas.microsoft.com/office/drawing/2014/chart" uri="{C3380CC4-5D6E-409C-BE32-E72D297353CC}">
              <c16:uniqueId val="{00000001-7B23-421C-8E96-8703862325F4}"/>
            </c:ext>
          </c:extLst>
        </c:ser>
        <c:dLbls>
          <c:showLegendKey val="0"/>
          <c:showVal val="0"/>
          <c:showCatName val="0"/>
          <c:showSerName val="0"/>
          <c:showPercent val="0"/>
          <c:showBubbleSize val="0"/>
        </c:dLbls>
        <c:smooth val="0"/>
        <c:axId val="332550608"/>
        <c:axId val="332555312"/>
      </c:lineChart>
      <c:catAx>
        <c:axId val="332550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2555312"/>
        <c:crosses val="autoZero"/>
        <c:auto val="1"/>
        <c:lblAlgn val="ctr"/>
        <c:lblOffset val="100"/>
        <c:noMultiLvlLbl val="0"/>
      </c:catAx>
      <c:valAx>
        <c:axId val="3325553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2550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'[441indo.xlsx]composition'!$A$22</c:f>
              <c:strCache>
                <c:ptCount val="1"/>
                <c:pt idx="0">
                  <c:v>Total amount (billion rupiahs)</c:v>
                </c:pt>
              </c:strCache>
            </c:strRef>
          </c:tx>
          <c:spPr>
            <a:solidFill>
              <a:srgbClr val="336600"/>
            </a:solidFill>
            <a:ln>
              <a:noFill/>
            </a:ln>
            <a:effectLst/>
          </c:spPr>
          <c:invertIfNegative val="0"/>
          <c:cat>
            <c:numRef>
              <c:f>'[441indo.xlsx]composition'!$B$21:$K$21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'[441indo.xlsx]composition'!$B$22:$K$22</c:f>
              <c:numCache>
                <c:formatCode>_(* #,##0_);_(* \(#,##0\);_(* "-"??_);_(@_)</c:formatCode>
                <c:ptCount val="10"/>
                <c:pt idx="0">
                  <c:v>440031.2</c:v>
                </c:pt>
                <c:pt idx="1">
                  <c:v>361155.2</c:v>
                </c:pt>
                <c:pt idx="2">
                  <c:v>504623.5</c:v>
                </c:pt>
                <c:pt idx="3">
                  <c:v>693356</c:v>
                </c:pt>
                <c:pt idx="4">
                  <c:v>628812.4</c:v>
                </c:pt>
                <c:pt idx="5">
                  <c:v>697406.4</c:v>
                </c:pt>
                <c:pt idx="6">
                  <c:v>908243.4</c:v>
                </c:pt>
                <c:pt idx="7">
                  <c:v>954136.8</c:v>
                </c:pt>
                <c:pt idx="8">
                  <c:v>1154381</c:v>
                </c:pt>
                <c:pt idx="9">
                  <c:v>1249943</c:v>
                </c:pt>
              </c:numCache>
            </c:numRef>
          </c:val>
          <c:extLst>
            <c:ext xmlns:c16="http://schemas.microsoft.com/office/drawing/2014/chart" uri="{C3380CC4-5D6E-409C-BE32-E72D297353CC}">
              <c16:uniqueId val="{00000000-B979-464F-9066-3A19B1970B76}"/>
            </c:ext>
          </c:extLst>
        </c:ser>
        <c:dLbls>
          <c:showLegendKey val="0"/>
          <c:showVal val="0"/>
          <c:showCatName val="0"/>
          <c:showSerName val="0"/>
          <c:showPercent val="0"/>
          <c:showBubbleSize val="0"/>
        </c:dLbls>
        <c:gapWidth val="150"/>
        <c:axId val="296247952"/>
        <c:axId val="296248344"/>
      </c:barChart>
      <c:lineChart>
        <c:grouping val="standard"/>
        <c:varyColors val="0"/>
        <c:ser>
          <c:idx val="1"/>
          <c:order val="1"/>
          <c:tx>
            <c:strRef>
              <c:f>'[441indo.xlsx]composition'!$A$23</c:f>
              <c:strCache>
                <c:ptCount val="1"/>
                <c:pt idx="0">
                  <c:v>Growth Rate</c:v>
                </c:pt>
              </c:strCache>
            </c:strRef>
          </c:tx>
          <c:spPr>
            <a:ln w="28575" cap="rnd">
              <a:solidFill>
                <a:srgbClr val="871717"/>
              </a:solidFill>
              <a:round/>
            </a:ln>
            <a:effectLst/>
          </c:spPr>
          <c:marker>
            <c:symbol val="none"/>
          </c:marker>
          <c:cat>
            <c:numRef>
              <c:f>'[441indo.xlsx]composition'!$B$21:$K$21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'[441indo.xlsx]composition'!$B$23:$K$23</c:f>
              <c:numCache>
                <c:formatCode>0%</c:formatCode>
                <c:ptCount val="10"/>
                <c:pt idx="1">
                  <c:v>-0.17925092584344018</c:v>
                </c:pt>
                <c:pt idx="2">
                  <c:v>0.39724832980391805</c:v>
                </c:pt>
                <c:pt idx="3">
                  <c:v>0.37400656132740551</c:v>
                </c:pt>
                <c:pt idx="4">
                  <c:v>-9.3088687485216801E-2</c:v>
                </c:pt>
                <c:pt idx="5">
                  <c:v>0.10908499895994417</c:v>
                </c:pt>
                <c:pt idx="6">
                  <c:v>0.30231583765219244</c:v>
                </c:pt>
                <c:pt idx="7">
                  <c:v>5.0529846955122408E-2</c:v>
                </c:pt>
                <c:pt idx="8">
                  <c:v>0.20986948622042451</c:v>
                </c:pt>
                <c:pt idx="9">
                  <c:v>8.2782027770727337E-2</c:v>
                </c:pt>
              </c:numCache>
            </c:numRef>
          </c:val>
          <c:smooth val="0"/>
          <c:extLst>
            <c:ext xmlns:c16="http://schemas.microsoft.com/office/drawing/2014/chart" uri="{C3380CC4-5D6E-409C-BE32-E72D297353CC}">
              <c16:uniqueId val="{00000001-B979-464F-9066-3A19B1970B76}"/>
            </c:ext>
          </c:extLst>
        </c:ser>
        <c:dLbls>
          <c:showLegendKey val="0"/>
          <c:showVal val="0"/>
          <c:showCatName val="0"/>
          <c:showSerName val="0"/>
          <c:showPercent val="0"/>
          <c:showBubbleSize val="0"/>
        </c:dLbls>
        <c:marker val="1"/>
        <c:smooth val="0"/>
        <c:axId val="336416752"/>
        <c:axId val="296248736"/>
      </c:lineChart>
      <c:catAx>
        <c:axId val="296247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6248344"/>
        <c:crosses val="autoZero"/>
        <c:auto val="1"/>
        <c:lblAlgn val="ctr"/>
        <c:lblOffset val="100"/>
        <c:noMultiLvlLbl val="0"/>
      </c:catAx>
      <c:valAx>
        <c:axId val="296248344"/>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6247952"/>
        <c:crosses val="autoZero"/>
        <c:crossBetween val="between"/>
      </c:valAx>
      <c:valAx>
        <c:axId val="296248736"/>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6416752"/>
        <c:crosses val="max"/>
        <c:crossBetween val="between"/>
      </c:valAx>
      <c:catAx>
        <c:axId val="336416752"/>
        <c:scaling>
          <c:orientation val="minMax"/>
        </c:scaling>
        <c:delete val="1"/>
        <c:axPos val="b"/>
        <c:numFmt formatCode="General" sourceLinked="1"/>
        <c:majorTickMark val="out"/>
        <c:minorTickMark val="none"/>
        <c:tickLblPos val="nextTo"/>
        <c:crossAx val="2962487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'[441indo.xlsx]composition'!$A$81</c:f>
              <c:strCache>
                <c:ptCount val="1"/>
                <c:pt idx="0">
                  <c:v>General public services</c:v>
                </c:pt>
              </c:strCache>
            </c:strRef>
          </c:tx>
          <c:spPr>
            <a:solidFill>
              <a:srgbClr val="336600"/>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'[441indo.xlsx]composition'!$B$81:$K$81</c:f>
              <c:numCache>
                <c:formatCode>0.00%</c:formatCode>
                <c:ptCount val="10"/>
                <c:pt idx="0">
                  <c:v>0.58087517430582192</c:v>
                </c:pt>
                <c:pt idx="1">
                  <c:v>0.7845411058735966</c:v>
                </c:pt>
                <c:pt idx="2">
                  <c:v>0.62648548868611942</c:v>
                </c:pt>
                <c:pt idx="3">
                  <c:v>0.77098517933067567</c:v>
                </c:pt>
                <c:pt idx="4">
                  <c:v>0.66438241357835826</c:v>
                </c:pt>
                <c:pt idx="5">
                  <c:v>0.67615897990038509</c:v>
                </c:pt>
                <c:pt idx="6">
                  <c:v>0.63890714757740041</c:v>
                </c:pt>
                <c:pt idx="7">
                  <c:v>0.63890723007434569</c:v>
                </c:pt>
                <c:pt idx="8">
                  <c:v>0.62376286511992141</c:v>
                </c:pt>
                <c:pt idx="9">
                  <c:v>0.63584659460471393</c:v>
                </c:pt>
              </c:numCache>
            </c:numRef>
          </c:val>
          <c:extLst>
            <c:ext xmlns:c16="http://schemas.microsoft.com/office/drawing/2014/chart" uri="{C3380CC4-5D6E-409C-BE32-E72D297353CC}">
              <c16:uniqueId val="{00000000-1F47-4764-8840-F764AB8A43F4}"/>
            </c:ext>
          </c:extLst>
        </c:ser>
        <c:ser>
          <c:idx val="1"/>
          <c:order val="1"/>
          <c:tx>
            <c:strRef>
              <c:f>'[441indo.xlsx]composition'!$A$82</c:f>
              <c:strCache>
                <c:ptCount val="1"/>
                <c:pt idx="0">
                  <c:v>Defense</c:v>
                </c:pt>
              </c:strCache>
            </c:strRef>
          </c:tx>
          <c:spPr>
            <a:solidFill>
              <a:schemeClr val="accent4"/>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'[441indo.xlsx]composition'!$B$82:$K$82</c:f>
              <c:numCache>
                <c:formatCode>0.00%</c:formatCode>
                <c:ptCount val="10"/>
                <c:pt idx="0">
                  <c:v>4.9001525346384529E-2</c:v>
                </c:pt>
                <c:pt idx="1">
                  <c:v>6.7633250192714933E-2</c:v>
                </c:pt>
                <c:pt idx="2">
                  <c:v>6.0809494603402341E-2</c:v>
                </c:pt>
                <c:pt idx="3">
                  <c:v>1.3208943169165623E-2</c:v>
                </c:pt>
                <c:pt idx="4">
                  <c:v>2.0905599189837861E-2</c:v>
                </c:pt>
                <c:pt idx="5">
                  <c:v>2.4491458638750661E-2</c:v>
                </c:pt>
                <c:pt idx="6">
                  <c:v>6.7465395289412505E-2</c:v>
                </c:pt>
                <c:pt idx="7">
                  <c:v>6.7465378130263917E-2</c:v>
                </c:pt>
                <c:pt idx="8">
                  <c:v>7.0833632916688691E-2</c:v>
                </c:pt>
                <c:pt idx="9">
                  <c:v>6.9048748622937209E-2</c:v>
                </c:pt>
              </c:numCache>
            </c:numRef>
          </c:val>
          <c:extLst>
            <c:ext xmlns:c16="http://schemas.microsoft.com/office/drawing/2014/chart" uri="{C3380CC4-5D6E-409C-BE32-E72D297353CC}">
              <c16:uniqueId val="{00000001-1F47-4764-8840-F764AB8A43F4}"/>
            </c:ext>
          </c:extLst>
        </c:ser>
        <c:ser>
          <c:idx val="2"/>
          <c:order val="2"/>
          <c:tx>
            <c:strRef>
              <c:f>'[441indo.xlsx]composition'!$A$83</c:f>
              <c:strCache>
                <c:ptCount val="1"/>
                <c:pt idx="0">
                  <c:v>Public order and safety</c:v>
                </c:pt>
              </c:strCache>
            </c:strRef>
          </c:tx>
          <c:spPr>
            <a:solidFill>
              <a:schemeClr val="accent6"/>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'[441indo.xlsx]composition'!$B$83:$K$83</c:f>
              <c:numCache>
                <c:formatCode>0.00%</c:formatCode>
                <c:ptCount val="10"/>
                <c:pt idx="0">
                  <c:v>3.5491346977214337E-2</c:v>
                </c:pt>
                <c:pt idx="1">
                  <c:v>6.5742096472652195E-2</c:v>
                </c:pt>
                <c:pt idx="2">
                  <c:v>5.6112923793679846E-2</c:v>
                </c:pt>
                <c:pt idx="3">
                  <c:v>1.0123515192772544E-2</c:v>
                </c:pt>
                <c:pt idx="4">
                  <c:v>1.2331022734284502E-2</c:v>
                </c:pt>
                <c:pt idx="5">
                  <c:v>1.983836110480202E-2</c:v>
                </c:pt>
                <c:pt idx="6">
                  <c:v>2.7330669289752064E-2</c:v>
                </c:pt>
                <c:pt idx="7">
                  <c:v>2.733067207972693E-2</c:v>
                </c:pt>
                <c:pt idx="8">
                  <c:v>3.1607415575966684E-2</c:v>
                </c:pt>
                <c:pt idx="9">
                  <c:v>3.036378458857724E-2</c:v>
                </c:pt>
              </c:numCache>
            </c:numRef>
          </c:val>
          <c:extLst>
            <c:ext xmlns:c16="http://schemas.microsoft.com/office/drawing/2014/chart" uri="{C3380CC4-5D6E-409C-BE32-E72D297353CC}">
              <c16:uniqueId val="{00000002-1F47-4764-8840-F764AB8A43F4}"/>
            </c:ext>
          </c:extLst>
        </c:ser>
        <c:ser>
          <c:idx val="3"/>
          <c:order val="3"/>
          <c:tx>
            <c:strRef>
              <c:f>'[441indo.xlsx]composition'!$A$84</c:f>
              <c:strCache>
                <c:ptCount val="1"/>
                <c:pt idx="0">
                  <c:v>Economic affairs</c:v>
                </c:pt>
              </c:strCache>
            </c:strRef>
          </c:tx>
          <c:spPr>
            <a:solidFill>
              <a:schemeClr val="accent2">
                <a:lumMod val="6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'[441indo.xlsx]composition'!$B$84:$K$84</c:f>
              <c:numCache>
                <c:formatCode>0.00%</c:formatCode>
                <c:ptCount val="10"/>
                <c:pt idx="0">
                  <c:v>5.3414394252043945E-2</c:v>
                </c:pt>
                <c:pt idx="1">
                  <c:v>0.10603640761644854</c:v>
                </c:pt>
                <c:pt idx="2">
                  <c:v>8.3670300729157487E-2</c:v>
                </c:pt>
                <c:pt idx="3">
                  <c:v>7.281223498462551E-2</c:v>
                </c:pt>
                <c:pt idx="4">
                  <c:v>9.3581328866924371E-2</c:v>
                </c:pt>
                <c:pt idx="5">
                  <c:v>7.481778199913279E-2</c:v>
                </c:pt>
                <c:pt idx="6">
                  <c:v>0.10221830403612071</c:v>
                </c:pt>
                <c:pt idx="7">
                  <c:v>0.10221825633389257</c:v>
                </c:pt>
                <c:pt idx="8">
                  <c:v>0.10645358854658904</c:v>
                </c:pt>
                <c:pt idx="9">
                  <c:v>0.10262387964891199</c:v>
                </c:pt>
              </c:numCache>
            </c:numRef>
          </c:val>
          <c:extLst>
            <c:ext xmlns:c16="http://schemas.microsoft.com/office/drawing/2014/chart" uri="{C3380CC4-5D6E-409C-BE32-E72D297353CC}">
              <c16:uniqueId val="{00000003-1F47-4764-8840-F764AB8A43F4}"/>
            </c:ext>
          </c:extLst>
        </c:ser>
        <c:ser>
          <c:idx val="4"/>
          <c:order val="4"/>
          <c:tx>
            <c:strRef>
              <c:f>'[441indo.xlsx]composition'!$A$85</c:f>
              <c:strCache>
                <c:ptCount val="1"/>
                <c:pt idx="0">
                  <c:v>Environment</c:v>
                </c:pt>
              </c:strCache>
            </c:strRef>
          </c:tx>
          <c:spPr>
            <a:solidFill>
              <a:schemeClr val="accent4">
                <a:lumMod val="6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'[441indo.xlsx]composition'!$B$85:$K$85</c:f>
              <c:numCache>
                <c:formatCode>0.00%</c:formatCode>
                <c:ptCount val="10"/>
                <c:pt idx="0">
                  <c:v>3.0313759569775963E-3</c:v>
                </c:pt>
                <c:pt idx="1">
                  <c:v>7.3777146224116392E-3</c:v>
                </c:pt>
                <c:pt idx="2">
                  <c:v>9.8144458195070193E-3</c:v>
                </c:pt>
                <c:pt idx="3">
                  <c:v>7.665759004032561E-3</c:v>
                </c:pt>
                <c:pt idx="4">
                  <c:v>1.7020974777214953E-2</c:v>
                </c:pt>
                <c:pt idx="5">
                  <c:v>9.3913677878493806E-3</c:v>
                </c:pt>
                <c:pt idx="6">
                  <c:v>1.1144589655151912E-2</c:v>
                </c:pt>
                <c:pt idx="7">
                  <c:v>1.1144523510674778E-2</c:v>
                </c:pt>
                <c:pt idx="8">
                  <c:v>1.0781535732136964E-2</c:v>
                </c:pt>
                <c:pt idx="9">
                  <c:v>9.7436443101805437E-3</c:v>
                </c:pt>
              </c:numCache>
            </c:numRef>
          </c:val>
          <c:extLst>
            <c:ext xmlns:c16="http://schemas.microsoft.com/office/drawing/2014/chart" uri="{C3380CC4-5D6E-409C-BE32-E72D297353CC}">
              <c16:uniqueId val="{00000004-1F47-4764-8840-F764AB8A43F4}"/>
            </c:ext>
          </c:extLst>
        </c:ser>
        <c:ser>
          <c:idx val="5"/>
          <c:order val="5"/>
          <c:tx>
            <c:strRef>
              <c:f>'[441indo.xlsx]composition'!$A$86</c:f>
              <c:strCache>
                <c:ptCount val="1"/>
                <c:pt idx="0">
                  <c:v>Housing and community amenities</c:v>
                </c:pt>
              </c:strCache>
            </c:strRef>
          </c:tx>
          <c:spPr>
            <a:solidFill>
              <a:schemeClr val="accent6">
                <a:lumMod val="6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'[441indo.xlsx]composition'!$B$86:$K$86</c:f>
              <c:numCache>
                <c:formatCode>0.00%</c:formatCode>
                <c:ptCount val="10"/>
                <c:pt idx="0">
                  <c:v>9.5822750750401333E-3</c:v>
                </c:pt>
                <c:pt idx="1">
                  <c:v>1.511040129008249E-2</c:v>
                </c:pt>
                <c:pt idx="2">
                  <c:v>1.8101812539447728E-2</c:v>
                </c:pt>
                <c:pt idx="3">
                  <c:v>1.7954268802750681E-2</c:v>
                </c:pt>
                <c:pt idx="4">
                  <c:v>2.3295501170142317E-2</c:v>
                </c:pt>
                <c:pt idx="5">
                  <c:v>2.8753966123626053E-2</c:v>
                </c:pt>
                <c:pt idx="6">
                  <c:v>2.724071542936618E-2</c:v>
                </c:pt>
                <c:pt idx="7">
                  <c:v>2.7240643060827335E-2</c:v>
                </c:pt>
                <c:pt idx="8">
                  <c:v>2.661339713664726E-2</c:v>
                </c:pt>
                <c:pt idx="9">
                  <c:v>2.5190748698140634E-2</c:v>
                </c:pt>
              </c:numCache>
            </c:numRef>
          </c:val>
          <c:extLst>
            <c:ext xmlns:c16="http://schemas.microsoft.com/office/drawing/2014/chart" uri="{C3380CC4-5D6E-409C-BE32-E72D297353CC}">
              <c16:uniqueId val="{00000005-1F47-4764-8840-F764AB8A43F4}"/>
            </c:ext>
          </c:extLst>
        </c:ser>
        <c:ser>
          <c:idx val="6"/>
          <c:order val="6"/>
          <c:tx>
            <c:strRef>
              <c:f>'[441indo.xlsx]composition'!$A$87</c:f>
              <c:strCache>
                <c:ptCount val="1"/>
                <c:pt idx="0">
                  <c:v>Health</c:v>
                </c:pt>
              </c:strCache>
            </c:strRef>
          </c:tx>
          <c:spPr>
            <a:solidFill>
              <a:srgbClr val="871717"/>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'[441indo.xlsx]composition'!$B$87:$K$87</c:f>
              <c:numCache>
                <c:formatCode>0.00%</c:formatCode>
                <c:ptCount val="10"/>
                <c:pt idx="0">
                  <c:v>2.770189931986641E-2</c:v>
                </c:pt>
                <c:pt idx="1">
                  <c:v>1.6161749851587349E-2</c:v>
                </c:pt>
                <c:pt idx="2">
                  <c:v>3.171572469375683E-2</c:v>
                </c:pt>
                <c:pt idx="3">
                  <c:v>2.0247751515815829E-2</c:v>
                </c:pt>
                <c:pt idx="4">
                  <c:v>2.5036242923962695E-2</c:v>
                </c:pt>
                <c:pt idx="5">
                  <c:v>2.6946985287201262E-2</c:v>
                </c:pt>
                <c:pt idx="6">
                  <c:v>1.5399616446428347E-2</c:v>
                </c:pt>
                <c:pt idx="7">
                  <c:v>1.5399573729888627E-2</c:v>
                </c:pt>
                <c:pt idx="8">
                  <c:v>1.5153575812491717E-2</c:v>
                </c:pt>
                <c:pt idx="9">
                  <c:v>1.0462877107196088E-2</c:v>
                </c:pt>
              </c:numCache>
            </c:numRef>
          </c:val>
          <c:extLst>
            <c:ext xmlns:c16="http://schemas.microsoft.com/office/drawing/2014/chart" uri="{C3380CC4-5D6E-409C-BE32-E72D297353CC}">
              <c16:uniqueId val="{00000006-1F47-4764-8840-F764AB8A43F4}"/>
            </c:ext>
          </c:extLst>
        </c:ser>
        <c:ser>
          <c:idx val="7"/>
          <c:order val="7"/>
          <c:tx>
            <c:strRef>
              <c:f>'[441indo.xlsx]composition'!$A$88</c:f>
              <c:strCache>
                <c:ptCount val="1"/>
                <c:pt idx="0">
                  <c:v>Tourism and culture</c:v>
                </c:pt>
              </c:strCache>
            </c:strRef>
          </c:tx>
          <c:spPr>
            <a:solidFill>
              <a:schemeClr val="accent4">
                <a:lumMod val="80000"/>
                <a:lumOff val="2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'[441indo.xlsx]composition'!$B$88:$K$88</c:f>
              <c:numCache>
                <c:formatCode>0.00%</c:formatCode>
                <c:ptCount val="10"/>
                <c:pt idx="0">
                  <c:v>1.3376324224282279E-3</c:v>
                </c:pt>
                <c:pt idx="1">
                  <c:v>2.5069554584843303E-3</c:v>
                </c:pt>
                <c:pt idx="2">
                  <c:v>3.6684775877461116E-3</c:v>
                </c:pt>
                <c:pt idx="3">
                  <c:v>1.8658524625156485E-3</c:v>
                </c:pt>
                <c:pt idx="4">
                  <c:v>2.2362790555656982E-3</c:v>
                </c:pt>
                <c:pt idx="5">
                  <c:v>2.0199126363050295E-3</c:v>
                </c:pt>
                <c:pt idx="6">
                  <c:v>2.5912657333926124E-3</c:v>
                </c:pt>
                <c:pt idx="7">
                  <c:v>2.5912426813429687E-3</c:v>
                </c:pt>
                <c:pt idx="8">
                  <c:v>2.1734591958807361E-3</c:v>
                </c:pt>
                <c:pt idx="9">
                  <c:v>1.6424748968552965E-3</c:v>
                </c:pt>
              </c:numCache>
            </c:numRef>
          </c:val>
          <c:extLst>
            <c:ext xmlns:c16="http://schemas.microsoft.com/office/drawing/2014/chart" uri="{C3380CC4-5D6E-409C-BE32-E72D297353CC}">
              <c16:uniqueId val="{00000007-1F47-4764-8840-F764AB8A43F4}"/>
            </c:ext>
          </c:extLst>
        </c:ser>
        <c:ser>
          <c:idx val="8"/>
          <c:order val="8"/>
          <c:tx>
            <c:strRef>
              <c:f>'[441indo.xlsx]composition'!$A$89</c:f>
              <c:strCache>
                <c:ptCount val="1"/>
                <c:pt idx="0">
                  <c:v>Religion</c:v>
                </c:pt>
              </c:strCache>
            </c:strRef>
          </c:tx>
          <c:spPr>
            <a:solidFill>
              <a:schemeClr val="accent6">
                <a:lumMod val="80000"/>
                <a:lumOff val="2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'[441indo.xlsx]composition'!$B$89:$K$89</c:f>
              <c:numCache>
                <c:formatCode>0.00%</c:formatCode>
                <c:ptCount val="10"/>
                <c:pt idx="0">
                  <c:v>3.2070453186046808E-3</c:v>
                </c:pt>
                <c:pt idx="1">
                  <c:v>3.6336179016666515E-3</c:v>
                </c:pt>
                <c:pt idx="2">
                  <c:v>3.7338728775017415E-3</c:v>
                </c:pt>
                <c:pt idx="3">
                  <c:v>1.0754936857833494E-3</c:v>
                </c:pt>
                <c:pt idx="4">
                  <c:v>1.2300966075096482E-3</c:v>
                </c:pt>
                <c:pt idx="5">
                  <c:v>1.2600974123552636E-3</c:v>
                </c:pt>
                <c:pt idx="6">
                  <c:v>1.9915366299386263E-3</c:v>
                </c:pt>
                <c:pt idx="7">
                  <c:v>1.9915383202911783E-3</c:v>
                </c:pt>
                <c:pt idx="8">
                  <c:v>3.5516870080155513E-3</c:v>
                </c:pt>
                <c:pt idx="9">
                  <c:v>3.5705628176644854E-3</c:v>
                </c:pt>
              </c:numCache>
            </c:numRef>
          </c:val>
          <c:extLst>
            <c:ext xmlns:c16="http://schemas.microsoft.com/office/drawing/2014/chart" uri="{C3380CC4-5D6E-409C-BE32-E72D297353CC}">
              <c16:uniqueId val="{00000008-1F47-4764-8840-F764AB8A43F4}"/>
            </c:ext>
          </c:extLst>
        </c:ser>
        <c:ser>
          <c:idx val="9"/>
          <c:order val="9"/>
          <c:tx>
            <c:strRef>
              <c:f>'[441indo.xlsx]composition'!$A$90</c:f>
              <c:strCache>
                <c:ptCount val="1"/>
                <c:pt idx="0">
                  <c:v>Education</c:v>
                </c:pt>
              </c:strCache>
            </c:strRef>
          </c:tx>
          <c:spPr>
            <a:solidFill>
              <a:srgbClr val="DE8B10"/>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'[441indo.xlsx]composition'!$B$90:$K$90</c:f>
              <c:numCache>
                <c:formatCode>0.00%</c:formatCode>
                <c:ptCount val="10"/>
                <c:pt idx="0">
                  <c:v>6.6604140797288922E-2</c:v>
                </c:pt>
                <c:pt idx="1">
                  <c:v>0.12544163838704248</c:v>
                </c:pt>
                <c:pt idx="2">
                  <c:v>0.10075511742913282</c:v>
                </c:pt>
                <c:pt idx="3">
                  <c:v>7.9754123422888096E-2</c:v>
                </c:pt>
                <c:pt idx="4">
                  <c:v>0.13504743227073765</c:v>
                </c:pt>
                <c:pt idx="5">
                  <c:v>0.1302229231048066</c:v>
                </c:pt>
                <c:pt idx="6">
                  <c:v>0.10019483763933765</c:v>
                </c:pt>
                <c:pt idx="7">
                  <c:v>0.10019485675429352</c:v>
                </c:pt>
                <c:pt idx="8">
                  <c:v>0.10262383043379959</c:v>
                </c:pt>
                <c:pt idx="9">
                  <c:v>0.10505599055316922</c:v>
                </c:pt>
              </c:numCache>
            </c:numRef>
          </c:val>
          <c:extLst>
            <c:ext xmlns:c16="http://schemas.microsoft.com/office/drawing/2014/chart" uri="{C3380CC4-5D6E-409C-BE32-E72D297353CC}">
              <c16:uniqueId val="{00000009-1F47-4764-8840-F764AB8A43F4}"/>
            </c:ext>
          </c:extLst>
        </c:ser>
        <c:ser>
          <c:idx val="10"/>
          <c:order val="10"/>
          <c:tx>
            <c:strRef>
              <c:f>'[441indo.xlsx]composition'!$A$91</c:f>
              <c:strCache>
                <c:ptCount val="1"/>
                <c:pt idx="0">
                  <c:v>Social protection</c:v>
                </c:pt>
              </c:strCache>
            </c:strRef>
          </c:tx>
          <c:spPr>
            <a:solidFill>
              <a:schemeClr val="accent4">
                <a:lumMod val="8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'[441indo.xlsx]composition'!$B$91:$K$91</c:f>
              <c:numCache>
                <c:formatCode>0.00%</c:formatCode>
                <c:ptCount val="10"/>
                <c:pt idx="0">
                  <c:v>4.7810246182543419E-3</c:v>
                </c:pt>
                <c:pt idx="1">
                  <c:v>6.3775905760182884E-3</c:v>
                </c:pt>
                <c:pt idx="2">
                  <c:v>5.2522326051006344E-3</c:v>
                </c:pt>
                <c:pt idx="3">
                  <c:v>4.307166881082734E-3</c:v>
                </c:pt>
                <c:pt idx="4">
                  <c:v>4.9335859152904744E-3</c:v>
                </c:pt>
                <c:pt idx="5">
                  <c:v>4.7914673567664417E-3</c:v>
                </c:pt>
                <c:pt idx="6">
                  <c:v>5.5159222736988782E-3</c:v>
                </c:pt>
                <c:pt idx="7">
                  <c:v>5.5158757109043475E-3</c:v>
                </c:pt>
                <c:pt idx="8">
                  <c:v>6.4450125218623658E-3</c:v>
                </c:pt>
                <c:pt idx="9">
                  <c:v>6.4506941516533156E-3</c:v>
                </c:pt>
              </c:numCache>
            </c:numRef>
          </c:val>
          <c:extLst>
            <c:ext xmlns:c16="http://schemas.microsoft.com/office/drawing/2014/chart" uri="{C3380CC4-5D6E-409C-BE32-E72D297353CC}">
              <c16:uniqueId val="{0000000A-1F47-4764-8840-F764AB8A43F4}"/>
            </c:ext>
          </c:extLst>
        </c:ser>
        <c:dLbls>
          <c:showLegendKey val="0"/>
          <c:showVal val="0"/>
          <c:showCatName val="0"/>
          <c:showSerName val="0"/>
          <c:showPercent val="0"/>
          <c:showBubbleSize val="0"/>
        </c:dLbls>
        <c:axId val="280123112"/>
        <c:axId val="280125072"/>
      </c:areaChart>
      <c:catAx>
        <c:axId val="2801231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0125072"/>
        <c:crosses val="autoZero"/>
        <c:auto val="1"/>
        <c:lblAlgn val="ctr"/>
        <c:lblOffset val="100"/>
        <c:noMultiLvlLbl val="0"/>
      </c:catAx>
      <c:valAx>
        <c:axId val="280125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0123112"/>
        <c:crosses val="autoZero"/>
        <c:crossBetween val="midCat"/>
      </c:valAx>
      <c:spPr>
        <a:noFill/>
        <a:ln>
          <a:noFill/>
        </a:ln>
        <a:effectLst/>
      </c:spPr>
    </c:plotArea>
    <c:legend>
      <c:legendPos val="b"/>
      <c:legendEntry>
        <c:idx val="6"/>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'[441indo.xlsx]composition'!$A$82</c:f>
              <c:strCache>
                <c:ptCount val="1"/>
                <c:pt idx="0">
                  <c:v>Defense</c:v>
                </c:pt>
              </c:strCache>
            </c:strRef>
          </c:tx>
          <c:spPr>
            <a:solidFill>
              <a:schemeClr val="accent2"/>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'[441indo.xlsx]composition'!$B$82:$K$82</c:f>
              <c:numCache>
                <c:formatCode>0.00%</c:formatCode>
                <c:ptCount val="10"/>
                <c:pt idx="0">
                  <c:v>4.9001525346384529E-2</c:v>
                </c:pt>
                <c:pt idx="1">
                  <c:v>6.7633250192714933E-2</c:v>
                </c:pt>
                <c:pt idx="2">
                  <c:v>6.0809494603402341E-2</c:v>
                </c:pt>
                <c:pt idx="3">
                  <c:v>1.3208943169165623E-2</c:v>
                </c:pt>
                <c:pt idx="4">
                  <c:v>2.0905599189837861E-2</c:v>
                </c:pt>
                <c:pt idx="5">
                  <c:v>2.4491458638750661E-2</c:v>
                </c:pt>
                <c:pt idx="6">
                  <c:v>6.7465395289412505E-2</c:v>
                </c:pt>
                <c:pt idx="7">
                  <c:v>6.7465378130263917E-2</c:v>
                </c:pt>
                <c:pt idx="8">
                  <c:v>7.0833632916688691E-2</c:v>
                </c:pt>
                <c:pt idx="9">
                  <c:v>6.9048748622937209E-2</c:v>
                </c:pt>
              </c:numCache>
            </c:numRef>
          </c:val>
          <c:extLst>
            <c:ext xmlns:c16="http://schemas.microsoft.com/office/drawing/2014/chart" uri="{C3380CC4-5D6E-409C-BE32-E72D297353CC}">
              <c16:uniqueId val="{00000000-DE29-42C3-8191-BE8ACF6741F7}"/>
            </c:ext>
          </c:extLst>
        </c:ser>
        <c:ser>
          <c:idx val="1"/>
          <c:order val="1"/>
          <c:tx>
            <c:strRef>
              <c:f>'[441indo.xlsx]composition'!$A$83</c:f>
              <c:strCache>
                <c:ptCount val="1"/>
                <c:pt idx="0">
                  <c:v>Public order and safety</c:v>
                </c:pt>
              </c:strCache>
            </c:strRef>
          </c:tx>
          <c:spPr>
            <a:solidFill>
              <a:schemeClr val="accent4"/>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'[441indo.xlsx]composition'!$B$83:$K$83</c:f>
              <c:numCache>
                <c:formatCode>0.00%</c:formatCode>
                <c:ptCount val="10"/>
                <c:pt idx="0">
                  <c:v>3.5491346977214337E-2</c:v>
                </c:pt>
                <c:pt idx="1">
                  <c:v>6.5742096472652195E-2</c:v>
                </c:pt>
                <c:pt idx="2">
                  <c:v>5.6112923793679846E-2</c:v>
                </c:pt>
                <c:pt idx="3">
                  <c:v>1.0123515192772544E-2</c:v>
                </c:pt>
                <c:pt idx="4">
                  <c:v>1.2331022734284502E-2</c:v>
                </c:pt>
                <c:pt idx="5">
                  <c:v>1.983836110480202E-2</c:v>
                </c:pt>
                <c:pt idx="6">
                  <c:v>2.7330669289752064E-2</c:v>
                </c:pt>
                <c:pt idx="7">
                  <c:v>2.733067207972693E-2</c:v>
                </c:pt>
                <c:pt idx="8">
                  <c:v>3.1607415575966684E-2</c:v>
                </c:pt>
                <c:pt idx="9">
                  <c:v>3.036378458857724E-2</c:v>
                </c:pt>
              </c:numCache>
            </c:numRef>
          </c:val>
          <c:extLst>
            <c:ext xmlns:c16="http://schemas.microsoft.com/office/drawing/2014/chart" uri="{C3380CC4-5D6E-409C-BE32-E72D297353CC}">
              <c16:uniqueId val="{00000001-DE29-42C3-8191-BE8ACF6741F7}"/>
            </c:ext>
          </c:extLst>
        </c:ser>
        <c:ser>
          <c:idx val="2"/>
          <c:order val="2"/>
          <c:tx>
            <c:strRef>
              <c:f>'[441indo.xlsx]composition'!$A$84</c:f>
              <c:strCache>
                <c:ptCount val="1"/>
                <c:pt idx="0">
                  <c:v>Economic affairs</c:v>
                </c:pt>
              </c:strCache>
            </c:strRef>
          </c:tx>
          <c:spPr>
            <a:solidFill>
              <a:schemeClr val="accent6"/>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'[441indo.xlsx]composition'!$B$84:$K$84</c:f>
              <c:numCache>
                <c:formatCode>0.00%</c:formatCode>
                <c:ptCount val="10"/>
                <c:pt idx="0">
                  <c:v>5.3414394252043945E-2</c:v>
                </c:pt>
                <c:pt idx="1">
                  <c:v>0.10603640761644854</c:v>
                </c:pt>
                <c:pt idx="2">
                  <c:v>8.3670300729157487E-2</c:v>
                </c:pt>
                <c:pt idx="3">
                  <c:v>7.281223498462551E-2</c:v>
                </c:pt>
                <c:pt idx="4">
                  <c:v>9.3581328866924371E-2</c:v>
                </c:pt>
                <c:pt idx="5">
                  <c:v>7.481778199913279E-2</c:v>
                </c:pt>
                <c:pt idx="6">
                  <c:v>0.10221830403612071</c:v>
                </c:pt>
                <c:pt idx="7">
                  <c:v>0.10221825633389257</c:v>
                </c:pt>
                <c:pt idx="8">
                  <c:v>0.10645358854658904</c:v>
                </c:pt>
                <c:pt idx="9">
                  <c:v>0.10262387964891199</c:v>
                </c:pt>
              </c:numCache>
            </c:numRef>
          </c:val>
          <c:extLst>
            <c:ext xmlns:c16="http://schemas.microsoft.com/office/drawing/2014/chart" uri="{C3380CC4-5D6E-409C-BE32-E72D297353CC}">
              <c16:uniqueId val="{00000002-DE29-42C3-8191-BE8ACF6741F7}"/>
            </c:ext>
          </c:extLst>
        </c:ser>
        <c:ser>
          <c:idx val="3"/>
          <c:order val="3"/>
          <c:tx>
            <c:strRef>
              <c:f>'[441indo.xlsx]composition'!$A$85</c:f>
              <c:strCache>
                <c:ptCount val="1"/>
                <c:pt idx="0">
                  <c:v>Environment</c:v>
                </c:pt>
              </c:strCache>
            </c:strRef>
          </c:tx>
          <c:spPr>
            <a:solidFill>
              <a:srgbClr val="DE8B10"/>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'[441indo.xlsx]composition'!$B$85:$K$85</c:f>
              <c:numCache>
                <c:formatCode>0.00%</c:formatCode>
                <c:ptCount val="10"/>
                <c:pt idx="0">
                  <c:v>3.0313759569775963E-3</c:v>
                </c:pt>
                <c:pt idx="1">
                  <c:v>7.3777146224116392E-3</c:v>
                </c:pt>
                <c:pt idx="2">
                  <c:v>9.8144458195070193E-3</c:v>
                </c:pt>
                <c:pt idx="3">
                  <c:v>7.665759004032561E-3</c:v>
                </c:pt>
                <c:pt idx="4">
                  <c:v>1.7020974777214953E-2</c:v>
                </c:pt>
                <c:pt idx="5">
                  <c:v>9.3913677878493806E-3</c:v>
                </c:pt>
                <c:pt idx="6">
                  <c:v>1.1144589655151912E-2</c:v>
                </c:pt>
                <c:pt idx="7">
                  <c:v>1.1144523510674778E-2</c:v>
                </c:pt>
                <c:pt idx="8">
                  <c:v>1.0781535732136964E-2</c:v>
                </c:pt>
                <c:pt idx="9">
                  <c:v>9.7436443101805437E-3</c:v>
                </c:pt>
              </c:numCache>
            </c:numRef>
          </c:val>
          <c:extLst>
            <c:ext xmlns:c16="http://schemas.microsoft.com/office/drawing/2014/chart" uri="{C3380CC4-5D6E-409C-BE32-E72D297353CC}">
              <c16:uniqueId val="{00000003-DE29-42C3-8191-BE8ACF6741F7}"/>
            </c:ext>
          </c:extLst>
        </c:ser>
        <c:ser>
          <c:idx val="4"/>
          <c:order val="4"/>
          <c:tx>
            <c:strRef>
              <c:f>'[441indo.xlsx]composition'!$A$86</c:f>
              <c:strCache>
                <c:ptCount val="1"/>
                <c:pt idx="0">
                  <c:v>Housing and community amenities</c:v>
                </c:pt>
              </c:strCache>
            </c:strRef>
          </c:tx>
          <c:spPr>
            <a:solidFill>
              <a:srgbClr val="336600"/>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'[441indo.xlsx]composition'!$B$86:$K$86</c:f>
              <c:numCache>
                <c:formatCode>0.00%</c:formatCode>
                <c:ptCount val="10"/>
                <c:pt idx="0">
                  <c:v>9.5822750750401333E-3</c:v>
                </c:pt>
                <c:pt idx="1">
                  <c:v>1.511040129008249E-2</c:v>
                </c:pt>
                <c:pt idx="2">
                  <c:v>1.8101812539447728E-2</c:v>
                </c:pt>
                <c:pt idx="3">
                  <c:v>1.7954268802750681E-2</c:v>
                </c:pt>
                <c:pt idx="4">
                  <c:v>2.3295501170142317E-2</c:v>
                </c:pt>
                <c:pt idx="5">
                  <c:v>2.8753966123626053E-2</c:v>
                </c:pt>
                <c:pt idx="6">
                  <c:v>2.724071542936618E-2</c:v>
                </c:pt>
                <c:pt idx="7">
                  <c:v>2.7240643060827335E-2</c:v>
                </c:pt>
                <c:pt idx="8">
                  <c:v>2.661339713664726E-2</c:v>
                </c:pt>
                <c:pt idx="9">
                  <c:v>2.5190748698140634E-2</c:v>
                </c:pt>
              </c:numCache>
            </c:numRef>
          </c:val>
          <c:extLst>
            <c:ext xmlns:c16="http://schemas.microsoft.com/office/drawing/2014/chart" uri="{C3380CC4-5D6E-409C-BE32-E72D297353CC}">
              <c16:uniqueId val="{00000004-DE29-42C3-8191-BE8ACF6741F7}"/>
            </c:ext>
          </c:extLst>
        </c:ser>
        <c:ser>
          <c:idx val="5"/>
          <c:order val="5"/>
          <c:tx>
            <c:strRef>
              <c:f>'[441indo.xlsx]composition'!$A$87</c:f>
              <c:strCache>
                <c:ptCount val="1"/>
                <c:pt idx="0">
                  <c:v>Health</c:v>
                </c:pt>
              </c:strCache>
            </c:strRef>
          </c:tx>
          <c:spPr>
            <a:solidFill>
              <a:srgbClr val="871717"/>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'[441indo.xlsx]composition'!$B$87:$K$87</c:f>
              <c:numCache>
                <c:formatCode>0.00%</c:formatCode>
                <c:ptCount val="10"/>
                <c:pt idx="0">
                  <c:v>2.770189931986641E-2</c:v>
                </c:pt>
                <c:pt idx="1">
                  <c:v>1.6161749851587349E-2</c:v>
                </c:pt>
                <c:pt idx="2">
                  <c:v>3.171572469375683E-2</c:v>
                </c:pt>
                <c:pt idx="3">
                  <c:v>2.0247751515815829E-2</c:v>
                </c:pt>
                <c:pt idx="4">
                  <c:v>2.5036242923962695E-2</c:v>
                </c:pt>
                <c:pt idx="5">
                  <c:v>2.6946985287201262E-2</c:v>
                </c:pt>
                <c:pt idx="6">
                  <c:v>1.5399616446428347E-2</c:v>
                </c:pt>
                <c:pt idx="7">
                  <c:v>1.5399573729888627E-2</c:v>
                </c:pt>
                <c:pt idx="8">
                  <c:v>1.5153575812491717E-2</c:v>
                </c:pt>
                <c:pt idx="9">
                  <c:v>1.0462877107196088E-2</c:v>
                </c:pt>
              </c:numCache>
            </c:numRef>
          </c:val>
          <c:extLst>
            <c:ext xmlns:c16="http://schemas.microsoft.com/office/drawing/2014/chart" uri="{C3380CC4-5D6E-409C-BE32-E72D297353CC}">
              <c16:uniqueId val="{00000005-DE29-42C3-8191-BE8ACF6741F7}"/>
            </c:ext>
          </c:extLst>
        </c:ser>
        <c:ser>
          <c:idx val="6"/>
          <c:order val="6"/>
          <c:tx>
            <c:strRef>
              <c:f>'[441indo.xlsx]composition'!$A$88</c:f>
              <c:strCache>
                <c:ptCount val="1"/>
                <c:pt idx="0">
                  <c:v>Tourism and culture</c:v>
                </c:pt>
              </c:strCache>
            </c:strRef>
          </c:tx>
          <c:spPr>
            <a:solidFill>
              <a:schemeClr val="accent2">
                <a:lumMod val="80000"/>
                <a:lumOff val="2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'[441indo.xlsx]composition'!$B$88:$K$88</c:f>
              <c:numCache>
                <c:formatCode>0.00%</c:formatCode>
                <c:ptCount val="10"/>
                <c:pt idx="0">
                  <c:v>1.3376324224282279E-3</c:v>
                </c:pt>
                <c:pt idx="1">
                  <c:v>2.5069554584843303E-3</c:v>
                </c:pt>
                <c:pt idx="2">
                  <c:v>3.6684775877461116E-3</c:v>
                </c:pt>
                <c:pt idx="3">
                  <c:v>1.8658524625156485E-3</c:v>
                </c:pt>
                <c:pt idx="4">
                  <c:v>2.2362790555656982E-3</c:v>
                </c:pt>
                <c:pt idx="5">
                  <c:v>2.0199126363050295E-3</c:v>
                </c:pt>
                <c:pt idx="6">
                  <c:v>2.5912657333926124E-3</c:v>
                </c:pt>
                <c:pt idx="7">
                  <c:v>2.5912426813429687E-3</c:v>
                </c:pt>
                <c:pt idx="8">
                  <c:v>2.1734591958807361E-3</c:v>
                </c:pt>
                <c:pt idx="9">
                  <c:v>1.6424748968552965E-3</c:v>
                </c:pt>
              </c:numCache>
            </c:numRef>
          </c:val>
          <c:extLst>
            <c:ext xmlns:c16="http://schemas.microsoft.com/office/drawing/2014/chart" uri="{C3380CC4-5D6E-409C-BE32-E72D297353CC}">
              <c16:uniqueId val="{00000006-DE29-42C3-8191-BE8ACF6741F7}"/>
            </c:ext>
          </c:extLst>
        </c:ser>
        <c:ser>
          <c:idx val="7"/>
          <c:order val="7"/>
          <c:tx>
            <c:strRef>
              <c:f>'[441indo.xlsx]composition'!$A$89</c:f>
              <c:strCache>
                <c:ptCount val="1"/>
                <c:pt idx="0">
                  <c:v>Religion</c:v>
                </c:pt>
              </c:strCache>
            </c:strRef>
          </c:tx>
          <c:spPr>
            <a:solidFill>
              <a:schemeClr val="accent4">
                <a:lumMod val="80000"/>
                <a:lumOff val="2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'[441indo.xlsx]composition'!$B$89:$K$89</c:f>
              <c:numCache>
                <c:formatCode>0.00%</c:formatCode>
                <c:ptCount val="10"/>
                <c:pt idx="0">
                  <c:v>3.2070453186046808E-3</c:v>
                </c:pt>
                <c:pt idx="1">
                  <c:v>3.6336179016666515E-3</c:v>
                </c:pt>
                <c:pt idx="2">
                  <c:v>3.7338728775017415E-3</c:v>
                </c:pt>
                <c:pt idx="3">
                  <c:v>1.0754936857833494E-3</c:v>
                </c:pt>
                <c:pt idx="4">
                  <c:v>1.2300966075096482E-3</c:v>
                </c:pt>
                <c:pt idx="5">
                  <c:v>1.2600974123552636E-3</c:v>
                </c:pt>
                <c:pt idx="6">
                  <c:v>1.9915366299386263E-3</c:v>
                </c:pt>
                <c:pt idx="7">
                  <c:v>1.9915383202911783E-3</c:v>
                </c:pt>
                <c:pt idx="8">
                  <c:v>3.5516870080155513E-3</c:v>
                </c:pt>
                <c:pt idx="9">
                  <c:v>3.5705628176644854E-3</c:v>
                </c:pt>
              </c:numCache>
            </c:numRef>
          </c:val>
          <c:extLst>
            <c:ext xmlns:c16="http://schemas.microsoft.com/office/drawing/2014/chart" uri="{C3380CC4-5D6E-409C-BE32-E72D297353CC}">
              <c16:uniqueId val="{00000007-DE29-42C3-8191-BE8ACF6741F7}"/>
            </c:ext>
          </c:extLst>
        </c:ser>
        <c:ser>
          <c:idx val="8"/>
          <c:order val="8"/>
          <c:tx>
            <c:strRef>
              <c:f>'[441indo.xlsx]composition'!$A$90</c:f>
              <c:strCache>
                <c:ptCount val="1"/>
                <c:pt idx="0">
                  <c:v>Education</c:v>
                </c:pt>
              </c:strCache>
            </c:strRef>
          </c:tx>
          <c:spPr>
            <a:solidFill>
              <a:srgbClr val="558335"/>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'[441indo.xlsx]composition'!$B$90:$K$90</c:f>
              <c:numCache>
                <c:formatCode>0.00%</c:formatCode>
                <c:ptCount val="10"/>
                <c:pt idx="0">
                  <c:v>6.6604140797288922E-2</c:v>
                </c:pt>
                <c:pt idx="1">
                  <c:v>0.12544163838704248</c:v>
                </c:pt>
                <c:pt idx="2">
                  <c:v>0.10075511742913282</c:v>
                </c:pt>
                <c:pt idx="3">
                  <c:v>7.9754123422888096E-2</c:v>
                </c:pt>
                <c:pt idx="4">
                  <c:v>0.13504743227073765</c:v>
                </c:pt>
                <c:pt idx="5">
                  <c:v>0.1302229231048066</c:v>
                </c:pt>
                <c:pt idx="6">
                  <c:v>0.10019483763933765</c:v>
                </c:pt>
                <c:pt idx="7">
                  <c:v>0.10019485675429352</c:v>
                </c:pt>
                <c:pt idx="8">
                  <c:v>0.10262383043379959</c:v>
                </c:pt>
                <c:pt idx="9">
                  <c:v>0.10505599055316922</c:v>
                </c:pt>
              </c:numCache>
            </c:numRef>
          </c:val>
          <c:extLst>
            <c:ext xmlns:c16="http://schemas.microsoft.com/office/drawing/2014/chart" uri="{C3380CC4-5D6E-409C-BE32-E72D297353CC}">
              <c16:uniqueId val="{00000008-DE29-42C3-8191-BE8ACF6741F7}"/>
            </c:ext>
          </c:extLst>
        </c:ser>
        <c:ser>
          <c:idx val="9"/>
          <c:order val="9"/>
          <c:tx>
            <c:strRef>
              <c:f>'[441indo.xlsx]composition'!$A$91</c:f>
              <c:strCache>
                <c:ptCount val="1"/>
                <c:pt idx="0">
                  <c:v>Social protection</c:v>
                </c:pt>
              </c:strCache>
            </c:strRef>
          </c:tx>
          <c:spPr>
            <a:solidFill>
              <a:schemeClr val="accent2">
                <a:lumMod val="80000"/>
              </a:schemeClr>
            </a:solidFill>
            <a:ln>
              <a:noFill/>
            </a:ln>
            <a:effectLst/>
          </c:spPr>
          <c:cat>
            <c:numRef>
              <c:f>'[441indo.xlsx]composition'!$B$80:$K$80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'[441indo.xlsx]composition'!$B$91:$K$91</c:f>
              <c:numCache>
                <c:formatCode>0.00%</c:formatCode>
                <c:ptCount val="10"/>
                <c:pt idx="0">
                  <c:v>4.7810246182543419E-3</c:v>
                </c:pt>
                <c:pt idx="1">
                  <c:v>6.3775905760182884E-3</c:v>
                </c:pt>
                <c:pt idx="2">
                  <c:v>5.2522326051006344E-3</c:v>
                </c:pt>
                <c:pt idx="3">
                  <c:v>4.307166881082734E-3</c:v>
                </c:pt>
                <c:pt idx="4">
                  <c:v>4.9335859152904744E-3</c:v>
                </c:pt>
                <c:pt idx="5">
                  <c:v>4.7914673567664417E-3</c:v>
                </c:pt>
                <c:pt idx="6">
                  <c:v>5.5159222736988782E-3</c:v>
                </c:pt>
                <c:pt idx="7">
                  <c:v>5.5158757109043475E-3</c:v>
                </c:pt>
                <c:pt idx="8">
                  <c:v>6.4450125218623658E-3</c:v>
                </c:pt>
                <c:pt idx="9">
                  <c:v>6.4506941516533156E-3</c:v>
                </c:pt>
              </c:numCache>
            </c:numRef>
          </c:val>
          <c:extLst>
            <c:ext xmlns:c16="http://schemas.microsoft.com/office/drawing/2014/chart" uri="{C3380CC4-5D6E-409C-BE32-E72D297353CC}">
              <c16:uniqueId val="{00000009-DE29-42C3-8191-BE8ACF6741F7}"/>
            </c:ext>
          </c:extLst>
        </c:ser>
        <c:dLbls>
          <c:showLegendKey val="0"/>
          <c:showVal val="0"/>
          <c:showCatName val="0"/>
          <c:showSerName val="0"/>
          <c:showPercent val="0"/>
          <c:showBubbleSize val="0"/>
        </c:dLbls>
        <c:axId val="280741432"/>
        <c:axId val="280741824"/>
      </c:areaChart>
      <c:catAx>
        <c:axId val="2807414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0741824"/>
        <c:crosses val="autoZero"/>
        <c:auto val="1"/>
        <c:lblAlgn val="ctr"/>
        <c:lblOffset val="100"/>
        <c:noMultiLvlLbl val="0"/>
      </c:catAx>
      <c:valAx>
        <c:axId val="2807418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0741432"/>
        <c:crosses val="autoZero"/>
        <c:crossBetween val="midCat"/>
      </c:valAx>
      <c:spPr>
        <a:noFill/>
        <a:ln>
          <a:noFill/>
        </a:ln>
        <a:effectLst/>
      </c:spPr>
    </c:plotArea>
    <c:legend>
      <c:legendPos val="b"/>
      <c:legendEntry>
        <c:idx val="5"/>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6.8289420553200086E-2"/>
          <c:y val="0.77175006776545874"/>
          <c:w val="0.91256645803889902"/>
          <c:h val="0.20809879873328177"/>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089743589743592E-2"/>
          <c:y val="0.10108514570726891"/>
          <c:w val="0.87286324786324787"/>
          <c:h val="0.82355318125427246"/>
        </c:manualLayout>
      </c:layout>
      <c:ofPieChart>
        <c:ofPieType val="pie"/>
        <c:varyColors val="1"/>
        <c:ser>
          <c:idx val="0"/>
          <c:order val="0"/>
          <c:dPt>
            <c:idx val="0"/>
            <c:bubble3D val="0"/>
            <c:spPr>
              <a:solidFill>
                <a:schemeClr val="accent2"/>
              </a:solidFill>
              <a:ln>
                <a:noFill/>
              </a:ln>
              <a:effectLst/>
            </c:spPr>
            <c:extLst>
              <c:ext xmlns:c16="http://schemas.microsoft.com/office/drawing/2014/chart" uri="{C3380CC4-5D6E-409C-BE32-E72D297353CC}">
                <c16:uniqueId val="{00000001-0436-4D09-B1B3-CD93B12347E8}"/>
              </c:ext>
            </c:extLst>
          </c:dPt>
          <c:dPt>
            <c:idx val="1"/>
            <c:bubble3D val="0"/>
            <c:spPr>
              <a:solidFill>
                <a:schemeClr val="accent4"/>
              </a:solidFill>
              <a:ln>
                <a:noFill/>
              </a:ln>
              <a:effectLst/>
            </c:spPr>
            <c:extLst>
              <c:ext xmlns:c16="http://schemas.microsoft.com/office/drawing/2014/chart" uri="{C3380CC4-5D6E-409C-BE32-E72D297353CC}">
                <c16:uniqueId val="{00000003-0436-4D09-B1B3-CD93B12347E8}"/>
              </c:ext>
            </c:extLst>
          </c:dPt>
          <c:dPt>
            <c:idx val="2"/>
            <c:bubble3D val="0"/>
            <c:spPr>
              <a:solidFill>
                <a:schemeClr val="accent6"/>
              </a:solidFill>
              <a:ln>
                <a:noFill/>
              </a:ln>
              <a:effectLst/>
            </c:spPr>
            <c:extLst>
              <c:ext xmlns:c16="http://schemas.microsoft.com/office/drawing/2014/chart" uri="{C3380CC4-5D6E-409C-BE32-E72D297353CC}">
                <c16:uniqueId val="{00000005-0436-4D09-B1B3-CD93B12347E8}"/>
              </c:ext>
            </c:extLst>
          </c:dPt>
          <c:dPt>
            <c:idx val="3"/>
            <c:bubble3D val="0"/>
            <c:spPr>
              <a:solidFill>
                <a:schemeClr val="accent2">
                  <a:lumMod val="60000"/>
                </a:schemeClr>
              </a:solidFill>
              <a:ln>
                <a:noFill/>
              </a:ln>
              <a:effectLst/>
            </c:spPr>
            <c:extLst>
              <c:ext xmlns:c16="http://schemas.microsoft.com/office/drawing/2014/chart" uri="{C3380CC4-5D6E-409C-BE32-E72D297353CC}">
                <c16:uniqueId val="{00000007-0436-4D09-B1B3-CD93B12347E8}"/>
              </c:ext>
            </c:extLst>
          </c:dPt>
          <c:dPt>
            <c:idx val="4"/>
            <c:bubble3D val="0"/>
            <c:spPr>
              <a:solidFill>
                <a:schemeClr val="accent4">
                  <a:lumMod val="60000"/>
                </a:schemeClr>
              </a:solidFill>
              <a:ln>
                <a:noFill/>
              </a:ln>
              <a:effectLst/>
            </c:spPr>
            <c:extLst>
              <c:ext xmlns:c16="http://schemas.microsoft.com/office/drawing/2014/chart" uri="{C3380CC4-5D6E-409C-BE32-E72D297353CC}">
                <c16:uniqueId val="{00000009-0436-4D09-B1B3-CD93B12347E8}"/>
              </c:ext>
            </c:extLst>
          </c:dPt>
          <c:dPt>
            <c:idx val="5"/>
            <c:bubble3D val="0"/>
            <c:spPr>
              <a:solidFill>
                <a:schemeClr val="accent6">
                  <a:lumMod val="60000"/>
                </a:schemeClr>
              </a:solidFill>
              <a:ln>
                <a:noFill/>
              </a:ln>
              <a:effectLst/>
            </c:spPr>
            <c:extLst>
              <c:ext xmlns:c16="http://schemas.microsoft.com/office/drawing/2014/chart" uri="{C3380CC4-5D6E-409C-BE32-E72D297353CC}">
                <c16:uniqueId val="{0000000B-0436-4D09-B1B3-CD93B12347E8}"/>
              </c:ext>
            </c:extLst>
          </c:dPt>
          <c:dPt>
            <c:idx val="6"/>
            <c:bubble3D val="0"/>
            <c:spPr>
              <a:solidFill>
                <a:srgbClr val="C00000"/>
              </a:solidFill>
              <a:ln>
                <a:noFill/>
              </a:ln>
              <a:effectLst/>
            </c:spPr>
            <c:extLst>
              <c:ext xmlns:c16="http://schemas.microsoft.com/office/drawing/2014/chart" uri="{C3380CC4-5D6E-409C-BE32-E72D297353CC}">
                <c16:uniqueId val="{0000000D-0436-4D09-B1B3-CD93B12347E8}"/>
              </c:ext>
            </c:extLst>
          </c:dPt>
          <c:dPt>
            <c:idx val="7"/>
            <c:bubble3D val="0"/>
            <c:spPr>
              <a:solidFill>
                <a:schemeClr val="accent4">
                  <a:lumMod val="80000"/>
                  <a:lumOff val="20000"/>
                </a:schemeClr>
              </a:solidFill>
              <a:ln>
                <a:noFill/>
              </a:ln>
              <a:effectLst/>
            </c:spPr>
            <c:extLst>
              <c:ext xmlns:c16="http://schemas.microsoft.com/office/drawing/2014/chart" uri="{C3380CC4-5D6E-409C-BE32-E72D297353CC}">
                <c16:uniqueId val="{0000000F-0436-4D09-B1B3-CD93B12347E8}"/>
              </c:ext>
            </c:extLst>
          </c:dPt>
          <c:dPt>
            <c:idx val="8"/>
            <c:bubble3D val="0"/>
            <c:spPr>
              <a:solidFill>
                <a:schemeClr val="accent6">
                  <a:lumMod val="80000"/>
                  <a:lumOff val="20000"/>
                </a:schemeClr>
              </a:solidFill>
              <a:ln>
                <a:noFill/>
              </a:ln>
              <a:effectLst/>
            </c:spPr>
            <c:extLst>
              <c:ext xmlns:c16="http://schemas.microsoft.com/office/drawing/2014/chart" uri="{C3380CC4-5D6E-409C-BE32-E72D297353CC}">
                <c16:uniqueId val="{00000011-0436-4D09-B1B3-CD93B12347E8}"/>
              </c:ext>
            </c:extLst>
          </c:dPt>
          <c:dPt>
            <c:idx val="9"/>
            <c:bubble3D val="0"/>
            <c:spPr>
              <a:solidFill>
                <a:schemeClr val="accent2">
                  <a:lumMod val="80000"/>
                </a:schemeClr>
              </a:solidFill>
              <a:ln>
                <a:noFill/>
              </a:ln>
              <a:effectLst/>
            </c:spPr>
            <c:extLst>
              <c:ext xmlns:c16="http://schemas.microsoft.com/office/drawing/2014/chart" uri="{C3380CC4-5D6E-409C-BE32-E72D297353CC}">
                <c16:uniqueId val="{00000013-0436-4D09-B1B3-CD93B12347E8}"/>
              </c:ext>
            </c:extLst>
          </c:dPt>
          <c:dPt>
            <c:idx val="10"/>
            <c:bubble3D val="0"/>
            <c:spPr>
              <a:solidFill>
                <a:schemeClr val="accent4">
                  <a:lumMod val="80000"/>
                </a:schemeClr>
              </a:solidFill>
              <a:ln>
                <a:noFill/>
              </a:ln>
              <a:effectLst/>
            </c:spPr>
            <c:extLst>
              <c:ext xmlns:c16="http://schemas.microsoft.com/office/drawing/2014/chart" uri="{C3380CC4-5D6E-409C-BE32-E72D297353CC}">
                <c16:uniqueId val="{00000015-0436-4D09-B1B3-CD93B12347E8}"/>
              </c:ext>
            </c:extLst>
          </c:dPt>
          <c:dPt>
            <c:idx val="11"/>
            <c:bubble3D val="0"/>
            <c:spPr>
              <a:solidFill>
                <a:schemeClr val="accent6">
                  <a:lumMod val="80000"/>
                </a:schemeClr>
              </a:solidFill>
              <a:ln>
                <a:noFill/>
              </a:ln>
              <a:effectLst/>
            </c:spPr>
            <c:extLst>
              <c:ext xmlns:c16="http://schemas.microsoft.com/office/drawing/2014/chart" uri="{C3380CC4-5D6E-409C-BE32-E72D297353CC}">
                <c16:uniqueId val="{00000017-0436-4D09-B1B3-CD93B12347E8}"/>
              </c:ext>
            </c:extLst>
          </c:dPt>
          <c:dLbls>
            <c:dLbl>
              <c:idx val="5"/>
              <c:layout>
                <c:manualLayout>
                  <c:x val="0.1125775624200821"/>
                  <c:y val="-0.1150406653378983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436-4D09-B1B3-CD93B12347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'[441indo.xlsx]composition'!$A$3:$A$13</c:f>
              <c:strCache>
                <c:ptCount val="11"/>
                <c:pt idx="0">
                  <c:v>General public services</c:v>
                </c:pt>
                <c:pt idx="1">
                  <c:v>Defense</c:v>
                </c:pt>
                <c:pt idx="2">
                  <c:v>Public order and safety</c:v>
                </c:pt>
                <c:pt idx="3">
                  <c:v>Economic affairs</c:v>
                </c:pt>
                <c:pt idx="4">
                  <c:v>Environment</c:v>
                </c:pt>
                <c:pt idx="5">
                  <c:v>Housing and community amenities</c:v>
                </c:pt>
                <c:pt idx="6">
                  <c:v>Health</c:v>
                </c:pt>
                <c:pt idx="7">
                  <c:v>Tourism and culture</c:v>
                </c:pt>
                <c:pt idx="8">
                  <c:v>Religion</c:v>
                </c:pt>
                <c:pt idx="9">
                  <c:v>Education</c:v>
                </c:pt>
                <c:pt idx="10">
                  <c:v>Social protection</c:v>
                </c:pt>
              </c:strCache>
            </c:strRef>
          </c:cat>
          <c:val>
            <c:numRef>
              <c:f>'[441indo.xlsx]composition'!$K$3:$K$13</c:f>
              <c:numCache>
                <c:formatCode>_(* #,##0.00_);_(* \(#,##0.00\);_(* "-"??_);_(@_)</c:formatCode>
                <c:ptCount val="11"/>
                <c:pt idx="0">
                  <c:v>794772</c:v>
                </c:pt>
                <c:pt idx="1">
                  <c:v>86307</c:v>
                </c:pt>
                <c:pt idx="2">
                  <c:v>37953</c:v>
                </c:pt>
                <c:pt idx="3">
                  <c:v>128274</c:v>
                </c:pt>
                <c:pt idx="4">
                  <c:v>12179</c:v>
                </c:pt>
                <c:pt idx="5">
                  <c:v>31487</c:v>
                </c:pt>
                <c:pt idx="6">
                  <c:v>13078</c:v>
                </c:pt>
                <c:pt idx="7">
                  <c:v>2053</c:v>
                </c:pt>
                <c:pt idx="8">
                  <c:v>4463</c:v>
                </c:pt>
                <c:pt idx="9">
                  <c:v>131314</c:v>
                </c:pt>
                <c:pt idx="10">
                  <c:v>8063</c:v>
                </c:pt>
              </c:numCache>
            </c:numRef>
          </c:val>
          <c:extLst>
            <c:ext xmlns:c16="http://schemas.microsoft.com/office/drawing/2014/chart" uri="{C3380CC4-5D6E-409C-BE32-E72D297353CC}">
              <c16:uniqueId val="{00000018-0436-4D09-B1B3-CD93B12347E8}"/>
            </c:ext>
          </c:extLst>
        </c:ser>
        <c:dLbls>
          <c:showLegendKey val="0"/>
          <c:showVal val="0"/>
          <c:showCatName val="1"/>
          <c:showSerName val="0"/>
          <c:showPercent val="1"/>
          <c:showBubbleSize val="0"/>
          <c:showLeaderLines val="1"/>
        </c:dLbls>
        <c:gapWidth val="182"/>
        <c:splitType val="percent"/>
        <c:splitPos val="3"/>
        <c:secondPieSize val="77"/>
        <c:serLines>
          <c:spPr>
            <a:ln w="9525" cap="flat" cmpd="sng" algn="ctr">
              <a:solidFill>
                <a:schemeClr val="tx1">
                  <a:lumMod val="35000"/>
                  <a:lumOff val="65000"/>
                </a:schemeClr>
              </a:solidFill>
              <a:round/>
            </a:ln>
            <a:effectLst/>
          </c:spPr>
        </c:serLines>
      </c:of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'[441indo.xlsx]composition'!$C$133</c:f>
              <c:strCache>
                <c:ptCount val="1"/>
                <c:pt idx="0">
                  <c:v>Central Government </c:v>
                </c:pt>
              </c:strCache>
            </c:strRef>
          </c:tx>
          <c:spPr>
            <a:solidFill>
              <a:srgbClr val="336600"/>
            </a:solidFill>
            <a:ln>
              <a:noFill/>
            </a:ln>
            <a:effectLst/>
          </c:spPr>
          <c:invertIfNegative val="0"/>
          <c:cat>
            <c:numRef>
              <c:f>'[441indo.xlsx]composition'!$A$134:$A$142</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'[441indo.xlsx]composition'!$C$134:$C$142</c:f>
              <c:numCache>
                <c:formatCode>0.00%</c:formatCode>
                <c:ptCount val="9"/>
                <c:pt idx="0">
                  <c:v>2.770189931986641E-2</c:v>
                </c:pt>
                <c:pt idx="1">
                  <c:v>1.6161749851587349E-2</c:v>
                </c:pt>
                <c:pt idx="2">
                  <c:v>3.171572469375683E-2</c:v>
                </c:pt>
                <c:pt idx="3">
                  <c:v>2.0247751515815829E-2</c:v>
                </c:pt>
                <c:pt idx="4">
                  <c:v>2.5036242923962695E-2</c:v>
                </c:pt>
                <c:pt idx="5">
                  <c:v>2.6946985287201262E-2</c:v>
                </c:pt>
                <c:pt idx="6">
                  <c:v>1.5399616446428347E-2</c:v>
                </c:pt>
                <c:pt idx="7">
                  <c:v>1.5399573729888627E-2</c:v>
                </c:pt>
                <c:pt idx="8">
                  <c:v>1.5153575812491717E-2</c:v>
                </c:pt>
              </c:numCache>
            </c:numRef>
          </c:val>
          <c:extLst>
            <c:ext xmlns:c16="http://schemas.microsoft.com/office/drawing/2014/chart" uri="{C3380CC4-5D6E-409C-BE32-E72D297353CC}">
              <c16:uniqueId val="{00000000-71F6-4176-B16E-E0CE3B5FC7C5}"/>
            </c:ext>
          </c:extLst>
        </c:ser>
        <c:ser>
          <c:idx val="1"/>
          <c:order val="1"/>
          <c:tx>
            <c:strRef>
              <c:f>'[441indo.xlsx]composition'!$D$133</c:f>
              <c:strCache>
                <c:ptCount val="1"/>
                <c:pt idx="0">
                  <c:v>Regional Government</c:v>
                </c:pt>
              </c:strCache>
            </c:strRef>
          </c:tx>
          <c:spPr>
            <a:solidFill>
              <a:srgbClr val="871717"/>
            </a:solidFill>
            <a:ln>
              <a:noFill/>
            </a:ln>
            <a:effectLst/>
          </c:spPr>
          <c:invertIfNegative val="0"/>
          <c:cat>
            <c:numRef>
              <c:f>'[441indo.xlsx]composition'!$A$134:$A$142</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'[441indo.xlsx]composition'!$D$134:$D$142</c:f>
              <c:numCache>
                <c:formatCode>0.00%</c:formatCode>
                <c:ptCount val="9"/>
                <c:pt idx="0">
                  <c:v>1.5998100680133593E-2</c:v>
                </c:pt>
                <c:pt idx="1">
                  <c:v>2.9538250148412649E-2</c:v>
                </c:pt>
                <c:pt idx="2">
                  <c:v>2.6984275306243172E-2</c:v>
                </c:pt>
                <c:pt idx="3">
                  <c:v>3.0252248484184174E-2</c:v>
                </c:pt>
                <c:pt idx="4">
                  <c:v>3.59637570760373E-2</c:v>
                </c:pt>
                <c:pt idx="5">
                  <c:v>4.1053014712798742E-2</c:v>
                </c:pt>
                <c:pt idx="6">
                  <c:v>4.6800383553571648E-2</c:v>
                </c:pt>
                <c:pt idx="7">
                  <c:v>5.0900426270111369E-2</c:v>
                </c:pt>
                <c:pt idx="8">
                  <c:v>5.1146424187508283E-2</c:v>
                </c:pt>
              </c:numCache>
            </c:numRef>
          </c:val>
          <c:extLst>
            <c:ext xmlns:c16="http://schemas.microsoft.com/office/drawing/2014/chart" uri="{C3380CC4-5D6E-409C-BE32-E72D297353CC}">
              <c16:uniqueId val="{00000001-71F6-4176-B16E-E0CE3B5FC7C5}"/>
            </c:ext>
          </c:extLst>
        </c:ser>
        <c:dLbls>
          <c:showLegendKey val="0"/>
          <c:showVal val="0"/>
          <c:showCatName val="0"/>
          <c:showSerName val="0"/>
          <c:showPercent val="0"/>
          <c:showBubbleSize val="0"/>
        </c:dLbls>
        <c:gapWidth val="150"/>
        <c:overlap val="100"/>
        <c:axId val="365623088"/>
        <c:axId val="369792680"/>
      </c:barChart>
      <c:catAx>
        <c:axId val="36562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69792680"/>
        <c:crosses val="autoZero"/>
        <c:auto val="1"/>
        <c:lblAlgn val="ctr"/>
        <c:lblOffset val="100"/>
        <c:noMultiLvlLbl val="0"/>
      </c:catAx>
      <c:valAx>
        <c:axId val="3697926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65623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336600"/>
            </a:solidFill>
            <a:ln>
              <a:noFill/>
            </a:ln>
            <a:effectLst/>
          </c:spPr>
          <c:invertIfNegative val="0"/>
          <c:dPt>
            <c:idx val="5"/>
            <c:invertIfNegative val="0"/>
            <c:bubble3D val="0"/>
            <c:spPr>
              <a:solidFill>
                <a:srgbClr val="336600"/>
              </a:solidFill>
              <a:ln>
                <a:noFill/>
              </a:ln>
              <a:effectLst/>
            </c:spPr>
            <c:extLst>
              <c:ext xmlns:c16="http://schemas.microsoft.com/office/drawing/2014/chart" uri="{C3380CC4-5D6E-409C-BE32-E72D297353CC}">
                <c16:uniqueId val="{00000001-00A9-443F-9B99-AA0925CFE00A}"/>
              </c:ext>
            </c:extLst>
          </c:dPt>
          <c:dPt>
            <c:idx val="16"/>
            <c:invertIfNegative val="0"/>
            <c:bubble3D val="0"/>
            <c:spPr>
              <a:solidFill>
                <a:srgbClr val="9D2B2B"/>
              </a:solidFill>
              <a:ln>
                <a:noFill/>
              </a:ln>
              <a:effectLst/>
            </c:spPr>
            <c:extLst>
              <c:ext xmlns:c16="http://schemas.microsoft.com/office/drawing/2014/chart" uri="{C3380CC4-5D6E-409C-BE32-E72D297353CC}">
                <c16:uniqueId val="{00000003-00A9-443F-9B99-AA0925CFE00A}"/>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'[441indo.xlsx]other countries'!$A$2:$A$21</c:f>
              <c:strCache>
                <c:ptCount val="20"/>
                <c:pt idx="0">
                  <c:v>Switzerland</c:v>
                </c:pt>
                <c:pt idx="1">
                  <c:v>United States</c:v>
                </c:pt>
                <c:pt idx="2">
                  <c:v>Netherlands</c:v>
                </c:pt>
                <c:pt idx="3">
                  <c:v>Germany</c:v>
                </c:pt>
                <c:pt idx="4">
                  <c:v>Canada</c:v>
                </c:pt>
                <c:pt idx="5">
                  <c:v>OECD members (as of 2012)</c:v>
                </c:pt>
                <c:pt idx="6">
                  <c:v>Thailand</c:v>
                </c:pt>
                <c:pt idx="7">
                  <c:v>Austria</c:v>
                </c:pt>
                <c:pt idx="8">
                  <c:v>Denmark</c:v>
                </c:pt>
                <c:pt idx="9">
                  <c:v>France</c:v>
                </c:pt>
                <c:pt idx="10">
                  <c:v>Belgium</c:v>
                </c:pt>
                <c:pt idx="11">
                  <c:v>Singapore</c:v>
                </c:pt>
                <c:pt idx="12">
                  <c:v>Vietnam</c:v>
                </c:pt>
                <c:pt idx="13">
                  <c:v>Philippines</c:v>
                </c:pt>
                <c:pt idx="14">
                  <c:v>Cambodia</c:v>
                </c:pt>
                <c:pt idx="15">
                  <c:v>Brunei Darussalam</c:v>
                </c:pt>
                <c:pt idx="16">
                  <c:v>Indonesia</c:v>
                </c:pt>
                <c:pt idx="17">
                  <c:v>Malaysia</c:v>
                </c:pt>
                <c:pt idx="18">
                  <c:v>Lao PDR</c:v>
                </c:pt>
                <c:pt idx="19">
                  <c:v>Myanmar</c:v>
                </c:pt>
              </c:strCache>
            </c:strRef>
          </c:cat>
          <c:val>
            <c:numRef>
              <c:f>'[441indo.xlsx]other countries'!$B$2:$B$21</c:f>
              <c:numCache>
                <c:formatCode>0.00</c:formatCode>
                <c:ptCount val="20"/>
                <c:pt idx="0">
                  <c:v>22.078417200000001</c:v>
                </c:pt>
                <c:pt idx="1">
                  <c:v>20.714160060000001</c:v>
                </c:pt>
                <c:pt idx="2">
                  <c:v>20.666590769999999</c:v>
                </c:pt>
                <c:pt idx="3">
                  <c:v>19.422056529999999</c:v>
                </c:pt>
                <c:pt idx="4">
                  <c:v>18.462337340000001</c:v>
                </c:pt>
                <c:pt idx="5">
                  <c:v>17.5</c:v>
                </c:pt>
                <c:pt idx="6">
                  <c:v>17.005480639999998</c:v>
                </c:pt>
                <c:pt idx="7">
                  <c:v>16.306106629999999</c:v>
                </c:pt>
                <c:pt idx="8">
                  <c:v>15.851607250000001</c:v>
                </c:pt>
                <c:pt idx="9">
                  <c:v>15.84313624</c:v>
                </c:pt>
                <c:pt idx="10">
                  <c:v>15.560497870000001</c:v>
                </c:pt>
                <c:pt idx="11">
                  <c:v>12.45971224</c:v>
                </c:pt>
                <c:pt idx="12">
                  <c:v>9.3275462299999994</c:v>
                </c:pt>
                <c:pt idx="13">
                  <c:v>8.5469329599999995</c:v>
                </c:pt>
                <c:pt idx="14">
                  <c:v>7.7284079400000003</c:v>
                </c:pt>
                <c:pt idx="15">
                  <c:v>7.4195043700000003</c:v>
                </c:pt>
                <c:pt idx="16">
                  <c:v>6.6303416899999998</c:v>
                </c:pt>
                <c:pt idx="17">
                  <c:v>5.8761687199999999</c:v>
                </c:pt>
                <c:pt idx="18">
                  <c:v>3.4560730799999999</c:v>
                </c:pt>
                <c:pt idx="19">
                  <c:v>1.50410066</c:v>
                </c:pt>
              </c:numCache>
            </c:numRef>
          </c:val>
          <c:extLst>
            <c:ext xmlns:c16="http://schemas.microsoft.com/office/drawing/2014/chart" uri="{C3380CC4-5D6E-409C-BE32-E72D297353CC}">
              <c16:uniqueId val="{00000004-00A9-443F-9B99-AA0925CFE00A}"/>
            </c:ext>
          </c:extLst>
        </c:ser>
        <c:dLbls>
          <c:dLblPos val="outEnd"/>
          <c:showLegendKey val="0"/>
          <c:showVal val="1"/>
          <c:showCatName val="0"/>
          <c:showSerName val="0"/>
          <c:showPercent val="0"/>
          <c:showBubbleSize val="0"/>
        </c:dLbls>
        <c:gapWidth val="150"/>
        <c:axId val="289011144"/>
        <c:axId val="289010752"/>
      </c:barChart>
      <c:catAx>
        <c:axId val="289011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010752"/>
        <c:crosses val="autoZero"/>
        <c:auto val="1"/>
        <c:lblAlgn val="ctr"/>
        <c:lblOffset val="100"/>
        <c:noMultiLvlLbl val="0"/>
      </c:catAx>
      <c:valAx>
        <c:axId val="2890107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011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'[441indo.xlsx]health ratio'!$A$2</c:f>
              <c:strCache>
                <c:ptCount val="1"/>
                <c:pt idx="0">
                  <c:v>Maternal Mortality Ratio (per 100,000 live births)</c:v>
                </c:pt>
              </c:strCache>
            </c:strRef>
          </c:tx>
          <c:spPr>
            <a:ln w="28575" cap="rnd">
              <a:solidFill>
                <a:srgbClr val="DE8B10"/>
              </a:solidFill>
              <a:round/>
            </a:ln>
            <a:effectLst/>
          </c:spPr>
          <c:marker>
            <c:symbol val="none"/>
          </c:marker>
          <c:cat>
            <c:numRef>
              <c:f>'[441indo.xlsx]health ratio'!$F$1:$O$1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'[441indo.xlsx]health ratio'!$F$2:$O$2</c:f>
              <c:numCache>
                <c:formatCode>General</c:formatCode>
                <c:ptCount val="10"/>
                <c:pt idx="0">
                  <c:v>212</c:v>
                </c:pt>
                <c:pt idx="1">
                  <c:v>200</c:v>
                </c:pt>
                <c:pt idx="2">
                  <c:v>190</c:v>
                </c:pt>
                <c:pt idx="3">
                  <c:v>181</c:v>
                </c:pt>
                <c:pt idx="4">
                  <c:v>173</c:v>
                </c:pt>
                <c:pt idx="5">
                  <c:v>165</c:v>
                </c:pt>
                <c:pt idx="6">
                  <c:v>156</c:v>
                </c:pt>
                <c:pt idx="7">
                  <c:v>148</c:v>
                </c:pt>
                <c:pt idx="8">
                  <c:v>140</c:v>
                </c:pt>
                <c:pt idx="9">
                  <c:v>133</c:v>
                </c:pt>
              </c:numCache>
            </c:numRef>
          </c:val>
          <c:smooth val="0"/>
          <c:extLst>
            <c:ext xmlns:c16="http://schemas.microsoft.com/office/drawing/2014/chart" uri="{C3380CC4-5D6E-409C-BE32-E72D297353CC}">
              <c16:uniqueId val="{00000000-67AA-4674-AF07-22CF3BA747DD}"/>
            </c:ext>
          </c:extLst>
        </c:ser>
        <c:dLbls>
          <c:showLegendKey val="0"/>
          <c:showVal val="0"/>
          <c:showCatName val="0"/>
          <c:showSerName val="0"/>
          <c:showPercent val="0"/>
          <c:showBubbleSize val="0"/>
        </c:dLbls>
        <c:smooth val="0"/>
        <c:axId val="290134720"/>
        <c:axId val="290135112"/>
      </c:lineChart>
      <c:catAx>
        <c:axId val="29013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35112"/>
        <c:crosses val="autoZero"/>
        <c:auto val="1"/>
        <c:lblAlgn val="ctr"/>
        <c:lblOffset val="100"/>
        <c:noMultiLvlLbl val="0"/>
      </c:catAx>
      <c:valAx>
        <c:axId val="290135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34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336600"/>
            </a:solidFill>
            <a:ln>
              <a:noFill/>
            </a:ln>
            <a:effectLst/>
          </c:spPr>
          <c:invertIfNegative val="0"/>
          <c:dPt>
            <c:idx val="3"/>
            <c:invertIfNegative val="0"/>
            <c:bubble3D val="0"/>
            <c:spPr>
              <a:solidFill>
                <a:srgbClr val="871717"/>
              </a:solidFill>
              <a:ln>
                <a:noFill/>
              </a:ln>
              <a:effectLst/>
            </c:spPr>
            <c:extLst>
              <c:ext xmlns:c16="http://schemas.microsoft.com/office/drawing/2014/chart" uri="{C3380CC4-5D6E-409C-BE32-E72D297353CC}">
                <c16:uniqueId val="{00000001-544A-40F2-BCAB-08CAA4880851}"/>
              </c:ext>
            </c:extLst>
          </c:dPt>
          <c:dPt>
            <c:idx val="9"/>
            <c:invertIfNegative val="0"/>
            <c:bubble3D val="0"/>
            <c:spPr>
              <a:solidFill>
                <a:srgbClr val="336600"/>
              </a:solidFill>
              <a:ln>
                <a:noFill/>
              </a:ln>
              <a:effectLst/>
            </c:spPr>
            <c:extLst>
              <c:ext xmlns:c16="http://schemas.microsoft.com/office/drawing/2014/chart" uri="{C3380CC4-5D6E-409C-BE32-E72D297353CC}">
                <c16:uniqueId val="{00000003-544A-40F2-BCAB-08CAA4880851}"/>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'[441indo.xlsx]other countries'!$A$29:$A$48</c:f>
              <c:strCache>
                <c:ptCount val="20"/>
                <c:pt idx="0">
                  <c:v>Lao PDR</c:v>
                </c:pt>
                <c:pt idx="1">
                  <c:v>Myanmar</c:v>
                </c:pt>
                <c:pt idx="2">
                  <c:v>Cambodia</c:v>
                </c:pt>
                <c:pt idx="3">
                  <c:v>Indonesia</c:v>
                </c:pt>
                <c:pt idx="4">
                  <c:v>Philippines</c:v>
                </c:pt>
                <c:pt idx="5">
                  <c:v>Vietnam</c:v>
                </c:pt>
                <c:pt idx="6">
                  <c:v>Malaysia</c:v>
                </c:pt>
                <c:pt idx="7">
                  <c:v>Brunei Darussalam</c:v>
                </c:pt>
                <c:pt idx="8">
                  <c:v>Thailand</c:v>
                </c:pt>
                <c:pt idx="9">
                  <c:v>OECD members</c:v>
                </c:pt>
                <c:pt idx="10">
                  <c:v>United States</c:v>
                </c:pt>
                <c:pt idx="11">
                  <c:v>Singapore</c:v>
                </c:pt>
                <c:pt idx="12">
                  <c:v>France</c:v>
                </c:pt>
                <c:pt idx="13">
                  <c:v>Netherlands</c:v>
                </c:pt>
                <c:pt idx="14">
                  <c:v>Belgium</c:v>
                </c:pt>
                <c:pt idx="15">
                  <c:v>Denmark</c:v>
                </c:pt>
                <c:pt idx="16">
                  <c:v>Canada</c:v>
                </c:pt>
                <c:pt idx="17">
                  <c:v>Germany</c:v>
                </c:pt>
                <c:pt idx="18">
                  <c:v>Switzerland</c:v>
                </c:pt>
                <c:pt idx="19">
                  <c:v>Austria</c:v>
                </c:pt>
              </c:strCache>
            </c:strRef>
          </c:cat>
          <c:val>
            <c:numRef>
              <c:f>'[441indo.xlsx]other countries'!$B$29:$B$48</c:f>
              <c:numCache>
                <c:formatCode>General</c:formatCode>
                <c:ptCount val="20"/>
                <c:pt idx="0">
                  <c:v>213</c:v>
                </c:pt>
                <c:pt idx="1">
                  <c:v>184</c:v>
                </c:pt>
                <c:pt idx="2">
                  <c:v>167</c:v>
                </c:pt>
                <c:pt idx="3">
                  <c:v>133</c:v>
                </c:pt>
                <c:pt idx="4">
                  <c:v>117</c:v>
                </c:pt>
                <c:pt idx="5">
                  <c:v>54</c:v>
                </c:pt>
                <c:pt idx="6">
                  <c:v>41</c:v>
                </c:pt>
                <c:pt idx="7">
                  <c:v>23</c:v>
                </c:pt>
                <c:pt idx="8">
                  <c:v>21</c:v>
                </c:pt>
                <c:pt idx="9">
                  <c:v>15</c:v>
                </c:pt>
                <c:pt idx="10">
                  <c:v>14</c:v>
                </c:pt>
                <c:pt idx="11">
                  <c:v>10</c:v>
                </c:pt>
                <c:pt idx="12">
                  <c:v>9</c:v>
                </c:pt>
                <c:pt idx="13">
                  <c:v>7</c:v>
                </c:pt>
                <c:pt idx="14">
                  <c:v>7</c:v>
                </c:pt>
                <c:pt idx="15">
                  <c:v>7</c:v>
                </c:pt>
                <c:pt idx="16">
                  <c:v>7</c:v>
                </c:pt>
                <c:pt idx="17">
                  <c:v>6</c:v>
                </c:pt>
                <c:pt idx="18">
                  <c:v>5</c:v>
                </c:pt>
                <c:pt idx="19">
                  <c:v>4</c:v>
                </c:pt>
              </c:numCache>
            </c:numRef>
          </c:val>
          <c:extLst>
            <c:ext xmlns:c16="http://schemas.microsoft.com/office/drawing/2014/chart" uri="{C3380CC4-5D6E-409C-BE32-E72D297353CC}">
              <c16:uniqueId val="{00000004-544A-40F2-BCAB-08CAA4880851}"/>
            </c:ext>
          </c:extLst>
        </c:ser>
        <c:dLbls>
          <c:dLblPos val="outEnd"/>
          <c:showLegendKey val="0"/>
          <c:showVal val="1"/>
          <c:showCatName val="0"/>
          <c:showSerName val="0"/>
          <c:showPercent val="0"/>
          <c:showBubbleSize val="0"/>
        </c:dLbls>
        <c:gapWidth val="219"/>
        <c:overlap val="-27"/>
        <c:axId val="289451360"/>
        <c:axId val="289454104"/>
      </c:barChart>
      <c:catAx>
        <c:axId val="289451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454104"/>
        <c:crosses val="autoZero"/>
        <c:auto val="1"/>
        <c:lblAlgn val="ctr"/>
        <c:lblOffset val="100"/>
        <c:noMultiLvlLbl val="0"/>
      </c:catAx>
      <c:valAx>
        <c:axId val="289454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451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'[441indo.xlsx]health ratio'!$A$5</c:f>
              <c:strCache>
                <c:ptCount val="1"/>
                <c:pt idx="0">
                  <c:v>Mortality rate, infant (per 1,000 live births)</c:v>
                </c:pt>
              </c:strCache>
            </c:strRef>
          </c:tx>
          <c:spPr>
            <a:ln w="28575" cap="rnd">
              <a:solidFill>
                <a:srgbClr val="DE8B10"/>
              </a:solidFill>
              <a:round/>
            </a:ln>
            <a:effectLst/>
          </c:spPr>
          <c:marker>
            <c:symbol val="none"/>
          </c:marker>
          <c:cat>
            <c:numRef>
              <c:f>'[441indo.xlsx]health ratio'!$F$1:$O$1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'[441indo.xlsx]health ratio'!$F$5:$O$5</c:f>
              <c:numCache>
                <c:formatCode>General</c:formatCode>
                <c:ptCount val="10"/>
                <c:pt idx="0">
                  <c:v>33.4</c:v>
                </c:pt>
                <c:pt idx="1">
                  <c:v>32.1</c:v>
                </c:pt>
                <c:pt idx="2">
                  <c:v>30.9</c:v>
                </c:pt>
                <c:pt idx="3">
                  <c:v>29.7</c:v>
                </c:pt>
                <c:pt idx="4">
                  <c:v>28.5</c:v>
                </c:pt>
                <c:pt idx="5">
                  <c:v>27.4</c:v>
                </c:pt>
                <c:pt idx="6">
                  <c:v>26.3</c:v>
                </c:pt>
                <c:pt idx="7">
                  <c:v>25.3</c:v>
                </c:pt>
                <c:pt idx="8">
                  <c:v>24.4</c:v>
                </c:pt>
                <c:pt idx="9">
                  <c:v>23.6</c:v>
                </c:pt>
              </c:numCache>
            </c:numRef>
          </c:val>
          <c:smooth val="0"/>
          <c:extLst>
            <c:ext xmlns:c16="http://schemas.microsoft.com/office/drawing/2014/chart" uri="{C3380CC4-5D6E-409C-BE32-E72D297353CC}">
              <c16:uniqueId val="{00000000-F809-4EE7-8091-D64D5A287C62}"/>
            </c:ext>
          </c:extLst>
        </c:ser>
        <c:dLbls>
          <c:showLegendKey val="0"/>
          <c:showVal val="0"/>
          <c:showCatName val="0"/>
          <c:showSerName val="0"/>
          <c:showPercent val="0"/>
          <c:showBubbleSize val="0"/>
        </c:dLbls>
        <c:smooth val="0"/>
        <c:axId val="290158904"/>
        <c:axId val="290159296"/>
      </c:lineChart>
      <c:catAx>
        <c:axId val="290158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9296"/>
        <c:crosses val="autoZero"/>
        <c:auto val="1"/>
        <c:lblAlgn val="ctr"/>
        <c:lblOffset val="100"/>
        <c:noMultiLvlLbl val="0"/>
      </c:catAx>
      <c:valAx>
        <c:axId val="29015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8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336600"/>
            </a:solidFill>
            <a:ln>
              <a:noFill/>
            </a:ln>
            <a:effectLst/>
          </c:spPr>
          <c:invertIfNegative val="0"/>
          <c:dPt>
            <c:idx val="3"/>
            <c:invertIfNegative val="0"/>
            <c:bubble3D val="0"/>
            <c:spPr>
              <a:solidFill>
                <a:srgbClr val="871717"/>
              </a:solidFill>
              <a:ln>
                <a:noFill/>
              </a:ln>
              <a:effectLst/>
            </c:spPr>
            <c:extLst>
              <c:ext xmlns:c16="http://schemas.microsoft.com/office/drawing/2014/chart" uri="{C3380CC4-5D6E-409C-BE32-E72D297353CC}">
                <c16:uniqueId val="{00000001-D1AA-41D6-B1D5-00B90C109589}"/>
              </c:ext>
            </c:extLst>
          </c:dPt>
          <c:dPt>
            <c:idx val="9"/>
            <c:invertIfNegative val="0"/>
            <c:bubble3D val="0"/>
            <c:spPr>
              <a:solidFill>
                <a:srgbClr val="336600"/>
              </a:solidFill>
              <a:ln>
                <a:noFill/>
              </a:ln>
              <a:effectLst/>
            </c:spPr>
            <c:extLst>
              <c:ext xmlns:c16="http://schemas.microsoft.com/office/drawing/2014/chart" uri="{C3380CC4-5D6E-409C-BE32-E72D297353CC}">
                <c16:uniqueId val="{00000003-D1AA-41D6-B1D5-00B90C109589}"/>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'[441indo.xlsx]other countries'!$A$101:$A$120</c:f>
              <c:strCache>
                <c:ptCount val="20"/>
                <c:pt idx="0">
                  <c:v>Lao PDR</c:v>
                </c:pt>
                <c:pt idx="1">
                  <c:v>Myanmar</c:v>
                </c:pt>
                <c:pt idx="2">
                  <c:v>Cambodia</c:v>
                </c:pt>
                <c:pt idx="3">
                  <c:v>Indonesia</c:v>
                </c:pt>
                <c:pt idx="4">
                  <c:v>Philippines</c:v>
                </c:pt>
                <c:pt idx="5">
                  <c:v>Vietnam</c:v>
                </c:pt>
                <c:pt idx="6">
                  <c:v>Thailand</c:v>
                </c:pt>
                <c:pt idx="7">
                  <c:v>Brunei Darussalam</c:v>
                </c:pt>
                <c:pt idx="8">
                  <c:v>Malaysia</c:v>
                </c:pt>
                <c:pt idx="9">
                  <c:v>OECD members</c:v>
                </c:pt>
                <c:pt idx="10">
                  <c:v>United States</c:v>
                </c:pt>
                <c:pt idx="11">
                  <c:v>Canada</c:v>
                </c:pt>
                <c:pt idx="12">
                  <c:v>France</c:v>
                </c:pt>
                <c:pt idx="13">
                  <c:v>Switzerland</c:v>
                </c:pt>
                <c:pt idx="14">
                  <c:v>Belgium</c:v>
                </c:pt>
                <c:pt idx="15">
                  <c:v>Netherlands</c:v>
                </c:pt>
                <c:pt idx="16">
                  <c:v>Germany</c:v>
                </c:pt>
                <c:pt idx="17">
                  <c:v>Austria</c:v>
                </c:pt>
                <c:pt idx="18">
                  <c:v>Denmark</c:v>
                </c:pt>
                <c:pt idx="19">
                  <c:v>Singapore</c:v>
                </c:pt>
              </c:strCache>
            </c:strRef>
          </c:cat>
          <c:val>
            <c:numRef>
              <c:f>'[441indo.xlsx]other countries'!$B$101:$B$120</c:f>
              <c:numCache>
                <c:formatCode>General</c:formatCode>
                <c:ptCount val="20"/>
                <c:pt idx="0">
                  <c:v>52.3</c:v>
                </c:pt>
                <c:pt idx="1">
                  <c:v>40.700000000000003</c:v>
                </c:pt>
                <c:pt idx="2">
                  <c:v>26.3</c:v>
                </c:pt>
                <c:pt idx="3">
                  <c:v>23.6</c:v>
                </c:pt>
                <c:pt idx="4">
                  <c:v>22.8</c:v>
                </c:pt>
                <c:pt idx="5">
                  <c:v>17.8</c:v>
                </c:pt>
                <c:pt idx="6">
                  <c:v>10.9</c:v>
                </c:pt>
                <c:pt idx="7">
                  <c:v>8.5</c:v>
                </c:pt>
                <c:pt idx="8">
                  <c:v>6.2</c:v>
                </c:pt>
                <c:pt idx="9" formatCode="0.0">
                  <c:v>6.0872859875247975</c:v>
                </c:pt>
                <c:pt idx="10">
                  <c:v>5.7</c:v>
                </c:pt>
                <c:pt idx="11">
                  <c:v>4.4000000000000004</c:v>
                </c:pt>
                <c:pt idx="12">
                  <c:v>3.6</c:v>
                </c:pt>
                <c:pt idx="13">
                  <c:v>3.5</c:v>
                </c:pt>
                <c:pt idx="14">
                  <c:v>3.4</c:v>
                </c:pt>
                <c:pt idx="15">
                  <c:v>3.3</c:v>
                </c:pt>
                <c:pt idx="16">
                  <c:v>3.2</c:v>
                </c:pt>
                <c:pt idx="17">
                  <c:v>3</c:v>
                </c:pt>
                <c:pt idx="18">
                  <c:v>3</c:v>
                </c:pt>
                <c:pt idx="19">
                  <c:v>2.2000000000000002</c:v>
                </c:pt>
              </c:numCache>
            </c:numRef>
          </c:val>
          <c:extLst>
            <c:ext xmlns:c16="http://schemas.microsoft.com/office/drawing/2014/chart" uri="{C3380CC4-5D6E-409C-BE32-E72D297353CC}">
              <c16:uniqueId val="{00000004-D1AA-41D6-B1D5-00B90C109589}"/>
            </c:ext>
          </c:extLst>
        </c:ser>
        <c:dLbls>
          <c:dLblPos val="outEnd"/>
          <c:showLegendKey val="0"/>
          <c:showVal val="1"/>
          <c:showCatName val="0"/>
          <c:showSerName val="0"/>
          <c:showPercent val="0"/>
          <c:showBubbleSize val="0"/>
        </c:dLbls>
        <c:gapWidth val="219"/>
        <c:overlap val="-27"/>
        <c:axId val="290133544"/>
        <c:axId val="290133936"/>
      </c:barChart>
      <c:catAx>
        <c:axId val="290133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33936"/>
        <c:crosses val="autoZero"/>
        <c:auto val="1"/>
        <c:lblAlgn val="ctr"/>
        <c:lblOffset val="100"/>
        <c:noMultiLvlLbl val="0"/>
      </c:catAx>
      <c:valAx>
        <c:axId val="290133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33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'[441indo.xlsx]health ratio'!$A$4</c:f>
              <c:strCache>
                <c:ptCount val="1"/>
                <c:pt idx="0">
                  <c:v>Life expectancy at birth, total (years)</c:v>
                </c:pt>
              </c:strCache>
            </c:strRef>
          </c:tx>
          <c:spPr>
            <a:ln w="28575" cap="rnd">
              <a:solidFill>
                <a:srgbClr val="DE8B10"/>
              </a:solidFill>
              <a:round/>
            </a:ln>
            <a:effectLst/>
          </c:spPr>
          <c:marker>
            <c:symbol val="none"/>
          </c:marker>
          <c:cat>
            <c:numRef>
              <c:f>'[441indo.xlsx]health ratio'!$F$1:$N$1</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'[441indo.xlsx]health ratio'!$F$4:$N$4</c:f>
              <c:numCache>
                <c:formatCode>0.00</c:formatCode>
                <c:ptCount val="9"/>
                <c:pt idx="0">
                  <c:v>67.168560975609765</c:v>
                </c:pt>
                <c:pt idx="1">
                  <c:v>67.367487804878053</c:v>
                </c:pt>
                <c:pt idx="2">
                  <c:v>67.56773170731708</c:v>
                </c:pt>
                <c:pt idx="3">
                  <c:v>67.764780487804885</c:v>
                </c:pt>
                <c:pt idx="4">
                  <c:v>67.957634146341476</c:v>
                </c:pt>
                <c:pt idx="5">
                  <c:v>68.147195121951228</c:v>
                </c:pt>
                <c:pt idx="6">
                  <c:v>68.334390243902448</c:v>
                </c:pt>
                <c:pt idx="7">
                  <c:v>68.519560975609764</c:v>
                </c:pt>
                <c:pt idx="8">
                  <c:v>68.704609756097568</c:v>
                </c:pt>
              </c:numCache>
            </c:numRef>
          </c:val>
          <c:smooth val="0"/>
          <c:extLst>
            <c:ext xmlns:c16="http://schemas.microsoft.com/office/drawing/2014/chart" uri="{C3380CC4-5D6E-409C-BE32-E72D297353CC}">
              <c16:uniqueId val="{00000000-DE0F-46C4-BD4A-DADBD55B46E6}"/>
            </c:ext>
          </c:extLst>
        </c:ser>
        <c:dLbls>
          <c:showLegendKey val="0"/>
          <c:showVal val="0"/>
          <c:showCatName val="0"/>
          <c:showSerName val="0"/>
          <c:showPercent val="0"/>
          <c:showBubbleSize val="0"/>
        </c:dLbls>
        <c:smooth val="0"/>
        <c:axId val="290157728"/>
        <c:axId val="290158120"/>
      </c:lineChart>
      <c:catAx>
        <c:axId val="29015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8120"/>
        <c:crosses val="autoZero"/>
        <c:auto val="1"/>
        <c:lblAlgn val="ctr"/>
        <c:lblOffset val="100"/>
        <c:noMultiLvlLbl val="0"/>
      </c:catAx>
      <c:valAx>
        <c:axId val="2901581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7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336600"/>
            </a:solidFill>
            <a:ln>
              <a:noFill/>
            </a:ln>
            <a:effectLst/>
          </c:spPr>
          <c:invertIfNegative val="0"/>
          <c:dPt>
            <c:idx val="9"/>
            <c:invertIfNegative val="0"/>
            <c:bubble3D val="0"/>
            <c:spPr>
              <a:solidFill>
                <a:srgbClr val="336600"/>
              </a:solidFill>
              <a:ln>
                <a:noFill/>
              </a:ln>
              <a:effectLst/>
            </c:spPr>
            <c:extLst>
              <c:ext xmlns:c16="http://schemas.microsoft.com/office/drawing/2014/chart" uri="{C3380CC4-5D6E-409C-BE32-E72D297353CC}">
                <c16:uniqueId val="{00000001-613A-4ECA-A983-59D2822C85F7}"/>
              </c:ext>
            </c:extLst>
          </c:dPt>
          <c:dPt>
            <c:idx val="15"/>
            <c:invertIfNegative val="0"/>
            <c:bubble3D val="0"/>
            <c:spPr>
              <a:solidFill>
                <a:srgbClr val="871717"/>
              </a:solidFill>
              <a:ln>
                <a:noFill/>
              </a:ln>
              <a:effectLst/>
            </c:spPr>
            <c:extLst>
              <c:ext xmlns:c16="http://schemas.microsoft.com/office/drawing/2014/chart" uri="{C3380CC4-5D6E-409C-BE32-E72D297353CC}">
                <c16:uniqueId val="{00000003-613A-4ECA-A983-59D2822C85F7}"/>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'[441indo.xlsx]other countries'!$A$77:$A$96</c:f>
              <c:strCache>
                <c:ptCount val="20"/>
                <c:pt idx="0">
                  <c:v>Switzerland</c:v>
                </c:pt>
                <c:pt idx="1">
                  <c:v>Singapore</c:v>
                </c:pt>
                <c:pt idx="2">
                  <c:v>France</c:v>
                </c:pt>
                <c:pt idx="3">
                  <c:v>Canada</c:v>
                </c:pt>
                <c:pt idx="4">
                  <c:v>Netherlands</c:v>
                </c:pt>
                <c:pt idx="5">
                  <c:v>Germany</c:v>
                </c:pt>
                <c:pt idx="6">
                  <c:v>Austria</c:v>
                </c:pt>
                <c:pt idx="7">
                  <c:v>Belgium</c:v>
                </c:pt>
                <c:pt idx="8">
                  <c:v>Denmark</c:v>
                </c:pt>
                <c:pt idx="9">
                  <c:v>OECD members</c:v>
                </c:pt>
                <c:pt idx="10">
                  <c:v>United States</c:v>
                </c:pt>
                <c:pt idx="11">
                  <c:v>Brunei Darussalam</c:v>
                </c:pt>
                <c:pt idx="12">
                  <c:v>Vietnam</c:v>
                </c:pt>
                <c:pt idx="13">
                  <c:v>Malaysia</c:v>
                </c:pt>
                <c:pt idx="14">
                  <c:v>Thailand</c:v>
                </c:pt>
                <c:pt idx="15">
                  <c:v>Indonesia</c:v>
                </c:pt>
                <c:pt idx="16">
                  <c:v>Philippines</c:v>
                </c:pt>
                <c:pt idx="17">
                  <c:v>Cambodia</c:v>
                </c:pt>
                <c:pt idx="18">
                  <c:v>Lao PDR</c:v>
                </c:pt>
                <c:pt idx="19">
                  <c:v>Myanmar</c:v>
                </c:pt>
              </c:strCache>
            </c:strRef>
          </c:cat>
          <c:val>
            <c:numRef>
              <c:f>'[441indo.xlsx]other countries'!$B$77:$B$96</c:f>
              <c:numCache>
                <c:formatCode>0.00</c:formatCode>
                <c:ptCount val="20"/>
                <c:pt idx="0">
                  <c:v>82.748780487804893</c:v>
                </c:pt>
                <c:pt idx="1">
                  <c:v>82.346341463414646</c:v>
                </c:pt>
                <c:pt idx="2">
                  <c:v>81.968292682926844</c:v>
                </c:pt>
                <c:pt idx="3">
                  <c:v>81.401121951219523</c:v>
                </c:pt>
                <c:pt idx="4">
                  <c:v>81.104878048780492</c:v>
                </c:pt>
                <c:pt idx="5">
                  <c:v>81.043902439024393</c:v>
                </c:pt>
                <c:pt idx="6">
                  <c:v>80.890243902439025</c:v>
                </c:pt>
                <c:pt idx="7">
                  <c:v>80.385365853658541</c:v>
                </c:pt>
                <c:pt idx="8">
                  <c:v>80.302439024390253</c:v>
                </c:pt>
                <c:pt idx="9">
                  <c:v>79.921973877964959</c:v>
                </c:pt>
                <c:pt idx="10">
                  <c:v>78.841463414634148</c:v>
                </c:pt>
                <c:pt idx="11">
                  <c:v>78.546658536585369</c:v>
                </c:pt>
                <c:pt idx="12">
                  <c:v>75.756487804878049</c:v>
                </c:pt>
                <c:pt idx="13">
                  <c:v>74.567512195121964</c:v>
                </c:pt>
                <c:pt idx="14">
                  <c:v>74.246926829268304</c:v>
                </c:pt>
                <c:pt idx="15">
                  <c:v>68.704609756097568</c:v>
                </c:pt>
                <c:pt idx="16">
                  <c:v>68.131560975609744</c:v>
                </c:pt>
                <c:pt idx="17">
                  <c:v>67.772048780487822</c:v>
                </c:pt>
                <c:pt idx="18">
                  <c:v>65.687243902439036</c:v>
                </c:pt>
                <c:pt idx="19">
                  <c:v>65.654097560975615</c:v>
                </c:pt>
              </c:numCache>
            </c:numRef>
          </c:val>
          <c:extLst>
            <c:ext xmlns:c16="http://schemas.microsoft.com/office/drawing/2014/chart" uri="{C3380CC4-5D6E-409C-BE32-E72D297353CC}">
              <c16:uniqueId val="{00000004-613A-4ECA-A983-59D2822C85F7}"/>
            </c:ext>
          </c:extLst>
        </c:ser>
        <c:dLbls>
          <c:dLblPos val="outEnd"/>
          <c:showLegendKey val="0"/>
          <c:showVal val="1"/>
          <c:showCatName val="0"/>
          <c:showSerName val="0"/>
          <c:showPercent val="0"/>
          <c:showBubbleSize val="0"/>
        </c:dLbls>
        <c:gapWidth val="219"/>
        <c:overlap val="-27"/>
        <c:axId val="290132368"/>
        <c:axId val="290132760"/>
      </c:barChart>
      <c:catAx>
        <c:axId val="290132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32760"/>
        <c:crosses val="autoZero"/>
        <c:auto val="1"/>
        <c:lblAlgn val="ctr"/>
        <c:lblOffset val="100"/>
        <c:noMultiLvlLbl val="0"/>
      </c:catAx>
      <c:valAx>
        <c:axId val="2901327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32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Immunisation (% of children ages 12-23 months)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'[441indo.xlsx]health ratio'!$A$3</c:f>
              <c:strCache>
                <c:ptCount val="1"/>
                <c:pt idx="0">
                  <c:v>Immunization, DPT (% of children ages 12-23 months)</c:v>
                </c:pt>
              </c:strCache>
            </c:strRef>
          </c:tx>
          <c:spPr>
            <a:ln w="28575" cap="rnd">
              <a:solidFill>
                <a:srgbClr val="DE8B10"/>
              </a:solidFill>
              <a:round/>
            </a:ln>
            <a:effectLst/>
          </c:spPr>
          <c:marker>
            <c:symbol val="none"/>
          </c:marker>
          <c:cat>
            <c:numRef>
              <c:f>'[441indo.xlsx]health ratio'!$F$1:$O$1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'[441indo.xlsx]health ratio'!$F$3:$O$3</c:f>
              <c:numCache>
                <c:formatCode>General</c:formatCode>
                <c:ptCount val="10"/>
                <c:pt idx="0">
                  <c:v>72</c:v>
                </c:pt>
                <c:pt idx="1">
                  <c:v>72</c:v>
                </c:pt>
                <c:pt idx="2">
                  <c:v>73</c:v>
                </c:pt>
                <c:pt idx="3">
                  <c:v>77</c:v>
                </c:pt>
                <c:pt idx="4">
                  <c:v>78</c:v>
                </c:pt>
                <c:pt idx="5">
                  <c:v>81</c:v>
                </c:pt>
                <c:pt idx="6">
                  <c:v>81</c:v>
                </c:pt>
                <c:pt idx="7">
                  <c:v>83</c:v>
                </c:pt>
                <c:pt idx="8">
                  <c:v>85</c:v>
                </c:pt>
                <c:pt idx="9">
                  <c:v>78</c:v>
                </c:pt>
              </c:numCache>
            </c:numRef>
          </c:val>
          <c:smooth val="0"/>
          <c:extLst>
            <c:ext xmlns:c16="http://schemas.microsoft.com/office/drawing/2014/chart" uri="{C3380CC4-5D6E-409C-BE32-E72D297353CC}">
              <c16:uniqueId val="{00000000-C31A-450C-8D3C-6EDEB5633B8F}"/>
            </c:ext>
          </c:extLst>
        </c:ser>
        <c:dLbls>
          <c:showLegendKey val="0"/>
          <c:showVal val="0"/>
          <c:showCatName val="0"/>
          <c:showSerName val="0"/>
          <c:showPercent val="0"/>
          <c:showBubbleSize val="0"/>
        </c:dLbls>
        <c:smooth val="0"/>
        <c:axId val="290156552"/>
        <c:axId val="290156944"/>
      </c:lineChart>
      <c:catAx>
        <c:axId val="290156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6944"/>
        <c:crosses val="autoZero"/>
        <c:auto val="1"/>
        <c:lblAlgn val="ctr"/>
        <c:lblOffset val="100"/>
        <c:noMultiLvlLbl val="0"/>
      </c:catAx>
      <c:valAx>
        <c:axId val="290156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6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336600"/>
            </a:solidFill>
            <a:ln>
              <a:noFill/>
            </a:ln>
            <a:effectLst/>
          </c:spPr>
          <c:invertIfNegative val="0"/>
          <c:dPt>
            <c:idx val="12"/>
            <c:invertIfNegative val="0"/>
            <c:bubble3D val="0"/>
            <c:spPr>
              <a:solidFill>
                <a:srgbClr val="336600"/>
              </a:solidFill>
              <a:ln>
                <a:noFill/>
              </a:ln>
              <a:effectLst/>
            </c:spPr>
            <c:extLst>
              <c:ext xmlns:c16="http://schemas.microsoft.com/office/drawing/2014/chart" uri="{C3380CC4-5D6E-409C-BE32-E72D297353CC}">
                <c16:uniqueId val="{00000001-11DF-400D-9524-FBBD9CB3A58D}"/>
              </c:ext>
            </c:extLst>
          </c:dPt>
          <c:dPt>
            <c:idx val="18"/>
            <c:invertIfNegative val="0"/>
            <c:bubble3D val="0"/>
            <c:spPr>
              <a:solidFill>
                <a:srgbClr val="871717"/>
              </a:solidFill>
              <a:ln>
                <a:noFill/>
              </a:ln>
              <a:effectLst/>
            </c:spPr>
            <c:extLst>
              <c:ext xmlns:c16="http://schemas.microsoft.com/office/drawing/2014/chart" uri="{C3380CC4-5D6E-409C-BE32-E72D297353CC}">
                <c16:uniqueId val="{00000003-11DF-400D-9524-FBBD9CB3A58D}"/>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'[441indo.xlsx]other countries'!$A$53:$A$72</c:f>
              <c:strCache>
                <c:ptCount val="20"/>
                <c:pt idx="0">
                  <c:v>Thailand</c:v>
                </c:pt>
                <c:pt idx="1">
                  <c:v>Brunei Darussalam</c:v>
                </c:pt>
                <c:pt idx="2">
                  <c:v>France</c:v>
                </c:pt>
                <c:pt idx="3">
                  <c:v>Belgium</c:v>
                </c:pt>
                <c:pt idx="4">
                  <c:v>Cambodia</c:v>
                </c:pt>
                <c:pt idx="5">
                  <c:v>Malaysia</c:v>
                </c:pt>
                <c:pt idx="6">
                  <c:v>Singapore</c:v>
                </c:pt>
                <c:pt idx="7">
                  <c:v>Netherlands</c:v>
                </c:pt>
                <c:pt idx="8">
                  <c:v>Switzerland</c:v>
                </c:pt>
                <c:pt idx="9">
                  <c:v>Germany</c:v>
                </c:pt>
                <c:pt idx="10">
                  <c:v>Canada</c:v>
                </c:pt>
                <c:pt idx="11">
                  <c:v>Vietnam</c:v>
                </c:pt>
                <c:pt idx="12">
                  <c:v>OECD members</c:v>
                </c:pt>
                <c:pt idx="13">
                  <c:v>United States</c:v>
                </c:pt>
                <c:pt idx="14">
                  <c:v>Denmark</c:v>
                </c:pt>
                <c:pt idx="15">
                  <c:v>Lao PDR</c:v>
                </c:pt>
                <c:pt idx="16">
                  <c:v>Austria</c:v>
                </c:pt>
                <c:pt idx="17">
                  <c:v>Philippines</c:v>
                </c:pt>
                <c:pt idx="18">
                  <c:v>Indonesia</c:v>
                </c:pt>
                <c:pt idx="19">
                  <c:v>Myanmar</c:v>
                </c:pt>
              </c:strCache>
            </c:strRef>
          </c:cat>
          <c:val>
            <c:numRef>
              <c:f>'[441indo.xlsx]other countries'!$B$53:$B$72</c:f>
              <c:numCache>
                <c:formatCode>General</c:formatCode>
                <c:ptCount val="20"/>
                <c:pt idx="0">
                  <c:v>99</c:v>
                </c:pt>
                <c:pt idx="1">
                  <c:v>99</c:v>
                </c:pt>
                <c:pt idx="2">
                  <c:v>99</c:v>
                </c:pt>
                <c:pt idx="3">
                  <c:v>99</c:v>
                </c:pt>
                <c:pt idx="4">
                  <c:v>97</c:v>
                </c:pt>
                <c:pt idx="5">
                  <c:v>97</c:v>
                </c:pt>
                <c:pt idx="6">
                  <c:v>97</c:v>
                </c:pt>
                <c:pt idx="7">
                  <c:v>96</c:v>
                </c:pt>
                <c:pt idx="8">
                  <c:v>96</c:v>
                </c:pt>
                <c:pt idx="9">
                  <c:v>96</c:v>
                </c:pt>
                <c:pt idx="10">
                  <c:v>96</c:v>
                </c:pt>
                <c:pt idx="11">
                  <c:v>95</c:v>
                </c:pt>
                <c:pt idx="12" formatCode="0">
                  <c:v>94.330865107020117</c:v>
                </c:pt>
                <c:pt idx="13">
                  <c:v>94</c:v>
                </c:pt>
                <c:pt idx="14">
                  <c:v>94</c:v>
                </c:pt>
                <c:pt idx="15">
                  <c:v>88</c:v>
                </c:pt>
                <c:pt idx="16">
                  <c:v>83</c:v>
                </c:pt>
                <c:pt idx="17">
                  <c:v>79</c:v>
                </c:pt>
                <c:pt idx="18">
                  <c:v>78</c:v>
                </c:pt>
                <c:pt idx="19">
                  <c:v>75</c:v>
                </c:pt>
              </c:numCache>
            </c:numRef>
          </c:val>
          <c:extLst>
            <c:ext xmlns:c16="http://schemas.microsoft.com/office/drawing/2014/chart" uri="{C3380CC4-5D6E-409C-BE32-E72D297353CC}">
              <c16:uniqueId val="{00000004-11DF-400D-9524-FBBD9CB3A58D}"/>
            </c:ext>
          </c:extLst>
        </c:ser>
        <c:dLbls>
          <c:dLblPos val="outEnd"/>
          <c:showLegendKey val="0"/>
          <c:showVal val="1"/>
          <c:showCatName val="0"/>
          <c:showSerName val="0"/>
          <c:showPercent val="0"/>
          <c:showBubbleSize val="0"/>
        </c:dLbls>
        <c:gapWidth val="219"/>
        <c:overlap val="-27"/>
        <c:axId val="289454888"/>
        <c:axId val="289009968"/>
      </c:barChart>
      <c:catAx>
        <c:axId val="289454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009968"/>
        <c:crosses val="autoZero"/>
        <c:auto val="1"/>
        <c:lblAlgn val="ctr"/>
        <c:lblOffset val="100"/>
        <c:noMultiLvlLbl val="0"/>
      </c:catAx>
      <c:valAx>
        <c:axId val="28900996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454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17</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Puthita Yamchinda</dc:creator>
  <cp:keywords/>
  <dc:description/>
  <cp:lastModifiedBy>Puthita Yamchinda</cp:lastModifiedBy>
  <cp:revision>26</cp:revision>
  <dcterms:created xsi:type="dcterms:W3CDTF">2015-12-23T13:50:00Z</dcterms:created>
  <dcterms:modified xsi:type="dcterms:W3CDTF">2016-01-07T02:28:00Z</dcterms:modified>
</cp:coreProperties>
</file>